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B3597">
      <w:pPr>
        <w:keepNext w:val="0"/>
        <w:keepLines w:val="0"/>
        <w:pageBreakBefore w:val="0"/>
        <w:widowControl/>
        <w:kinsoku/>
        <w:wordWrap/>
        <w:overflowPunct/>
        <w:topLinePunct w:val="0"/>
        <w:autoSpaceDE/>
        <w:autoSpaceDN/>
        <w:bidi w:val="0"/>
        <w:adjustRightInd/>
        <w:snapToGrid/>
        <w:spacing w:line="560" w:lineRule="exact"/>
        <w:ind w:firstLine="431" w:firstLineChars="98"/>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危险化学品经营许可服务指南</w:t>
      </w:r>
    </w:p>
    <w:p w14:paraId="0675E0F6">
      <w:pPr>
        <w:pStyle w:val="12"/>
        <w:keepNext w:val="0"/>
        <w:keepLines w:val="0"/>
        <w:pageBreakBefore w:val="0"/>
        <w:widowControl/>
        <w:kinsoku/>
        <w:wordWrap/>
        <w:topLinePunct w:val="0"/>
        <w:autoSpaceDE/>
        <w:autoSpaceDN/>
        <w:bidi w:val="0"/>
        <w:adjustRightInd w:val="0"/>
        <w:snapToGrid w:val="0"/>
        <w:spacing w:line="560" w:lineRule="exact"/>
        <w:jc w:val="center"/>
        <w:textAlignment w:val="auto"/>
        <w:rPr>
          <w:rFonts w:ascii="仿宋_GB2312" w:hAnsi="宋体" w:eastAsia="仿宋_GB2312"/>
          <w:b/>
          <w:sz w:val="32"/>
          <w:szCs w:val="32"/>
        </w:rPr>
      </w:pPr>
      <w:r>
        <w:rPr>
          <w:rFonts w:hint="eastAsia" w:ascii="楷体_GB2312" w:eastAsia="楷体_GB2312"/>
          <w:sz w:val="32"/>
          <w:szCs w:val="32"/>
        </w:rPr>
        <w:t>滕州市应急管理局</w:t>
      </w:r>
    </w:p>
    <w:p w14:paraId="7F500046">
      <w:pPr>
        <w:pStyle w:val="12"/>
        <w:keepNext w:val="0"/>
        <w:keepLines w:val="0"/>
        <w:pageBreakBefore w:val="0"/>
        <w:widowControl/>
        <w:kinsoku/>
        <w:wordWrap/>
        <w:topLinePunct w:val="0"/>
        <w:autoSpaceDE/>
        <w:autoSpaceDN/>
        <w:bidi w:val="0"/>
        <w:adjustRightInd w:val="0"/>
        <w:snapToGrid w:val="0"/>
        <w:spacing w:line="560" w:lineRule="exact"/>
        <w:jc w:val="left"/>
        <w:textAlignment w:val="auto"/>
        <w:rPr>
          <w:rFonts w:hint="eastAsia" w:ascii="黑体" w:hAnsi="黑体" w:eastAsia="黑体"/>
          <w:sz w:val="32"/>
          <w:szCs w:val="32"/>
        </w:rPr>
      </w:pPr>
    </w:p>
    <w:p w14:paraId="3C94B97A">
      <w:pPr>
        <w:pStyle w:val="12"/>
        <w:keepNext w:val="0"/>
        <w:keepLines w:val="0"/>
        <w:pageBreakBefore w:val="0"/>
        <w:widowControl/>
        <w:kinsoku/>
        <w:wordWrap/>
        <w:topLinePunct w:val="0"/>
        <w:autoSpaceDE/>
        <w:autoSpaceDN/>
        <w:bidi w:val="0"/>
        <w:adjustRightInd w:val="0"/>
        <w:snapToGrid w:val="0"/>
        <w:spacing w:line="56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事项名称</w:t>
      </w:r>
    </w:p>
    <w:p w14:paraId="7D1D758D">
      <w:pPr>
        <w:pStyle w:val="12"/>
        <w:keepNext w:val="0"/>
        <w:keepLines w:val="0"/>
        <w:pageBreakBefore w:val="0"/>
        <w:widowControl/>
        <w:kinsoku/>
        <w:wordWrap/>
        <w:topLinePunct w:val="0"/>
        <w:autoSpaceDE/>
        <w:autoSpaceDN/>
        <w:bidi w:val="0"/>
        <w:adjustRightInd w:val="0"/>
        <w:snapToGrid w:val="0"/>
        <w:spacing w:line="560" w:lineRule="exact"/>
        <w:ind w:firstLine="960" w:firstLineChars="300"/>
        <w:jc w:val="left"/>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危险化学品经营许可</w:t>
      </w:r>
    </w:p>
    <w:p w14:paraId="114C4A7C">
      <w:pPr>
        <w:pStyle w:val="12"/>
        <w:keepNext w:val="0"/>
        <w:keepLines w:val="0"/>
        <w:pageBreakBefore w:val="0"/>
        <w:widowControl/>
        <w:kinsoku/>
        <w:wordWrap/>
        <w:topLinePunct w:val="0"/>
        <w:autoSpaceDE/>
        <w:autoSpaceDN/>
        <w:bidi w:val="0"/>
        <w:adjustRightInd w:val="0"/>
        <w:snapToGrid w:val="0"/>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二、法律依据</w:t>
      </w:r>
    </w:p>
    <w:p w14:paraId="41821FB5">
      <w:pPr>
        <w:keepNext w:val="0"/>
        <w:keepLines w:val="0"/>
        <w:pageBreakBefore w:val="0"/>
        <w:kinsoku/>
        <w:wordWrap/>
        <w:topLinePunct w:val="0"/>
        <w:autoSpaceDE/>
        <w:autoSpaceDN/>
        <w:bidi w:val="0"/>
        <w:spacing w:line="560" w:lineRule="exact"/>
        <w:ind w:firstLine="640" w:firstLineChars="200"/>
        <w:textAlignment w:val="auto"/>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1.《中华人民共和国安全生产法》</w:t>
      </w:r>
    </w:p>
    <w:p w14:paraId="24BA233D">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2.《危险化学品经营许可证管理办法》（国家安监总局55号令）</w:t>
      </w:r>
    </w:p>
    <w:p w14:paraId="45D6CF94">
      <w:pPr>
        <w:keepNext w:val="0"/>
        <w:keepLines w:val="0"/>
        <w:pageBreakBefore w:val="0"/>
        <w:kinsoku/>
        <w:wordWrap/>
        <w:topLinePunct w:val="0"/>
        <w:autoSpaceDE/>
        <w:autoSpaceDN/>
        <w:bidi w:val="0"/>
        <w:spacing w:line="560" w:lineRule="exact"/>
        <w:ind w:firstLine="640" w:firstLineChars="200"/>
        <w:textAlignment w:val="auto"/>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lang w:val="en-US" w:eastAsia="zh-CN"/>
        </w:rPr>
        <w:t>3.《山东省危险化学品经营许可证实施细则》（鲁应急发〔2025〕4号）</w:t>
      </w:r>
    </w:p>
    <w:p w14:paraId="46688F17">
      <w:pPr>
        <w:pStyle w:val="12"/>
        <w:keepNext w:val="0"/>
        <w:keepLines w:val="0"/>
        <w:pageBreakBefore w:val="0"/>
        <w:widowControl/>
        <w:kinsoku/>
        <w:wordWrap/>
        <w:topLinePunct w:val="0"/>
        <w:autoSpaceDE/>
        <w:autoSpaceDN/>
        <w:bidi w:val="0"/>
        <w:adjustRightInd w:val="0"/>
        <w:snapToGrid w:val="0"/>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三、申请条件</w:t>
      </w:r>
    </w:p>
    <w:p w14:paraId="63CB4F6A">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适用于从事列入《危险化学品目录》的危险化学品经营（包括仓储经营）活动的企业</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rPr>
        <w:t>经营民用爆炸物品、放射性物品、核能物质、城镇燃气的</w:t>
      </w:r>
      <w:r>
        <w:rPr>
          <w:rFonts w:hint="eastAsia" w:ascii="仿宋_GB2312" w:eastAsia="仿宋_GB2312" w:cs="Times New Roman" w:hAnsiTheme="minorEastAsia"/>
          <w:sz w:val="32"/>
          <w:szCs w:val="32"/>
          <w:lang w:val="en-US" w:eastAsia="zh-CN"/>
        </w:rPr>
        <w:t>企业</w:t>
      </w:r>
      <w:r>
        <w:rPr>
          <w:rFonts w:hint="eastAsia" w:ascii="仿宋_GB2312" w:eastAsia="仿宋_GB2312" w:cs="Times New Roman" w:hAnsiTheme="minorEastAsia"/>
          <w:sz w:val="32"/>
          <w:szCs w:val="32"/>
        </w:rPr>
        <w:t>不适用。</w:t>
      </w:r>
    </w:p>
    <w:p w14:paraId="50933408">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从事下列危险化学品经营活动，不需要取得经营许可证：</w:t>
      </w:r>
    </w:p>
    <w:p w14:paraId="63237B09">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1.</w:t>
      </w:r>
      <w:r>
        <w:rPr>
          <w:rFonts w:hint="eastAsia" w:ascii="仿宋_GB2312" w:eastAsia="仿宋_GB2312" w:cs="Times New Roman" w:hAnsiTheme="minorEastAsia"/>
          <w:sz w:val="32"/>
          <w:szCs w:val="32"/>
        </w:rPr>
        <w:t>依法取得危险化学品安全生产许可证的危险化学品生产企业在其厂区范围内销售本企业生产的危险化学品的；</w:t>
      </w:r>
    </w:p>
    <w:p w14:paraId="76F0EC57">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2.</w:t>
      </w:r>
      <w:r>
        <w:rPr>
          <w:rFonts w:hint="eastAsia" w:ascii="仿宋_GB2312" w:eastAsia="仿宋_GB2312" w:cs="Times New Roman" w:hAnsiTheme="minorEastAsia"/>
          <w:sz w:val="32"/>
          <w:szCs w:val="32"/>
        </w:rPr>
        <w:t>依法取得港口经营许可证的港口经营人在港区内从事危险化学品仓储经营的；</w:t>
      </w:r>
    </w:p>
    <w:p w14:paraId="7961A575">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3.</w:t>
      </w:r>
      <w:r>
        <w:rPr>
          <w:rFonts w:hint="eastAsia" w:ascii="仿宋_GB2312" w:eastAsia="仿宋_GB2312" w:cs="Times New Roman" w:hAnsiTheme="minorEastAsia"/>
          <w:sz w:val="32"/>
          <w:szCs w:val="32"/>
        </w:rPr>
        <w:t>依法取得石油天然</w:t>
      </w:r>
      <w:bookmarkStart w:id="0" w:name="_GoBack"/>
      <w:bookmarkEnd w:id="0"/>
      <w:r>
        <w:rPr>
          <w:rFonts w:hint="eastAsia" w:ascii="仿宋_GB2312" w:eastAsia="仿宋_GB2312" w:cs="Times New Roman" w:hAnsiTheme="minorEastAsia"/>
          <w:sz w:val="32"/>
          <w:szCs w:val="32"/>
        </w:rPr>
        <w:t>气安全生产许可证的采油（气）的企业，经营采出油气的。</w:t>
      </w:r>
    </w:p>
    <w:p w14:paraId="510F83EB">
      <w:pPr>
        <w:keepNext w:val="0"/>
        <w:keepLines w:val="0"/>
        <w:pageBreakBefore w:val="0"/>
        <w:kinsoku/>
        <w:wordWrap/>
        <w:topLinePunct w:val="0"/>
        <w:autoSpaceDE/>
        <w:autoSpaceDN/>
        <w:bidi w:val="0"/>
        <w:spacing w:line="560" w:lineRule="exact"/>
        <w:ind w:firstLine="640" w:firstLineChars="200"/>
        <w:textAlignment w:val="auto"/>
        <w:rPr>
          <w:rFonts w:hint="default" w:ascii="仿宋_GB2312" w:eastAsia="仿宋_GB2312" w:cs="Times New Roman" w:hAnsiTheme="minorEastAsia"/>
          <w:sz w:val="32"/>
          <w:szCs w:val="32"/>
          <w:lang w:val="en-US" w:eastAsia="zh-CN"/>
        </w:rPr>
      </w:pPr>
      <w:r>
        <w:rPr>
          <w:rFonts w:hint="eastAsia" w:ascii="仿宋_GB2312" w:eastAsia="仿宋_GB2312"/>
          <w:sz w:val="32"/>
          <w:szCs w:val="32"/>
        </w:rPr>
        <w:t>申请条件：</w:t>
      </w:r>
      <w:r>
        <w:rPr>
          <w:rFonts w:hint="eastAsia" w:ascii="仿宋_GB2312" w:eastAsia="仿宋_GB2312" w:cs="Times New Roman" w:hAnsiTheme="minorEastAsia"/>
          <w:sz w:val="32"/>
          <w:szCs w:val="32"/>
        </w:rPr>
        <w:t>《危险化学品经营许可证管理办法》第六条至第</w:t>
      </w:r>
      <w:r>
        <w:rPr>
          <w:rFonts w:hint="eastAsia" w:ascii="仿宋_GB2312" w:eastAsia="仿宋_GB2312" w:cs="Times New Roman" w:hAnsiTheme="minorEastAsia"/>
          <w:sz w:val="32"/>
          <w:szCs w:val="32"/>
          <w:lang w:val="en-US" w:eastAsia="zh-CN"/>
        </w:rPr>
        <w:t>八</w:t>
      </w:r>
      <w:r>
        <w:rPr>
          <w:rFonts w:hint="eastAsia" w:ascii="仿宋_GB2312" w:eastAsia="仿宋_GB2312" w:cs="Times New Roman" w:hAnsiTheme="minorEastAsia"/>
          <w:sz w:val="32"/>
          <w:szCs w:val="32"/>
        </w:rPr>
        <w:t>条</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rPr>
        <w:t>《山东省危险化学品经营许可证实施细则》</w:t>
      </w:r>
      <w:r>
        <w:rPr>
          <w:rFonts w:hint="eastAsia" w:ascii="仿宋_GB2312" w:eastAsia="仿宋_GB2312" w:cs="Times New Roman" w:hAnsiTheme="minorEastAsia"/>
          <w:sz w:val="32"/>
          <w:szCs w:val="32"/>
          <w:lang w:val="en-US" w:eastAsia="zh-CN"/>
        </w:rPr>
        <w:t>第3条。</w:t>
      </w:r>
    </w:p>
    <w:p w14:paraId="50678887">
      <w:pPr>
        <w:keepNext w:val="0"/>
        <w:keepLines w:val="0"/>
        <w:pageBreakBefore w:val="0"/>
        <w:kinsoku/>
        <w:wordWrap/>
        <w:topLinePunct w:val="0"/>
        <w:autoSpaceDE/>
        <w:autoSpaceDN/>
        <w:bidi w:val="0"/>
        <w:spacing w:line="560" w:lineRule="exact"/>
        <w:textAlignment w:val="auto"/>
        <w:rPr>
          <w:rFonts w:ascii="黑体" w:hAnsi="黑体" w:eastAsia="黑体"/>
          <w:sz w:val="32"/>
          <w:szCs w:val="32"/>
        </w:rPr>
      </w:pPr>
      <w:r>
        <w:rPr>
          <w:rFonts w:hint="eastAsia" w:ascii="黑体" w:hAnsi="黑体" w:eastAsia="黑体"/>
          <w:sz w:val="32"/>
          <w:szCs w:val="32"/>
        </w:rPr>
        <w:t>四、申请材料</w:t>
      </w:r>
    </w:p>
    <w:p w14:paraId="3C5B4C19">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1.首次</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lang w:val="en-US" w:eastAsia="zh-CN"/>
        </w:rPr>
        <w:t>延续、重新</w:t>
      </w:r>
      <w:r>
        <w:rPr>
          <w:rFonts w:hint="eastAsia" w:ascii="仿宋_GB2312" w:eastAsia="仿宋_GB2312" w:cs="Times New Roman" w:hAnsiTheme="minorEastAsia"/>
          <w:sz w:val="32"/>
          <w:szCs w:val="32"/>
        </w:rPr>
        <w:t>申请，应当提交以下申请材料：</w:t>
      </w:r>
    </w:p>
    <w:p w14:paraId="533C3466">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b w:val="0"/>
          <w:bCs w:val="0"/>
          <w:sz w:val="32"/>
          <w:szCs w:val="32"/>
        </w:rPr>
      </w:pPr>
      <w:r>
        <w:rPr>
          <w:rFonts w:hint="eastAsia" w:ascii="仿宋_GB2312" w:eastAsia="仿宋_GB2312" w:cs="Times New Roman" w:hAnsiTheme="minorEastAsia"/>
          <w:sz w:val="32"/>
          <w:szCs w:val="32"/>
        </w:rPr>
        <w:t>（1）</w:t>
      </w:r>
      <w:r>
        <w:rPr>
          <w:rFonts w:hint="eastAsia" w:ascii="仿宋_GB2312" w:eastAsia="仿宋_GB2312" w:cs="Times New Roman" w:hAnsiTheme="minorEastAsia"/>
          <w:b w:val="0"/>
          <w:bCs w:val="0"/>
          <w:sz w:val="32"/>
          <w:szCs w:val="32"/>
        </w:rPr>
        <w:t>申请经营许可证的文件及申请书；</w:t>
      </w:r>
    </w:p>
    <w:p w14:paraId="2DFF6FB8">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（2）安全生产规章制度和岗位操作规程的目录清单；</w:t>
      </w:r>
    </w:p>
    <w:p w14:paraId="14BD19C1">
      <w:pPr>
        <w:keepNext w:val="0"/>
        <w:keepLines w:val="0"/>
        <w:pageBreakBefore w:val="0"/>
        <w:kinsoku/>
        <w:wordWrap/>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安全生产规章制度包括：全员安全生产责任制度、危险化学品购销管理制度、危险化学品安全管理制度（含防火、防爆、防中毒、防泄漏管理等内容）、安全投入保障制度、安全生产奖惩制度、安全生产教育培训制度、隐患排查治理制度、安全风险管理制度、应急管理制度、事故管理制度等</w:t>
      </w:r>
    </w:p>
    <w:p w14:paraId="65C29591">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3）企业主要负责人的安全生产知识和管理能力考核合格证明材料；安全生产管理人员的任命文件、安全生产知识和管理能力考核合格证明材料；特种作业人员特种作业操作证复制件；其他从业人员培训合格的证明材料；</w:t>
      </w:r>
    </w:p>
    <w:p w14:paraId="6C4E0134">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（4）经营场所产权证明文件或者租赁证明文件（复制件）；</w:t>
      </w:r>
      <w:r>
        <w:rPr>
          <w:rFonts w:hint="eastAsia" w:ascii="仿宋_GB2312" w:eastAsia="仿宋_GB2312" w:cs="Times New Roman" w:hAnsiTheme="minorEastAsia"/>
          <w:b w:val="0"/>
          <w:bCs w:val="0"/>
          <w:sz w:val="32"/>
          <w:szCs w:val="32"/>
          <w:lang w:eastAsia="zh-CN"/>
        </w:rPr>
        <w:t>（</w:t>
      </w:r>
      <w:r>
        <w:rPr>
          <w:rFonts w:hint="eastAsia" w:ascii="仿宋_GB2312" w:eastAsia="仿宋_GB2312" w:cs="Times New Roman" w:hAnsiTheme="minorEastAsia"/>
          <w:b w:val="0"/>
          <w:bCs w:val="0"/>
          <w:sz w:val="32"/>
          <w:szCs w:val="32"/>
          <w:lang w:val="en-US" w:eastAsia="zh-CN"/>
        </w:rPr>
        <w:t>若为租赁，除租赁证明文件外，还应提供甲方的产权证明文件</w:t>
      </w:r>
      <w:r>
        <w:rPr>
          <w:rFonts w:hint="eastAsia" w:ascii="仿宋_GB2312" w:eastAsia="仿宋_GB2312" w:cs="Times New Roman" w:hAnsiTheme="minorEastAsia"/>
          <w:b w:val="0"/>
          <w:bCs w:val="0"/>
          <w:sz w:val="32"/>
          <w:szCs w:val="32"/>
          <w:lang w:eastAsia="zh-CN"/>
        </w:rPr>
        <w:t>）</w:t>
      </w:r>
      <w:r>
        <w:rPr>
          <w:rFonts w:hint="eastAsia" w:ascii="仿宋_GB2312" w:eastAsia="仿宋_GB2312" w:cs="Times New Roman" w:hAnsiTheme="minorEastAsia"/>
          <w:b w:val="0"/>
          <w:bCs w:val="0"/>
          <w:sz w:val="32"/>
          <w:szCs w:val="32"/>
        </w:rPr>
        <w:t>；</w:t>
      </w:r>
    </w:p>
    <w:p w14:paraId="672C722D">
      <w:pPr>
        <w:keepNext w:val="0"/>
        <w:keepLines w:val="0"/>
        <w:pageBreakBefore w:val="0"/>
        <w:kinsoku/>
        <w:wordWrap/>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（5）依法取得的《企业名称自主申报告知书》或营业执照</w:t>
      </w:r>
    </w:p>
    <w:p w14:paraId="031E1352">
      <w:pPr>
        <w:keepNext w:val="0"/>
        <w:keepLines w:val="0"/>
        <w:pageBreakBefore w:val="0"/>
        <w:kinsoku/>
        <w:wordWrap/>
        <w:topLinePunct w:val="0"/>
        <w:autoSpaceDE/>
        <w:autoSpaceDN/>
        <w:bidi w:val="0"/>
        <w:spacing w:line="560" w:lineRule="exact"/>
        <w:jc w:val="left"/>
        <w:textAlignment w:val="auto"/>
        <w:rPr>
          <w:rFonts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复印件；</w:t>
      </w:r>
    </w:p>
    <w:p w14:paraId="6818E713">
      <w:pPr>
        <w:keepNext w:val="0"/>
        <w:keepLines w:val="0"/>
        <w:pageBreakBefore w:val="0"/>
        <w:numPr>
          <w:ilvl w:val="0"/>
          <w:numId w:val="2"/>
        </w:numPr>
        <w:kinsoku/>
        <w:wordWrap/>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为员工缴纳工伤保险的证明材料；</w:t>
      </w:r>
    </w:p>
    <w:p w14:paraId="594E4D22">
      <w:pPr>
        <w:keepNext w:val="0"/>
        <w:keepLines w:val="0"/>
        <w:pageBreakBefore w:val="0"/>
        <w:numPr>
          <w:ilvl w:val="0"/>
          <w:numId w:val="2"/>
        </w:numPr>
        <w:kinsoku/>
        <w:wordWrap/>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生产经营单位生产安全事故应急预案备案登记证明文件。</w:t>
      </w:r>
    </w:p>
    <w:p w14:paraId="68862892">
      <w:pPr>
        <w:keepNext w:val="0"/>
        <w:keepLines w:val="0"/>
        <w:pageBreakBefore w:val="0"/>
        <w:numPr>
          <w:ilvl w:val="0"/>
          <w:numId w:val="2"/>
        </w:numPr>
        <w:kinsoku/>
        <w:wordWrap/>
        <w:topLinePunct w:val="0"/>
        <w:autoSpaceDE/>
        <w:autoSpaceDN/>
        <w:bidi w:val="0"/>
        <w:spacing w:line="560" w:lineRule="exact"/>
        <w:ind w:left="0" w:leftChars="0" w:firstLine="640" w:firstLineChars="200"/>
        <w:jc w:val="left"/>
        <w:textAlignment w:val="auto"/>
        <w:rPr>
          <w:rFonts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储存危险化学品经营的，申请人还应当提交下列文件、资料：</w:t>
      </w:r>
    </w:p>
    <w:p w14:paraId="0ED3BBFE">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w:t>
      </w:r>
      <w:r>
        <w:rPr>
          <w:rFonts w:hint="eastAsia" w:ascii="仿宋_GB2312" w:eastAsia="仿宋_GB2312" w:cs="Times New Roman" w:hAnsiTheme="minorEastAsia"/>
          <w:b w:val="0"/>
          <w:bCs w:val="0"/>
          <w:sz w:val="32"/>
          <w:szCs w:val="32"/>
          <w:lang w:val="en-US" w:eastAsia="zh-CN"/>
        </w:rPr>
        <w:t>8</w:t>
      </w:r>
      <w:r>
        <w:rPr>
          <w:rFonts w:hint="eastAsia" w:ascii="仿宋_GB2312" w:eastAsia="仿宋_GB2312" w:cs="Times New Roman" w:hAnsiTheme="minorEastAsia"/>
          <w:b w:val="0"/>
          <w:bCs w:val="0"/>
          <w:sz w:val="32"/>
          <w:szCs w:val="32"/>
        </w:rPr>
        <w:t>.1）储存设施相关证明文件（复制件）；租赁储存设施的，需要提交租赁证明文件（复制件）；储存设施新建、改建、扩建的，需要提交危险化学品建设项目安全设施建设项目竣工验收报告；</w:t>
      </w:r>
    </w:p>
    <w:p w14:paraId="0EACAFC9">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w:t>
      </w:r>
      <w:r>
        <w:rPr>
          <w:rFonts w:hint="eastAsia" w:ascii="仿宋_GB2312" w:eastAsia="仿宋_GB2312" w:cs="Times New Roman" w:hAnsiTheme="minorEastAsia"/>
          <w:b w:val="0"/>
          <w:bCs w:val="0"/>
          <w:sz w:val="32"/>
          <w:szCs w:val="32"/>
          <w:lang w:val="en-US" w:eastAsia="zh-CN"/>
        </w:rPr>
        <w:t>8</w:t>
      </w:r>
      <w:r>
        <w:rPr>
          <w:rFonts w:hint="eastAsia" w:ascii="仿宋_GB2312" w:eastAsia="仿宋_GB2312" w:cs="Times New Roman" w:hAnsiTheme="minorEastAsia"/>
          <w:b w:val="0"/>
          <w:bCs w:val="0"/>
          <w:sz w:val="32"/>
          <w:szCs w:val="32"/>
        </w:rPr>
        <w:t>.2）安全评价报告（危险化学品商店除外）；</w:t>
      </w:r>
    </w:p>
    <w:p w14:paraId="38A72220">
      <w:pPr>
        <w:keepNext w:val="0"/>
        <w:keepLines w:val="0"/>
        <w:pageBreakBefore w:val="0"/>
        <w:kinsoku/>
        <w:wordWrap/>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w:t>
      </w:r>
      <w:r>
        <w:rPr>
          <w:rFonts w:hint="eastAsia" w:ascii="仿宋_GB2312" w:eastAsia="仿宋_GB2312" w:cs="Times New Roman" w:hAnsiTheme="minorEastAsia"/>
          <w:b w:val="0"/>
          <w:bCs w:val="0"/>
          <w:sz w:val="32"/>
          <w:szCs w:val="32"/>
          <w:lang w:val="en-US" w:eastAsia="zh-CN"/>
        </w:rPr>
        <w:t>8</w:t>
      </w:r>
      <w:r>
        <w:rPr>
          <w:rFonts w:hint="eastAsia" w:ascii="仿宋_GB2312" w:eastAsia="仿宋_GB2312" w:cs="Times New Roman" w:hAnsiTheme="minorEastAsia"/>
          <w:b w:val="0"/>
          <w:bCs w:val="0"/>
          <w:sz w:val="32"/>
          <w:szCs w:val="32"/>
        </w:rPr>
        <w:t>.3）危险化学品设计储量构成重大危险源的，还应提交专职安全生产管理人员的学历证书、技术职称证书或者化工安全类注册安全工程师资格证书（复制件），重大危险源备案证明材料。</w:t>
      </w:r>
    </w:p>
    <w:p w14:paraId="1E7A23EA">
      <w:pPr>
        <w:keepNext w:val="0"/>
        <w:keepLines w:val="0"/>
        <w:pageBreakBefore w:val="0"/>
        <w:kinsoku/>
        <w:wordWrap/>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b w:val="0"/>
          <w:bCs w:val="0"/>
          <w:sz w:val="32"/>
          <w:szCs w:val="32"/>
        </w:rPr>
      </w:pPr>
      <w:r>
        <w:rPr>
          <w:rFonts w:hint="eastAsia" w:ascii="仿宋_GB2312" w:eastAsia="仿宋_GB2312" w:cs="Times New Roman" w:hAnsiTheme="minorEastAsia"/>
          <w:b w:val="0"/>
          <w:bCs w:val="0"/>
          <w:sz w:val="32"/>
          <w:szCs w:val="32"/>
        </w:rPr>
        <w:t>（</w:t>
      </w:r>
      <w:r>
        <w:rPr>
          <w:rFonts w:hint="eastAsia" w:ascii="仿宋_GB2312" w:eastAsia="仿宋_GB2312" w:cs="Times New Roman" w:hAnsiTheme="minorEastAsia"/>
          <w:b w:val="0"/>
          <w:bCs w:val="0"/>
          <w:sz w:val="32"/>
          <w:szCs w:val="32"/>
          <w:lang w:val="en-US" w:eastAsia="zh-CN"/>
        </w:rPr>
        <w:t>9</w:t>
      </w:r>
      <w:r>
        <w:rPr>
          <w:rFonts w:hint="eastAsia" w:ascii="仿宋_GB2312" w:eastAsia="仿宋_GB2312" w:cs="Times New Roman" w:hAnsiTheme="minorEastAsia"/>
          <w:b w:val="0"/>
          <w:bCs w:val="0"/>
          <w:sz w:val="32"/>
          <w:szCs w:val="32"/>
        </w:rPr>
        <w:t>）有气瓶充装作业的，应依法取得气瓶充装许可证；</w:t>
      </w:r>
    </w:p>
    <w:p w14:paraId="17144F3A">
      <w:pPr>
        <w:keepNext w:val="0"/>
        <w:keepLines w:val="0"/>
        <w:pageBreakBefore w:val="0"/>
        <w:widowControl/>
        <w:suppressLineNumbers w:val="0"/>
        <w:kinsoku/>
        <w:wordWrap/>
        <w:topLinePunct w:val="0"/>
        <w:autoSpaceDE/>
        <w:autoSpaceDN/>
        <w:bidi w:val="0"/>
        <w:spacing w:line="560" w:lineRule="exact"/>
        <w:ind w:firstLine="640" w:firstLineChars="200"/>
        <w:jc w:val="left"/>
        <w:textAlignment w:val="auto"/>
        <w:rPr>
          <w:rFonts w:hint="eastAsia" w:ascii="仿宋_GB2312" w:hAnsi="宋体" w:eastAsia="仿宋_GB2312" w:cs="仿宋_GB2312"/>
          <w:b w:val="0"/>
          <w:bCs w:val="0"/>
          <w:color w:val="000000"/>
          <w:kern w:val="0"/>
          <w:sz w:val="31"/>
          <w:szCs w:val="31"/>
          <w:lang w:val="en-US" w:eastAsia="zh-CN" w:bidi="ar"/>
        </w:rPr>
      </w:pPr>
      <w:r>
        <w:rPr>
          <w:rFonts w:hint="eastAsia" w:ascii="仿宋_GB2312" w:eastAsia="仿宋_GB2312" w:cs="Times New Roman" w:hAnsiTheme="minorEastAsia"/>
          <w:b w:val="0"/>
          <w:bCs w:val="0"/>
          <w:sz w:val="32"/>
          <w:szCs w:val="32"/>
          <w:lang w:val="en-US" w:eastAsia="zh-CN"/>
        </w:rPr>
        <w:t>（10）</w:t>
      </w:r>
      <w:r>
        <w:rPr>
          <w:rFonts w:ascii="仿宋_GB2312" w:hAnsi="宋体" w:eastAsia="仿宋_GB2312" w:cs="仿宋_GB2312"/>
          <w:b w:val="0"/>
          <w:bCs w:val="0"/>
          <w:color w:val="000000"/>
          <w:kern w:val="0"/>
          <w:sz w:val="31"/>
          <w:szCs w:val="31"/>
          <w:lang w:val="en-US" w:eastAsia="zh-CN" w:bidi="ar"/>
        </w:rPr>
        <w:t>经营第二类监控化学品的，应依法取得第二类监控化</w:t>
      </w:r>
      <w:r>
        <w:rPr>
          <w:rFonts w:hint="eastAsia" w:ascii="仿宋_GB2312" w:hAnsi="宋体" w:eastAsia="仿宋_GB2312" w:cs="仿宋_GB2312"/>
          <w:b w:val="0"/>
          <w:bCs w:val="0"/>
          <w:color w:val="000000"/>
          <w:kern w:val="0"/>
          <w:sz w:val="31"/>
          <w:szCs w:val="31"/>
          <w:lang w:val="en-US" w:eastAsia="zh-CN" w:bidi="ar"/>
        </w:rPr>
        <w:t>学品经营许可证书；</w:t>
      </w:r>
    </w:p>
    <w:p w14:paraId="0F0579DD">
      <w:pPr>
        <w:keepNext w:val="0"/>
        <w:keepLines w:val="0"/>
        <w:pageBreakBefore w:val="0"/>
        <w:widowControl/>
        <w:suppressLineNumbers w:val="0"/>
        <w:kinsoku/>
        <w:wordWrap/>
        <w:topLinePunct w:val="0"/>
        <w:autoSpaceDE/>
        <w:autoSpaceDN/>
        <w:bidi w:val="0"/>
        <w:spacing w:line="560" w:lineRule="exact"/>
        <w:ind w:firstLine="620" w:firstLineChars="200"/>
        <w:jc w:val="left"/>
        <w:textAlignment w:val="auto"/>
        <w:rPr>
          <w:rFonts w:hint="default" w:ascii="仿宋_GB2312" w:hAnsi="宋体" w:eastAsia="仿宋_GB2312" w:cs="仿宋_GB2312"/>
          <w:b w:val="0"/>
          <w:bCs w:val="0"/>
          <w:color w:val="000000"/>
          <w:kern w:val="0"/>
          <w:sz w:val="31"/>
          <w:szCs w:val="31"/>
          <w:lang w:val="en-US" w:eastAsia="zh-CN" w:bidi="ar"/>
        </w:rPr>
      </w:pPr>
      <w:r>
        <w:rPr>
          <w:rFonts w:hint="eastAsia" w:ascii="仿宋_GB2312" w:hAnsi="宋体" w:eastAsia="仿宋_GB2312" w:cs="仿宋_GB2312"/>
          <w:b w:val="0"/>
          <w:bCs w:val="0"/>
          <w:color w:val="000000"/>
          <w:kern w:val="0"/>
          <w:sz w:val="31"/>
          <w:szCs w:val="31"/>
          <w:lang w:val="en-US" w:eastAsia="zh-CN" w:bidi="ar"/>
        </w:rPr>
        <w:t>（11）原《危险化学品经营许可证》正、副本（</w:t>
      </w:r>
      <w:r>
        <w:rPr>
          <w:rFonts w:hint="eastAsia" w:ascii="仿宋_GB2312" w:eastAsia="仿宋_GB2312" w:cs="Times New Roman" w:hAnsiTheme="minorEastAsia"/>
          <w:sz w:val="32"/>
          <w:szCs w:val="32"/>
        </w:rPr>
        <w:t>延期</w:t>
      </w:r>
      <w:r>
        <w:rPr>
          <w:rFonts w:hint="eastAsia" w:ascii="仿宋_GB2312" w:hAnsi="宋体" w:eastAsia="仿宋_GB2312" w:cs="仿宋_GB2312"/>
          <w:b w:val="0"/>
          <w:bCs w:val="0"/>
          <w:color w:val="000000"/>
          <w:kern w:val="0"/>
          <w:sz w:val="31"/>
          <w:szCs w:val="31"/>
          <w:lang w:val="en-US" w:eastAsia="zh-CN" w:bidi="ar"/>
        </w:rPr>
        <w:t>、重新和变更申请提供）。</w:t>
      </w:r>
    </w:p>
    <w:p w14:paraId="3E31C802">
      <w:pPr>
        <w:keepNext w:val="0"/>
        <w:keepLines w:val="0"/>
        <w:pageBreakBefore w:val="0"/>
        <w:widowControl/>
        <w:suppressLineNumbers w:val="0"/>
        <w:kinsoku/>
        <w:wordWrap/>
        <w:topLinePunct w:val="0"/>
        <w:autoSpaceDE/>
        <w:autoSpaceDN/>
        <w:bidi w:val="0"/>
        <w:spacing w:line="560" w:lineRule="exact"/>
        <w:ind w:firstLine="640" w:firstLineChars="200"/>
        <w:jc w:val="left"/>
        <w:textAlignment w:val="auto"/>
        <w:rPr>
          <w:rFonts w:hint="default" w:ascii="仿宋_GB2312" w:eastAsia="仿宋_GB2312" w:cs="Times New Roman" w:hAnsiTheme="minorEastAsia"/>
          <w:sz w:val="32"/>
          <w:szCs w:val="32"/>
          <w:lang w:val="en-US" w:eastAsia="zh-CN"/>
        </w:rPr>
      </w:pPr>
      <w:r>
        <w:rPr>
          <w:rFonts w:hint="default" w:ascii="仿宋_GB2312" w:eastAsia="仿宋_GB2312" w:cs="Times New Roman" w:hAnsiTheme="minorEastAsia"/>
          <w:sz w:val="32"/>
          <w:szCs w:val="32"/>
          <w:lang w:val="en-US" w:eastAsia="zh-CN"/>
        </w:rPr>
        <w:t>涉及多种经营方式的申请人，可只提交一次申请，取一张许可证。申请人的经营场所不得超越发证机关的地域管辖范围。</w:t>
      </w:r>
    </w:p>
    <w:p w14:paraId="32A3FA01">
      <w:pPr>
        <w:keepNext w:val="0"/>
        <w:keepLines w:val="0"/>
        <w:pageBreakBefore w:val="0"/>
        <w:kinsoku/>
        <w:wordWrap/>
        <w:overflowPunct w:val="0"/>
        <w:topLinePunct w:val="0"/>
        <w:autoSpaceDE/>
        <w:autoSpaceDN/>
        <w:bidi w:val="0"/>
        <w:spacing w:line="560" w:lineRule="exact"/>
        <w:ind w:firstLine="640" w:firstLineChars="200"/>
        <w:textAlignment w:val="auto"/>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2.经营许可证有效期满后继续从事危险化学品经营活动的，应当在期满3个月前，向发证机关提出经营许可证的延期申请，并提交延期申请书及第</w:t>
      </w:r>
      <w:r>
        <w:rPr>
          <w:rFonts w:hint="eastAsia" w:ascii="仿宋_GB2312" w:eastAsia="仿宋_GB2312" w:cs="Times New Roman" w:hAnsiTheme="minorEastAsia"/>
          <w:sz w:val="32"/>
          <w:szCs w:val="32"/>
          <w:lang w:val="en-US" w:eastAsia="zh-CN"/>
        </w:rPr>
        <w:t>1条</w:t>
      </w:r>
      <w:r>
        <w:rPr>
          <w:rFonts w:hint="eastAsia" w:ascii="仿宋_GB2312" w:eastAsia="仿宋_GB2312" w:cs="Times New Roman" w:hAnsiTheme="minorEastAsia"/>
          <w:sz w:val="32"/>
          <w:szCs w:val="32"/>
        </w:rPr>
        <w:t>规定的文件、资料。</w:t>
      </w:r>
    </w:p>
    <w:p w14:paraId="6883E6C5">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3.已取得经营许可证的企业变更企业名称、主要负责人、注册地址，应当自变更之日起 20 个工作日内向发证机关提出书面变更申请，并提交下列文件、资料:：</w:t>
      </w:r>
    </w:p>
    <w:p w14:paraId="0DABF925">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（1）经营许可证变更申请书</w:t>
      </w:r>
      <w:r>
        <w:rPr>
          <w:rFonts w:hint="eastAsia" w:ascii="仿宋_GB2312" w:eastAsia="仿宋_GB2312" w:cs="Times New Roman" w:hAnsiTheme="minorEastAsia"/>
          <w:sz w:val="32"/>
          <w:szCs w:val="32"/>
          <w:lang w:val="en-US" w:eastAsia="zh-CN"/>
        </w:rPr>
        <w:t>及申请文件</w:t>
      </w:r>
      <w:r>
        <w:rPr>
          <w:rFonts w:hint="eastAsia" w:ascii="仿宋_GB2312" w:eastAsia="仿宋_GB2312" w:cs="Times New Roman" w:hAnsiTheme="minorEastAsia"/>
          <w:sz w:val="32"/>
          <w:szCs w:val="32"/>
        </w:rPr>
        <w:t>；</w:t>
      </w:r>
    </w:p>
    <w:p w14:paraId="5BDB316A">
      <w:pPr>
        <w:keepNext w:val="0"/>
        <w:keepLines w:val="0"/>
        <w:pageBreakBefore w:val="0"/>
        <w:widowControl/>
        <w:suppressLineNumbers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w:t>
      </w:r>
      <w:r>
        <w:rPr>
          <w:rFonts w:ascii="仿宋_GB2312" w:hAnsi="宋体" w:eastAsia="仿宋_GB2312" w:cs="仿宋_GB2312"/>
          <w:color w:val="000000"/>
          <w:kern w:val="0"/>
          <w:sz w:val="31"/>
          <w:szCs w:val="31"/>
          <w:lang w:val="en-US" w:eastAsia="zh-CN" w:bidi="ar"/>
        </w:rPr>
        <w:t>变更后的营业执照复印件</w:t>
      </w:r>
      <w:r>
        <w:rPr>
          <w:rFonts w:hint="eastAsia" w:ascii="仿宋_GB2312" w:eastAsia="仿宋_GB2312" w:cs="Times New Roman" w:hAnsiTheme="minorEastAsia"/>
          <w:sz w:val="32"/>
          <w:szCs w:val="32"/>
        </w:rPr>
        <w:t>；</w:t>
      </w:r>
    </w:p>
    <w:p w14:paraId="58CD8968">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（3）变更注册地址的相关证明材料；</w:t>
      </w:r>
    </w:p>
    <w:p w14:paraId="3C6B878A">
      <w:pPr>
        <w:keepNext w:val="0"/>
        <w:keepLines w:val="0"/>
        <w:pageBreakBefore w:val="0"/>
        <w:kinsoku/>
        <w:wordWrap/>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（4）变更主要负责人的，还应提交安全生产知识和管理能</w:t>
      </w:r>
    </w:p>
    <w:p w14:paraId="4965E811">
      <w:pPr>
        <w:keepNext w:val="0"/>
        <w:keepLines w:val="0"/>
        <w:pageBreakBefore w:val="0"/>
        <w:kinsoku/>
        <w:wordWrap/>
        <w:topLinePunct w:val="0"/>
        <w:autoSpaceDE/>
        <w:autoSpaceDN/>
        <w:bidi w:val="0"/>
        <w:spacing w:line="560" w:lineRule="exact"/>
        <w:jc w:val="left"/>
        <w:textAlignment w:val="auto"/>
        <w:rPr>
          <w:rFonts w:hint="eastAsia" w:ascii="仿宋_GB2312" w:eastAsia="仿宋_GB2312" w:cs="Times New Roman" w:hAnsiTheme="minorEastAsia"/>
          <w:sz w:val="32"/>
          <w:szCs w:val="32"/>
          <w:lang w:eastAsia="zh-CN"/>
        </w:rPr>
      </w:pPr>
      <w:r>
        <w:rPr>
          <w:rFonts w:hint="eastAsia" w:ascii="仿宋_GB2312" w:eastAsia="仿宋_GB2312" w:cs="Times New Roman" w:hAnsiTheme="minorEastAsia"/>
          <w:sz w:val="32"/>
          <w:szCs w:val="32"/>
        </w:rPr>
        <w:t>力考核合格证明材料</w:t>
      </w:r>
      <w:r>
        <w:rPr>
          <w:rFonts w:hint="eastAsia" w:ascii="仿宋_GB2312" w:eastAsia="仿宋_GB2312" w:cs="Times New Roman" w:hAnsiTheme="minorEastAsia"/>
          <w:sz w:val="32"/>
          <w:szCs w:val="32"/>
          <w:lang w:eastAsia="zh-CN"/>
        </w:rPr>
        <w:t>。</w:t>
      </w:r>
    </w:p>
    <w:p w14:paraId="6F671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lang w:val="en-US" w:eastAsia="zh-CN"/>
        </w:rPr>
        <w:t>4.已取得经营许可证的无储存经营企业变更许可范围、经营场所、经营方式的，应重新申请办理经营许可证。</w:t>
      </w:r>
    </w:p>
    <w:p w14:paraId="0A25B06C">
      <w:pPr>
        <w:keepNext w:val="0"/>
        <w:keepLines w:val="0"/>
        <w:pageBreakBefore w:val="0"/>
        <w:numPr>
          <w:ilvl w:val="0"/>
          <w:numId w:val="0"/>
        </w:numPr>
        <w:kinsoku/>
        <w:wordWrap/>
        <w:topLinePunct w:val="0"/>
        <w:autoSpaceDE/>
        <w:autoSpaceDN/>
        <w:bidi w:val="0"/>
        <w:spacing w:line="560" w:lineRule="exact"/>
        <w:ind w:left="640" w:leftChars="0"/>
        <w:jc w:val="left"/>
        <w:textAlignment w:val="auto"/>
        <w:rPr>
          <w:rFonts w:hint="eastAsia"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lang w:val="en-US" w:eastAsia="zh-CN"/>
        </w:rPr>
        <w:t>5.已经取得经营许可证的企业有新建、改建、扩建危险化</w:t>
      </w:r>
    </w:p>
    <w:p w14:paraId="2C782C32">
      <w:pPr>
        <w:keepNext w:val="0"/>
        <w:keepLines w:val="0"/>
        <w:pageBreakBefore w:val="0"/>
        <w:numPr>
          <w:ilvl w:val="0"/>
          <w:numId w:val="0"/>
        </w:numPr>
        <w:kinsoku/>
        <w:wordWrap/>
        <w:topLinePunct w:val="0"/>
        <w:autoSpaceDE/>
        <w:autoSpaceDN/>
        <w:bidi w:val="0"/>
        <w:spacing w:line="560" w:lineRule="exact"/>
        <w:jc w:val="left"/>
        <w:textAlignment w:val="auto"/>
        <w:rPr>
          <w:rFonts w:hint="eastAsia"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lang w:val="en-US" w:eastAsia="zh-CN"/>
        </w:rPr>
        <w:t>学品储存设施建设项目的，应当自建设项目安全设施竣工验收合格之日起 20 个工作日内，向发证机关提出变更申请，并提交经营许可证变更申请书、危险化学品建设项目安全设施竣工验收报告等相关文件、资料。</w:t>
      </w:r>
    </w:p>
    <w:p w14:paraId="4B9D065B">
      <w:pPr>
        <w:keepNext w:val="0"/>
        <w:keepLines w:val="0"/>
        <w:pageBreakBefore w:val="0"/>
        <w:numPr>
          <w:ilvl w:val="0"/>
          <w:numId w:val="0"/>
        </w:numPr>
        <w:kinsoku/>
        <w:wordWrap/>
        <w:topLinePunct w:val="0"/>
        <w:autoSpaceDE/>
        <w:autoSpaceDN/>
        <w:bidi w:val="0"/>
        <w:spacing w:line="560" w:lineRule="exact"/>
        <w:jc w:val="left"/>
        <w:textAlignment w:val="auto"/>
        <w:rPr>
          <w:rFonts w:hint="eastAsia"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lang w:val="en-US" w:eastAsia="zh-CN"/>
        </w:rPr>
        <w:t xml:space="preserve">    6.已取得经营许可证的储存危险化学品经营的企业，变更</w:t>
      </w:r>
    </w:p>
    <w:p w14:paraId="39C47450">
      <w:pPr>
        <w:keepNext w:val="0"/>
        <w:keepLines w:val="0"/>
        <w:pageBreakBefore w:val="0"/>
        <w:numPr>
          <w:ilvl w:val="0"/>
          <w:numId w:val="0"/>
        </w:numPr>
        <w:kinsoku/>
        <w:wordWrap/>
        <w:topLinePunct w:val="0"/>
        <w:autoSpaceDE/>
        <w:autoSpaceDN/>
        <w:bidi w:val="0"/>
        <w:spacing w:line="560" w:lineRule="exact"/>
        <w:jc w:val="left"/>
        <w:textAlignment w:val="auto"/>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lang w:val="en-US" w:eastAsia="zh-CN"/>
        </w:rPr>
        <w:t>其经营场所、储存场所、经营方式、许可范围的，应当按照规定重新申请办理经营许可证，并提交相关文件、资料。</w:t>
      </w:r>
    </w:p>
    <w:p w14:paraId="0E65456C">
      <w:pPr>
        <w:keepNext w:val="0"/>
        <w:keepLines w:val="0"/>
        <w:pageBreakBefore w:val="0"/>
        <w:kinsoku/>
        <w:wordWrap/>
        <w:topLinePunct w:val="0"/>
        <w:autoSpaceDE/>
        <w:autoSpaceDN/>
        <w:bidi w:val="0"/>
        <w:spacing w:line="560" w:lineRule="exact"/>
        <w:ind w:firstLine="640" w:firstLineChars="200"/>
        <w:textAlignment w:val="auto"/>
        <w:rPr>
          <w:rFonts w:ascii="仿宋_GB2312" w:eastAsia="仿宋_GB2312" w:hAnsiTheme="minorEastAsia"/>
          <w:kern w:val="2"/>
          <w:sz w:val="32"/>
          <w:szCs w:val="32"/>
        </w:rPr>
      </w:pPr>
      <w:r>
        <w:rPr>
          <w:rFonts w:hint="eastAsia" w:ascii="黑体" w:hAnsi="黑体" w:eastAsia="黑体"/>
          <w:sz w:val="32"/>
          <w:szCs w:val="32"/>
        </w:rPr>
        <w:t>五、办理程序</w:t>
      </w:r>
      <w:r>
        <w:rPr>
          <w:rFonts w:hint="eastAsia" w:ascii="黑体" w:hAnsi="黑体" w:eastAsia="黑体"/>
          <w:sz w:val="32"/>
          <w:szCs w:val="32"/>
          <w:lang w:eastAsia="zh-CN"/>
        </w:rPr>
        <w:t>：</w:t>
      </w:r>
      <w:r>
        <w:rPr>
          <w:rFonts w:hint="eastAsia" w:ascii="仿宋_GB2312" w:eastAsia="仿宋_GB2312" w:hAnsiTheme="minorEastAsia"/>
          <w:kern w:val="2"/>
          <w:sz w:val="32"/>
          <w:szCs w:val="32"/>
        </w:rPr>
        <w:t>受理→审核→审批→办结</w:t>
      </w:r>
    </w:p>
    <w:p w14:paraId="0A9D4284">
      <w:pPr>
        <w:keepNext w:val="0"/>
        <w:keepLines w:val="0"/>
        <w:pageBreakBefore w:val="0"/>
        <w:kinsoku/>
        <w:wordWrap/>
        <w:topLinePunct w:val="0"/>
        <w:autoSpaceDE/>
        <w:autoSpaceDN/>
        <w:bidi w:val="0"/>
        <w:spacing w:line="560" w:lineRule="exact"/>
        <w:ind w:firstLine="640" w:firstLineChars="200"/>
        <w:jc w:val="left"/>
        <w:textAlignment w:val="auto"/>
        <w:rPr>
          <w:rFonts w:ascii="仿宋_GB2312" w:hAnsi="仿宋_GB2312" w:eastAsia="仿宋_GB2312" w:cs="仿宋_GB2312"/>
          <w:kern w:val="0"/>
          <w:szCs w:val="21"/>
        </w:rPr>
      </w:pPr>
      <w:r>
        <w:rPr>
          <w:rFonts w:hint="eastAsia" w:ascii="黑体" w:hAnsi="黑体" w:eastAsia="黑体"/>
          <w:sz w:val="32"/>
          <w:szCs w:val="32"/>
        </w:rPr>
        <w:t>六、法定时限：</w:t>
      </w:r>
      <w:r>
        <w:rPr>
          <w:rFonts w:hint="eastAsia" w:ascii="仿宋_GB2312" w:eastAsia="仿宋_GB2312" w:cs="Times New Roman" w:hAnsiTheme="minorEastAsia"/>
          <w:sz w:val="32"/>
          <w:szCs w:val="32"/>
          <w:lang w:val="en-US" w:eastAsia="zh-CN"/>
        </w:rPr>
        <w:t>2</w:t>
      </w:r>
      <w:r>
        <w:rPr>
          <w:rFonts w:hint="eastAsia" w:ascii="仿宋_GB2312" w:eastAsia="仿宋_GB2312" w:cs="Times New Roman" w:hAnsiTheme="minorEastAsia"/>
          <w:sz w:val="32"/>
          <w:szCs w:val="32"/>
        </w:rPr>
        <w:t>0个工作日（变更10个工作日），不含发证机关现场核查以及申请人整改现场核查发现的有关问题和修改有关申请文件、资料所需时间。</w:t>
      </w:r>
    </w:p>
    <w:p w14:paraId="119EF883">
      <w:pPr>
        <w:keepNext w:val="0"/>
        <w:keepLines w:val="0"/>
        <w:pageBreakBefore w:val="0"/>
        <w:kinsoku/>
        <w:wordWrap/>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、发放证件及有效期</w:t>
      </w:r>
    </w:p>
    <w:p w14:paraId="07ACD9EA">
      <w:pPr>
        <w:keepNext w:val="0"/>
        <w:keepLines w:val="0"/>
        <w:pageBreakBefore w:val="0"/>
        <w:kinsoku/>
        <w:wordWrap/>
        <w:topLinePunct w:val="0"/>
        <w:autoSpaceDE/>
        <w:autoSpaceDN/>
        <w:bidi w:val="0"/>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cs="宋体" w:hAnsiTheme="minorEastAsia"/>
          <w:color w:val="3D3D3D"/>
          <w:kern w:val="0"/>
          <w:sz w:val="32"/>
          <w:szCs w:val="32"/>
        </w:rPr>
        <w:t>《危险化学品经营许可证》</w:t>
      </w:r>
      <w:r>
        <w:rPr>
          <w:rFonts w:hint="eastAsia" w:ascii="仿宋_GB2312" w:eastAsia="仿宋_GB2312" w:cs="宋体" w:hAnsiTheme="minorEastAsia"/>
          <w:color w:val="3D3D3D"/>
          <w:kern w:val="0"/>
          <w:sz w:val="32"/>
          <w:szCs w:val="32"/>
          <w:lang w:eastAsia="zh-CN"/>
        </w:rPr>
        <w:t>，</w:t>
      </w:r>
      <w:r>
        <w:rPr>
          <w:rFonts w:hint="eastAsia" w:ascii="仿宋_GB2312" w:eastAsia="仿宋_GB2312" w:hAnsiTheme="minorEastAsia"/>
          <w:sz w:val="32"/>
          <w:szCs w:val="32"/>
        </w:rPr>
        <w:t>有效期：3年</w:t>
      </w:r>
      <w:r>
        <w:rPr>
          <w:rFonts w:ascii="仿宋_GB2312" w:eastAsia="仿宋_GB2312" w:hAnsiTheme="minorEastAsia"/>
          <w:sz w:val="32"/>
          <w:szCs w:val="32"/>
        </w:rPr>
        <w:t xml:space="preserve"> </w:t>
      </w:r>
    </w:p>
    <w:p w14:paraId="7E45EB50">
      <w:pPr>
        <w:keepNext w:val="0"/>
        <w:keepLines w:val="0"/>
        <w:pageBreakBefore w:val="0"/>
        <w:numPr>
          <w:ilvl w:val="0"/>
          <w:numId w:val="3"/>
        </w:numPr>
        <w:kinsoku/>
        <w:wordWrap/>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收费依据及标准</w:t>
      </w:r>
      <w:r>
        <w:rPr>
          <w:rFonts w:hint="eastAsia" w:ascii="黑体" w:hAnsi="黑体" w:eastAsia="黑体"/>
          <w:sz w:val="32"/>
          <w:szCs w:val="32"/>
          <w:lang w:eastAsia="zh-CN"/>
        </w:rPr>
        <w:t>：</w:t>
      </w:r>
      <w:r>
        <w:rPr>
          <w:rFonts w:hint="eastAsia" w:ascii="仿宋_GB2312" w:eastAsia="仿宋_GB2312" w:hAnsiTheme="minorEastAsia"/>
          <w:sz w:val="32"/>
          <w:szCs w:val="32"/>
        </w:rPr>
        <w:t>不收费</w:t>
      </w:r>
    </w:p>
    <w:p w14:paraId="3F10E2F5">
      <w:pPr>
        <w:keepNext w:val="0"/>
        <w:keepLines w:val="0"/>
        <w:pageBreakBefore w:val="0"/>
        <w:kinsoku/>
        <w:wordWrap/>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、咨询服务电话</w:t>
      </w:r>
    </w:p>
    <w:p w14:paraId="27FD7FB7">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 xml:space="preserve">办理窗口：滕州市北辛中路政务服务中心三楼H313窗口 </w:t>
      </w:r>
    </w:p>
    <w:p w14:paraId="1EDE6F66">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相关材料下载邮箱：tzy</w:t>
      </w:r>
      <w:r>
        <w:rPr>
          <w:rFonts w:hint="eastAsia" w:ascii="仿宋_GB2312" w:hAnsi="宋体" w:eastAsia="仿宋_GB2312"/>
          <w:sz w:val="32"/>
          <w:szCs w:val="32"/>
          <w:lang w:val="en-US" w:eastAsia="zh-CN"/>
        </w:rPr>
        <w:t>j</w:t>
      </w:r>
      <w:r>
        <w:rPr>
          <w:rFonts w:hint="eastAsia" w:ascii="仿宋_GB2312" w:hAnsi="宋体" w:eastAsia="仿宋_GB2312"/>
          <w:sz w:val="32"/>
          <w:szCs w:val="32"/>
        </w:rPr>
        <w:t>xzxks@163.com   密码：TZyj1357</w:t>
      </w:r>
    </w:p>
    <w:p w14:paraId="6F6C25BB">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联系电话：0632-5963001</w:t>
      </w:r>
    </w:p>
    <w:p w14:paraId="3DBCC5C4">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监督投诉：0632-5888278</w:t>
      </w:r>
    </w:p>
    <w:sectPr>
      <w:footerReference r:id="rId3"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126B">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A7CD8F">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A3E39"/>
    <w:multiLevelType w:val="singleLevel"/>
    <w:tmpl w:val="50BA3E39"/>
    <w:lvl w:ilvl="0" w:tentative="0">
      <w:start w:val="6"/>
      <w:numFmt w:val="decimal"/>
      <w:suff w:val="nothing"/>
      <w:lvlText w:val="（%1）"/>
      <w:lvlJc w:val="left"/>
      <w:rPr>
        <w:rFonts w:hint="default"/>
        <w:b w:val="0"/>
        <w:bCs w:val="0"/>
      </w:rPr>
    </w:lvl>
  </w:abstractNum>
  <w:abstractNum w:abstractNumId="1">
    <w:nsid w:val="54A8F064"/>
    <w:multiLevelType w:val="multilevel"/>
    <w:tmpl w:val="54A8F064"/>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21"/>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pStyle w:val="20"/>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6637D466"/>
    <w:multiLevelType w:val="singleLevel"/>
    <w:tmpl w:val="6637D466"/>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g1OTRmNjMzMWEyMjFhMzdmYTdlYzljYzZlOWJlYTMifQ=="/>
  </w:docVars>
  <w:rsids>
    <w:rsidRoot w:val="00295CC5"/>
    <w:rsid w:val="000217B2"/>
    <w:rsid w:val="00027E80"/>
    <w:rsid w:val="00043000"/>
    <w:rsid w:val="00060D32"/>
    <w:rsid w:val="00087546"/>
    <w:rsid w:val="000929F3"/>
    <w:rsid w:val="00096734"/>
    <w:rsid w:val="000D6AB6"/>
    <w:rsid w:val="000F7EAB"/>
    <w:rsid w:val="002876CD"/>
    <w:rsid w:val="00295CC5"/>
    <w:rsid w:val="002A1F54"/>
    <w:rsid w:val="002B0560"/>
    <w:rsid w:val="002D2447"/>
    <w:rsid w:val="002D4FA1"/>
    <w:rsid w:val="002E62AC"/>
    <w:rsid w:val="002F0F15"/>
    <w:rsid w:val="00324484"/>
    <w:rsid w:val="00380A49"/>
    <w:rsid w:val="003C3523"/>
    <w:rsid w:val="003C563A"/>
    <w:rsid w:val="003E60F9"/>
    <w:rsid w:val="004222CF"/>
    <w:rsid w:val="004C24C9"/>
    <w:rsid w:val="004F5672"/>
    <w:rsid w:val="00527B39"/>
    <w:rsid w:val="00531091"/>
    <w:rsid w:val="005366E7"/>
    <w:rsid w:val="005B3522"/>
    <w:rsid w:val="005B36CD"/>
    <w:rsid w:val="005D1C8A"/>
    <w:rsid w:val="005D4729"/>
    <w:rsid w:val="005E5945"/>
    <w:rsid w:val="005F47D7"/>
    <w:rsid w:val="006E2926"/>
    <w:rsid w:val="006F5B69"/>
    <w:rsid w:val="007869BB"/>
    <w:rsid w:val="00787E09"/>
    <w:rsid w:val="007B3007"/>
    <w:rsid w:val="007E376B"/>
    <w:rsid w:val="007E3F84"/>
    <w:rsid w:val="0085690C"/>
    <w:rsid w:val="00887930"/>
    <w:rsid w:val="008929AB"/>
    <w:rsid w:val="00961337"/>
    <w:rsid w:val="009C3B11"/>
    <w:rsid w:val="009F46EE"/>
    <w:rsid w:val="00A15561"/>
    <w:rsid w:val="00A86F7C"/>
    <w:rsid w:val="00B241B1"/>
    <w:rsid w:val="00B266A5"/>
    <w:rsid w:val="00B4345B"/>
    <w:rsid w:val="00B525CE"/>
    <w:rsid w:val="00B5538B"/>
    <w:rsid w:val="00B67517"/>
    <w:rsid w:val="00B84DF8"/>
    <w:rsid w:val="00BB0975"/>
    <w:rsid w:val="00BC11E5"/>
    <w:rsid w:val="00BD352D"/>
    <w:rsid w:val="00C011F2"/>
    <w:rsid w:val="00C22EA1"/>
    <w:rsid w:val="00C50861"/>
    <w:rsid w:val="00CA2331"/>
    <w:rsid w:val="00CC08F8"/>
    <w:rsid w:val="00CC0A81"/>
    <w:rsid w:val="00CF0177"/>
    <w:rsid w:val="00CF4705"/>
    <w:rsid w:val="00D258A9"/>
    <w:rsid w:val="00D33A0C"/>
    <w:rsid w:val="00D44B64"/>
    <w:rsid w:val="00DB0955"/>
    <w:rsid w:val="00F668D3"/>
    <w:rsid w:val="00F677DD"/>
    <w:rsid w:val="10950BD8"/>
    <w:rsid w:val="1A6E2EBC"/>
    <w:rsid w:val="292E24A0"/>
    <w:rsid w:val="2E761947"/>
    <w:rsid w:val="2EAE1391"/>
    <w:rsid w:val="3674251C"/>
    <w:rsid w:val="36F173CF"/>
    <w:rsid w:val="396B089C"/>
    <w:rsid w:val="3B762C5B"/>
    <w:rsid w:val="3BBFD045"/>
    <w:rsid w:val="3D664DD9"/>
    <w:rsid w:val="3E0E092B"/>
    <w:rsid w:val="44F750EB"/>
    <w:rsid w:val="4F102055"/>
    <w:rsid w:val="509274CF"/>
    <w:rsid w:val="51AC5067"/>
    <w:rsid w:val="5EFC09FB"/>
    <w:rsid w:val="79C400F1"/>
    <w:rsid w:val="7DAA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2"/>
    <w:autoRedefine/>
    <w:semiHidden/>
    <w:unhideWhenUsed/>
    <w:qFormat/>
    <w:uiPriority w:val="99"/>
    <w:pPr>
      <w:spacing w:after="120"/>
    </w:pPr>
  </w:style>
  <w:style w:type="paragraph" w:styleId="3">
    <w:name w:val="Plain Text"/>
    <w:basedOn w:val="1"/>
    <w:link w:val="13"/>
    <w:autoRedefine/>
    <w:semiHidden/>
    <w:qFormat/>
    <w:uiPriority w:val="99"/>
    <w:rPr>
      <w:rFonts w:ascii="宋体" w:hAnsi="Courier New" w:eastAsia="宋体" w:cs="Courier New"/>
      <w:szCs w:val="21"/>
    </w:rPr>
  </w:style>
  <w:style w:type="paragraph" w:styleId="4">
    <w:name w:val="Body Text Indent 2"/>
    <w:basedOn w:val="1"/>
    <w:link w:val="17"/>
    <w:autoRedefine/>
    <w:qFormat/>
    <w:uiPriority w:val="0"/>
    <w:pPr>
      <w:spacing w:after="120" w:line="480" w:lineRule="auto"/>
      <w:ind w:left="420" w:leftChars="200"/>
    </w:pPr>
    <w:rPr>
      <w:rFonts w:ascii="Times New Roman" w:hAnsi="Times New Roman" w:eastAsia="宋体" w:cs="Times New Roman"/>
      <w:szCs w:val="24"/>
    </w:rPr>
  </w:style>
  <w:style w:type="paragraph" w:styleId="5">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qFormat/>
    <w:uiPriority w:val="99"/>
    <w:pPr>
      <w:spacing w:beforeAutospacing="1" w:afterAutospacing="1"/>
      <w:jc w:val="left"/>
    </w:pPr>
    <w:rPr>
      <w:rFonts w:ascii="Calibri" w:hAnsi="Calibri" w:eastAsia="宋体" w:cs="Times New Roman"/>
      <w:kern w:val="0"/>
      <w:sz w:val="24"/>
    </w:r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paragraph" w:customStyle="1" w:styleId="12">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13">
    <w:name w:val="纯文本 Char"/>
    <w:basedOn w:val="9"/>
    <w:link w:val="3"/>
    <w:semiHidden/>
    <w:qFormat/>
    <w:uiPriority w:val="99"/>
    <w:rPr>
      <w:rFonts w:ascii="宋体" w:hAnsi="Courier New" w:eastAsia="宋体" w:cs="Courier New"/>
      <w:szCs w:val="21"/>
    </w:rPr>
  </w:style>
  <w:style w:type="character" w:customStyle="1" w:styleId="14">
    <w:name w:val="页眉 Char"/>
    <w:basedOn w:val="9"/>
    <w:link w:val="6"/>
    <w:autoRedefine/>
    <w:semiHidden/>
    <w:qFormat/>
    <w:uiPriority w:val="99"/>
    <w:rPr>
      <w:sz w:val="18"/>
      <w:szCs w:val="18"/>
    </w:rPr>
  </w:style>
  <w:style w:type="character" w:customStyle="1" w:styleId="15">
    <w:name w:val="页脚 Char"/>
    <w:basedOn w:val="9"/>
    <w:link w:val="5"/>
    <w:semiHidden/>
    <w:qFormat/>
    <w:uiPriority w:val="99"/>
    <w:rPr>
      <w:sz w:val="18"/>
      <w:szCs w:val="18"/>
    </w:rPr>
  </w:style>
  <w:style w:type="character" w:customStyle="1" w:styleId="16">
    <w:name w:val="正文文本缩进 2 Char"/>
    <w:link w:val="4"/>
    <w:autoRedefine/>
    <w:qFormat/>
    <w:uiPriority w:val="0"/>
    <w:rPr>
      <w:rFonts w:ascii="Times New Roman" w:hAnsi="Times New Roman" w:eastAsia="宋体" w:cs="Times New Roman"/>
      <w:szCs w:val="24"/>
    </w:rPr>
  </w:style>
  <w:style w:type="character" w:customStyle="1" w:styleId="17">
    <w:name w:val="正文文本缩进 2 Char1"/>
    <w:basedOn w:val="9"/>
    <w:link w:val="4"/>
    <w:autoRedefine/>
    <w:semiHidden/>
    <w:qFormat/>
    <w:uiPriority w:val="99"/>
  </w:style>
  <w:style w:type="paragraph" w:customStyle="1" w:styleId="18">
    <w:name w:val="段"/>
    <w:basedOn w:val="1"/>
    <w:autoRedefine/>
    <w:qFormat/>
    <w:uiPriority w:val="0"/>
    <w:pPr>
      <w:widowControl/>
      <w:autoSpaceDE w:val="0"/>
      <w:autoSpaceDN w:val="0"/>
      <w:ind w:firstLine="200" w:firstLineChars="200"/>
    </w:pPr>
    <w:rPr>
      <w:rFonts w:hint="eastAsia" w:ascii="宋体" w:hAnsi="Times New Roman" w:eastAsia="宋体" w:cs="Times New Roman"/>
      <w:kern w:val="0"/>
      <w:szCs w:val="20"/>
    </w:rPr>
  </w:style>
  <w:style w:type="paragraph" w:customStyle="1" w:styleId="19">
    <w:name w:val="二级无"/>
    <w:basedOn w:val="20"/>
    <w:autoRedefine/>
    <w:qFormat/>
    <w:uiPriority w:val="0"/>
    <w:pPr>
      <w:tabs>
        <w:tab w:val="left" w:pos="0"/>
      </w:tabs>
    </w:pPr>
    <w:rPr>
      <w:rFonts w:ascii="宋体" w:eastAsia="宋体"/>
    </w:rPr>
  </w:style>
  <w:style w:type="paragraph" w:customStyle="1" w:styleId="20">
    <w:name w:val="二级条标题"/>
    <w:basedOn w:val="21"/>
    <w:next w:val="18"/>
    <w:autoRedefine/>
    <w:qFormat/>
    <w:uiPriority w:val="0"/>
    <w:pPr>
      <w:numPr>
        <w:ilvl w:val="2"/>
      </w:numPr>
      <w:tabs>
        <w:tab w:val="left" w:pos="0"/>
      </w:tabs>
      <w:outlineLvl w:val="3"/>
    </w:pPr>
  </w:style>
  <w:style w:type="paragraph" w:customStyle="1" w:styleId="21">
    <w:name w:val="一级条标题"/>
    <w:basedOn w:val="1"/>
    <w:next w:val="18"/>
    <w:autoRedefine/>
    <w:qFormat/>
    <w:uiPriority w:val="0"/>
    <w:pPr>
      <w:widowControl/>
      <w:numPr>
        <w:ilvl w:val="1"/>
        <w:numId w:val="1"/>
      </w:numPr>
      <w:jc w:val="left"/>
      <w:outlineLvl w:val="2"/>
    </w:pPr>
    <w:rPr>
      <w:rFonts w:hint="eastAsia" w:ascii="Times New Roman" w:hAnsi="Times New Roman" w:eastAsia="黑体" w:cs="Times New Roman"/>
      <w:kern w:val="0"/>
      <w:szCs w:val="20"/>
    </w:rPr>
  </w:style>
  <w:style w:type="character" w:customStyle="1" w:styleId="22">
    <w:name w:val="正文文本 Char"/>
    <w:basedOn w:val="9"/>
    <w:link w:val="2"/>
    <w:autoRedefine/>
    <w:semiHidden/>
    <w:qFormat/>
    <w:uiPriority w:val="99"/>
  </w:style>
  <w:style w:type="paragraph" w:customStyle="1" w:styleId="23">
    <w:name w:val="Char Char Char Char Char Char Char"/>
    <w:basedOn w:val="1"/>
    <w:autoRedefine/>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2619</Words>
  <Characters>2754</Characters>
  <Lines>21</Lines>
  <Paragraphs>5</Paragraphs>
  <TotalTime>40</TotalTime>
  <ScaleCrop>false</ScaleCrop>
  <LinksUpToDate>false</LinksUpToDate>
  <CharactersWithSpaces>2778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2020-09-27T10:09:00Z</dcterms:created>
  <dc:creator>admin</dc:creator>
  <cp:lastModifiedBy>黑涩8幽默</cp:lastModifiedBy>
  <cp:lastPrinted>2026-02-27T09:20:21Z</cp:lastPrinted>
  <dcterms:modified xsi:type="dcterms:W3CDTF">2026-02-27T10:29:52Z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5B877596E9DC43EF9111AABAD532FD2D</vt:lpwstr>
  </property>
  <property fmtid="{D5CDD505-2E9C-101B-9397-08002B2CF9AE}" pid="4" name="KSOTemplateDocerSaveRecord">
    <vt:lpwstr>eyJoZGlkIjoiMDg1OTRmNjMzMWEyMjFhMzdmYTdlYzljYzZlOWJlYTMiLCJ1c2VySWQiOiI1MDc4OTcxNDcifQ==</vt:lpwstr>
  </property>
</Properties>
</file>