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4 -->
  <w:body>
    <w:p>
      <w:pPr>
        <w:jc w:val="center"/>
        <w:rPr>
          <w:rFonts w:ascii="黑体" w:eastAsia="黑体" w:hAnsi="黑体"/>
          <w:sz w:val="44"/>
          <w:szCs w:val="44"/>
        </w:rPr>
      </w:pPr>
    </w:p>
    <w:p>
      <w:pPr>
        <w:adjustRightInd w:val="0"/>
        <w:snapToGrid w:val="0"/>
        <w:jc w:val="center"/>
        <w:rPr>
          <w:rFonts w:ascii="方正小标宋简体" w:eastAsia="方正小标宋简体" w:hAnsi="黑体" w:hint="eastAsia"/>
          <w:sz w:val="44"/>
          <w:szCs w:val="44"/>
        </w:rPr>
      </w:pPr>
      <w:bookmarkStart w:id="0" w:name="_GoBack"/>
      <w:r>
        <w:rPr>
          <w:rFonts w:ascii="方正小标宋简体" w:eastAsia="方正小标宋简体" w:hAnsi="黑体" w:hint="eastAsia"/>
          <w:sz w:val="44"/>
          <w:szCs w:val="44"/>
        </w:rPr>
        <w:t>省商务厅</w:t>
      </w:r>
    </w:p>
    <w:bookmarkEnd w:id="0"/>
    <w:p>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2023年“稳中向好、进中提质”政策清单</w:t>
      </w:r>
    </w:p>
    <w:p>
      <w:pPr>
        <w:adjustRightInd w:val="0"/>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（第三批）政策解读会议材料</w:t>
      </w:r>
    </w:p>
    <w:p>
      <w:pPr>
        <w:jc w:val="center"/>
        <w:rPr>
          <w:rFonts w:ascii="仿宋_GB2312" w:eastAsia="仿宋_GB2312"/>
          <w:sz w:val="32"/>
          <w:szCs w:val="32"/>
        </w:rPr>
      </w:pPr>
    </w:p>
    <w:p>
      <w:pPr>
        <w:rPr>
          <w:rFonts w:ascii="仿宋_GB2312" w:eastAsia="仿宋_GB2312"/>
          <w:sz w:val="32"/>
          <w:szCs w:val="32"/>
        </w:rPr>
      </w:pPr>
      <w:r>
        <w:rPr>
          <w:rFonts w:ascii="仿宋_GB2312" w:eastAsia="仿宋_GB2312" w:hint="eastAsia"/>
          <w:sz w:val="32"/>
          <w:szCs w:val="32"/>
        </w:rPr>
        <w:t>各位领导</w:t>
      </w:r>
      <w:r>
        <w:rPr>
          <w:rFonts w:ascii="仿宋_GB2312" w:eastAsia="仿宋_GB2312"/>
          <w:sz w:val="32"/>
          <w:szCs w:val="32"/>
        </w:rPr>
        <w:t>、同事</w:t>
      </w:r>
      <w:r>
        <w:rPr>
          <w:rFonts w:ascii="仿宋_GB2312" w:eastAsia="仿宋_GB2312" w:hint="eastAsia"/>
          <w:sz w:val="32"/>
          <w:szCs w:val="32"/>
        </w:rPr>
        <w:t>：</w:t>
      </w:r>
    </w:p>
    <w:p>
      <w:pPr>
        <w:ind w:firstLine="640" w:firstLineChars="200"/>
        <w:rPr>
          <w:rFonts w:ascii="仿宋_GB2312" w:eastAsia="仿宋_GB2312"/>
          <w:sz w:val="32"/>
          <w:szCs w:val="32"/>
        </w:rPr>
      </w:pPr>
      <w:r>
        <w:rPr>
          <w:rFonts w:ascii="仿宋_GB2312" w:eastAsia="仿宋_GB2312" w:hint="eastAsia"/>
          <w:sz w:val="32"/>
          <w:szCs w:val="32"/>
        </w:rPr>
        <w:t>大家上午好！</w:t>
      </w:r>
    </w:p>
    <w:p>
      <w:pPr>
        <w:ind w:firstLine="640" w:firstLineChars="200"/>
        <w:rPr>
          <w:rFonts w:ascii="仿宋_GB2312" w:eastAsia="仿宋_GB2312"/>
          <w:sz w:val="32"/>
          <w:szCs w:val="32"/>
        </w:rPr>
      </w:pPr>
      <w:r>
        <w:rPr>
          <w:rFonts w:ascii="仿宋_GB2312" w:eastAsia="仿宋_GB2312" w:hint="eastAsia"/>
          <w:sz w:val="32"/>
          <w:szCs w:val="32"/>
        </w:rPr>
        <w:t>2023年是全面贯彻落实党的二十大精神的开局之年，是我省建设绿色低碳高质量发展先行区三年行动计划的起步之年，</w:t>
      </w:r>
      <w:r>
        <w:rPr>
          <w:rFonts w:ascii="仿宋_GB2312" w:eastAsia="仿宋_GB2312"/>
          <w:sz w:val="32"/>
          <w:szCs w:val="32"/>
        </w:rPr>
        <w:t>省商务厅</w:t>
      </w:r>
      <w:r>
        <w:rPr>
          <w:rFonts w:ascii="仿宋_GB2312" w:eastAsia="仿宋_GB2312" w:hint="eastAsia"/>
          <w:sz w:val="32"/>
          <w:szCs w:val="32"/>
        </w:rPr>
        <w:t>坚定贯彻落实省委省政府“山东消费</w:t>
      </w:r>
      <w:r>
        <w:rPr>
          <w:rFonts w:ascii="仿宋_GB2312" w:eastAsia="仿宋_GB2312"/>
          <w:sz w:val="32"/>
          <w:szCs w:val="32"/>
        </w:rPr>
        <w:t>提振年</w:t>
      </w:r>
      <w:r>
        <w:rPr>
          <w:rFonts w:ascii="仿宋_GB2312" w:eastAsia="仿宋_GB2312" w:hint="eastAsia"/>
          <w:sz w:val="32"/>
          <w:szCs w:val="32"/>
        </w:rPr>
        <w:t>”决策部署，把恢复和扩大消费摆在优先位置，接续出台系列提振消费的政策措施，从供给和需求两端发力，推动消费市场稳定向好。一季度，全省实现社会消费品零售总额8282亿元</w:t>
      </w:r>
      <w:r>
        <w:rPr>
          <w:rFonts w:ascii="仿宋_GB2312" w:eastAsia="仿宋_GB2312"/>
          <w:sz w:val="32"/>
          <w:szCs w:val="32"/>
        </w:rPr>
        <w:t>，同比增长</w:t>
      </w: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，高于2</w:t>
      </w:r>
      <w:r>
        <w:rPr>
          <w:rFonts w:ascii="仿宋_GB2312" w:eastAsia="仿宋_GB2312"/>
          <w:sz w:val="32"/>
          <w:szCs w:val="32"/>
        </w:rPr>
        <w:t>022</w:t>
      </w:r>
      <w:r>
        <w:rPr>
          <w:rFonts w:ascii="仿宋_GB2312" w:eastAsia="仿宋_GB2312" w:hint="eastAsia"/>
          <w:sz w:val="32"/>
          <w:szCs w:val="32"/>
        </w:rPr>
        <w:t>年7个百分点。</w:t>
      </w:r>
    </w:p>
    <w:p>
      <w:pPr>
        <w:ind w:firstLine="640" w:firstLineChars="200"/>
        <w:rPr>
          <w:rFonts w:ascii="仿宋_GB2312" w:eastAsia="仿宋_GB2312"/>
          <w:sz w:val="32"/>
          <w:szCs w:val="32"/>
        </w:rPr>
      </w:pPr>
      <w:r>
        <w:rPr>
          <w:rFonts w:ascii="仿宋_GB2312" w:eastAsia="仿宋_GB2312" w:hint="eastAsia"/>
          <w:sz w:val="32"/>
          <w:szCs w:val="32"/>
        </w:rPr>
        <w:t>第三批政策清单中我厅新提出2项新的促消费政策，主要</w:t>
      </w:r>
      <w:r>
        <w:rPr>
          <w:rFonts w:ascii="仿宋_GB2312" w:eastAsia="仿宋_GB2312"/>
          <w:sz w:val="32"/>
          <w:szCs w:val="32"/>
        </w:rPr>
        <w:t>基于两方面考虑，</w:t>
      </w:r>
      <w:r>
        <w:rPr>
          <w:rFonts w:ascii="仿宋_GB2312" w:eastAsia="仿宋_GB2312" w:hint="eastAsia"/>
          <w:sz w:val="32"/>
          <w:szCs w:val="32"/>
        </w:rPr>
        <w:t>一是加强政策统筹衔接，今年以来</w:t>
      </w:r>
      <w:r>
        <w:rPr>
          <w:rFonts w:ascii="仿宋_GB2312" w:eastAsia="仿宋_GB2312"/>
          <w:sz w:val="32"/>
          <w:szCs w:val="32"/>
        </w:rPr>
        <w:t>，省商务厅会同</w:t>
      </w:r>
      <w:r>
        <w:rPr>
          <w:rFonts w:ascii="仿宋_GB2312" w:eastAsia="仿宋_GB2312" w:hint="eastAsia"/>
          <w:sz w:val="32"/>
          <w:szCs w:val="32"/>
        </w:rPr>
        <w:t>省</w:t>
      </w:r>
      <w:r>
        <w:rPr>
          <w:rFonts w:ascii="仿宋_GB2312" w:eastAsia="仿宋_GB2312"/>
          <w:sz w:val="32"/>
          <w:szCs w:val="32"/>
        </w:rPr>
        <w:t>发展改革委、省财政厅</w:t>
      </w:r>
      <w:r>
        <w:rPr>
          <w:rFonts w:ascii="仿宋_GB2312" w:eastAsia="仿宋_GB2312" w:hint="eastAsia"/>
          <w:sz w:val="32"/>
          <w:szCs w:val="32"/>
        </w:rPr>
        <w:t>出台10条</w:t>
      </w:r>
      <w:r>
        <w:rPr>
          <w:rFonts w:ascii="仿宋_GB2312" w:eastAsia="仿宋_GB2312"/>
          <w:sz w:val="32"/>
          <w:szCs w:val="32"/>
        </w:rPr>
        <w:t>支持商贸</w:t>
      </w:r>
      <w:r>
        <w:rPr>
          <w:rFonts w:ascii="仿宋_GB2312" w:eastAsia="仿宋_GB2312" w:hint="eastAsia"/>
          <w:sz w:val="32"/>
          <w:szCs w:val="32"/>
        </w:rPr>
        <w:t>流通</w:t>
      </w:r>
      <w:r>
        <w:rPr>
          <w:rFonts w:ascii="仿宋_GB2312" w:eastAsia="仿宋_GB2312"/>
          <w:sz w:val="32"/>
          <w:szCs w:val="32"/>
        </w:rPr>
        <w:t>行业促进居民消费</w:t>
      </w:r>
      <w:r>
        <w:rPr>
          <w:rFonts w:ascii="仿宋_GB2312" w:eastAsia="仿宋_GB2312" w:hint="eastAsia"/>
          <w:sz w:val="32"/>
          <w:szCs w:val="32"/>
        </w:rPr>
        <w:t>的</w:t>
      </w:r>
      <w:r>
        <w:rPr>
          <w:rFonts w:ascii="仿宋_GB2312" w:eastAsia="仿宋_GB2312"/>
          <w:sz w:val="32"/>
          <w:szCs w:val="32"/>
        </w:rPr>
        <w:t>政策措施，</w:t>
      </w:r>
      <w:r>
        <w:rPr>
          <w:rFonts w:ascii="仿宋_GB2312" w:eastAsia="仿宋_GB2312" w:hint="eastAsia"/>
          <w:sz w:val="32"/>
          <w:szCs w:val="32"/>
        </w:rPr>
        <w:t>后又接续出台</w:t>
      </w:r>
      <w:r>
        <w:rPr>
          <w:rFonts w:ascii="仿宋_GB2312" w:eastAsia="仿宋_GB2312"/>
          <w:sz w:val="32"/>
          <w:szCs w:val="32"/>
        </w:rPr>
        <w:t>系列促进消费政策纳入</w:t>
      </w:r>
      <w:r>
        <w:rPr>
          <w:rFonts w:ascii="仿宋_GB2312" w:eastAsia="仿宋_GB2312" w:hint="eastAsia"/>
          <w:sz w:val="32"/>
          <w:szCs w:val="32"/>
        </w:rPr>
        <w:t>2023年“稳中向好、进中提质”前两批政策</w:t>
      </w:r>
      <w:r>
        <w:rPr>
          <w:rFonts w:ascii="仿宋_GB2312" w:eastAsia="仿宋_GB2312"/>
          <w:sz w:val="32"/>
          <w:szCs w:val="32"/>
        </w:rPr>
        <w:t>清单</w:t>
      </w:r>
      <w:r>
        <w:rPr>
          <w:rFonts w:ascii="仿宋_GB2312" w:eastAsia="仿宋_GB2312" w:hint="eastAsia"/>
          <w:sz w:val="32"/>
          <w:szCs w:val="32"/>
        </w:rPr>
        <w:t>，第三批政策清单中推出新的促消费政策，可以</w:t>
      </w:r>
      <w:r>
        <w:rPr>
          <w:rFonts w:ascii="仿宋_GB2312" w:eastAsia="仿宋_GB2312"/>
          <w:sz w:val="32"/>
          <w:szCs w:val="32"/>
        </w:rPr>
        <w:t>持续巩固</w:t>
      </w:r>
      <w:r>
        <w:rPr>
          <w:rFonts w:ascii="仿宋_GB2312" w:eastAsia="仿宋_GB2312" w:hint="eastAsia"/>
          <w:sz w:val="32"/>
          <w:szCs w:val="32"/>
        </w:rPr>
        <w:t>我省促</w:t>
      </w:r>
      <w:r>
        <w:rPr>
          <w:rFonts w:ascii="仿宋_GB2312" w:eastAsia="仿宋_GB2312"/>
          <w:sz w:val="32"/>
          <w:szCs w:val="32"/>
        </w:rPr>
        <w:t>消费政策成果，</w:t>
      </w:r>
      <w:r>
        <w:rPr>
          <w:rFonts w:ascii="仿宋_GB2312" w:eastAsia="仿宋_GB2312" w:hint="eastAsia"/>
          <w:sz w:val="32"/>
          <w:szCs w:val="32"/>
        </w:rPr>
        <w:t>保持</w:t>
      </w:r>
      <w:r>
        <w:rPr>
          <w:rFonts w:ascii="仿宋_GB2312" w:eastAsia="仿宋_GB2312"/>
          <w:sz w:val="32"/>
          <w:szCs w:val="32"/>
        </w:rPr>
        <w:t>我省消费市场回暖</w:t>
      </w:r>
      <w:r>
        <w:rPr>
          <w:rFonts w:ascii="仿宋_GB2312" w:eastAsia="仿宋_GB2312" w:hint="eastAsia"/>
          <w:sz w:val="32"/>
          <w:szCs w:val="32"/>
        </w:rPr>
        <w:t>向好态势</w:t>
      </w:r>
      <w:r>
        <w:rPr>
          <w:rFonts w:ascii="仿宋_GB2312" w:eastAsia="仿宋_GB2312"/>
          <w:sz w:val="32"/>
          <w:szCs w:val="32"/>
        </w:rPr>
        <w:t>。</w:t>
      </w:r>
      <w:r>
        <w:rPr>
          <w:rFonts w:ascii="仿宋_GB2312" w:eastAsia="仿宋_GB2312" w:hint="eastAsia"/>
          <w:sz w:val="32"/>
          <w:szCs w:val="32"/>
        </w:rPr>
        <w:t>另</w:t>
      </w:r>
      <w:r>
        <w:rPr>
          <w:rFonts w:ascii="仿宋_GB2312" w:eastAsia="仿宋_GB2312"/>
          <w:sz w:val="32"/>
          <w:szCs w:val="32"/>
        </w:rPr>
        <w:t>一</w:t>
      </w:r>
      <w:r>
        <w:rPr>
          <w:rFonts w:ascii="仿宋_GB2312" w:eastAsia="仿宋_GB2312" w:hint="eastAsia"/>
          <w:sz w:val="32"/>
          <w:szCs w:val="32"/>
        </w:rPr>
        <w:t>方面是加力提效扩大内需，深入落实国家和我省扩大内需战略部署，培育壮大流通主体，积极</w:t>
      </w:r>
      <w:r>
        <w:rPr>
          <w:rFonts w:ascii="仿宋_GB2312" w:eastAsia="仿宋_GB2312"/>
          <w:sz w:val="32"/>
          <w:szCs w:val="32"/>
        </w:rPr>
        <w:t>拓展</w:t>
      </w:r>
      <w:r>
        <w:rPr>
          <w:rFonts w:ascii="仿宋_GB2312" w:eastAsia="仿宋_GB2312" w:hint="eastAsia"/>
          <w:sz w:val="32"/>
          <w:szCs w:val="32"/>
        </w:rPr>
        <w:t>汽车</w:t>
      </w:r>
      <w:r>
        <w:rPr>
          <w:rFonts w:ascii="仿宋_GB2312" w:eastAsia="仿宋_GB2312"/>
          <w:sz w:val="32"/>
          <w:szCs w:val="32"/>
        </w:rPr>
        <w:t>消费</w:t>
      </w:r>
      <w:r>
        <w:rPr>
          <w:rFonts w:ascii="仿宋_GB2312" w:eastAsia="仿宋_GB2312" w:hint="eastAsia"/>
          <w:sz w:val="32"/>
          <w:szCs w:val="32"/>
        </w:rPr>
        <w:t>，</w:t>
      </w:r>
      <w:r>
        <w:rPr>
          <w:rFonts w:ascii="仿宋_GB2312" w:eastAsia="仿宋_GB2312"/>
          <w:sz w:val="32"/>
          <w:szCs w:val="32"/>
        </w:rPr>
        <w:t>更好</w:t>
      </w:r>
      <w:r>
        <w:rPr>
          <w:rFonts w:ascii="仿宋_GB2312" w:eastAsia="仿宋_GB2312" w:hint="eastAsia"/>
          <w:sz w:val="32"/>
          <w:szCs w:val="32"/>
        </w:rPr>
        <w:t>服务</w:t>
      </w:r>
      <w:r>
        <w:rPr>
          <w:rFonts w:ascii="仿宋_GB2312" w:eastAsia="仿宋_GB2312"/>
          <w:sz w:val="32"/>
          <w:szCs w:val="32"/>
        </w:rPr>
        <w:t>实体经济高质量发展</w:t>
      </w:r>
      <w:r>
        <w:rPr>
          <w:rFonts w:ascii="仿宋_GB2312" w:eastAsia="仿宋_GB2312" w:hint="eastAsia"/>
          <w:sz w:val="32"/>
          <w:szCs w:val="32"/>
        </w:rPr>
        <w:t>。</w:t>
      </w:r>
    </w:p>
    <w:p>
      <w:pPr>
        <w:ind w:firstLine="640" w:firstLineChars="200"/>
        <w:rPr>
          <w:rFonts w:ascii="仿宋_GB2312" w:eastAsia="仿宋_GB2312"/>
          <w:sz w:val="32"/>
          <w:szCs w:val="32"/>
        </w:rPr>
      </w:pPr>
      <w:r>
        <w:rPr>
          <w:rFonts w:ascii="仿宋_GB2312" w:eastAsia="仿宋_GB2312" w:hint="eastAsia"/>
          <w:sz w:val="32"/>
          <w:szCs w:val="32"/>
        </w:rPr>
        <w:t>下面由我对“稳中向好、进中提质”政策清单（第三批）中，新提出的2项促消费政策跟大家一起交流。</w:t>
      </w:r>
    </w:p>
    <w:p>
      <w:pPr>
        <w:ind w:firstLine="640" w:firstLineChars="200"/>
        <w:rPr>
          <w:rFonts w:ascii="黑体" w:eastAsia="黑体" w:hAnsi="黑体"/>
          <w:sz w:val="32"/>
          <w:szCs w:val="32"/>
        </w:rPr>
      </w:pPr>
      <w:r>
        <w:rPr>
          <w:rFonts w:ascii="黑体" w:eastAsia="黑体" w:hAnsi="黑体" w:hint="eastAsia"/>
          <w:sz w:val="32"/>
          <w:szCs w:val="32"/>
        </w:rPr>
        <w:t>一、支持对商业综合体内限额以上商户培育，对符合条件的前三季度限上企业销售额排前10位的商业综合体，根据新增纳统单位数量进行奖补。其中，新增纳统单位15家（含）以上的，每个综合体补助100万元；新增10（含）－15家的，每个综合体补助50万元；新增5（含）－10家的，每个综合体补助30万元。</w:t>
      </w:r>
    </w:p>
    <w:p>
      <w:pPr>
        <w:ind w:firstLine="640" w:firstLineChars="200"/>
        <w:rPr>
          <w:rFonts w:ascii="仿宋_GB2312" w:eastAsia="仿宋_GB2312"/>
          <w:sz w:val="32"/>
          <w:szCs w:val="32"/>
        </w:rPr>
      </w:pPr>
      <w:r>
        <w:rPr>
          <w:rFonts w:ascii="仿宋_GB2312" w:eastAsia="仿宋_GB2312" w:hint="eastAsia"/>
          <w:sz w:val="32"/>
          <w:szCs w:val="32"/>
        </w:rPr>
        <w:t>近年来，多样化、个性化消费需求持续升级，新兴消费增长潜力和优化空间巨大，</w:t>
      </w:r>
      <w:r>
        <w:rPr>
          <w:rFonts w:ascii="仿宋_GB2312" w:eastAsia="仿宋_GB2312" w:hAnsi="微软雅黑" w:hint="eastAsia"/>
          <w:color w:val="000000"/>
          <w:sz w:val="32"/>
          <w:szCs w:val="32"/>
        </w:rPr>
        <w:t>商业综合体是</w:t>
      </w:r>
      <w:r>
        <w:rPr>
          <w:rFonts w:ascii="仿宋_GB2312" w:eastAsia="仿宋_GB2312" w:hint="eastAsia"/>
          <w:sz w:val="32"/>
          <w:szCs w:val="32"/>
        </w:rPr>
        <w:t>引领</w:t>
      </w:r>
      <w:r>
        <w:rPr>
          <w:rFonts w:ascii="仿宋_GB2312" w:eastAsia="仿宋_GB2312"/>
          <w:sz w:val="32"/>
          <w:szCs w:val="32"/>
        </w:rPr>
        <w:t>新</w:t>
      </w:r>
      <w:r>
        <w:rPr>
          <w:rFonts w:ascii="仿宋_GB2312" w:eastAsia="仿宋_GB2312" w:hint="eastAsia"/>
          <w:sz w:val="32"/>
          <w:szCs w:val="32"/>
        </w:rPr>
        <w:t>兴</w:t>
      </w:r>
      <w:r>
        <w:rPr>
          <w:rFonts w:ascii="仿宋_GB2312" w:eastAsia="仿宋_GB2312"/>
          <w:sz w:val="32"/>
          <w:szCs w:val="32"/>
        </w:rPr>
        <w:t>消费发展</w:t>
      </w:r>
      <w:r>
        <w:rPr>
          <w:rFonts w:ascii="仿宋_GB2312" w:eastAsia="仿宋_GB2312" w:hint="eastAsia"/>
          <w:sz w:val="32"/>
          <w:szCs w:val="32"/>
        </w:rPr>
        <w:t>的</w:t>
      </w:r>
      <w:r>
        <w:rPr>
          <w:rFonts w:ascii="仿宋_GB2312" w:eastAsia="仿宋_GB2312" w:hAnsi="微软雅黑" w:hint="eastAsia"/>
          <w:color w:val="000000"/>
          <w:sz w:val="32"/>
          <w:szCs w:val="32"/>
        </w:rPr>
        <w:t>一种新业态、新模式，融合了商业零售、商务办公、酒店餐饮、公寓住宅、综合娱乐等多种功能，随着发展</w:t>
      </w:r>
      <w:r>
        <w:rPr>
          <w:rFonts w:ascii="仿宋_GB2312" w:eastAsia="仿宋_GB2312" w:hAnsi="微软雅黑"/>
          <w:color w:val="000000"/>
          <w:sz w:val="32"/>
          <w:szCs w:val="32"/>
        </w:rPr>
        <w:t>也</w:t>
      </w:r>
      <w:r>
        <w:rPr>
          <w:rFonts w:ascii="仿宋_GB2312" w:eastAsia="仿宋_GB2312" w:hAnsi="微软雅黑" w:hint="eastAsia"/>
          <w:color w:val="000000"/>
          <w:sz w:val="32"/>
          <w:szCs w:val="32"/>
        </w:rPr>
        <w:t>衍生出多种运作模式，对传统贸易统计方式是一种新的挑战。截至目前，全省纳入统计的商业综合体139家，入驻商户数25743户。当前，我省商业综合体纳统单位比例不高，今年</w:t>
      </w:r>
      <w:r>
        <w:rPr>
          <w:rFonts w:ascii="仿宋_GB2312" w:eastAsia="仿宋_GB2312" w:hAnsi="微软雅黑"/>
          <w:color w:val="000000"/>
          <w:sz w:val="32"/>
          <w:szCs w:val="32"/>
        </w:rPr>
        <w:t>以来，我们已经出台支持</w:t>
      </w:r>
      <w:r>
        <w:rPr>
          <w:rFonts w:ascii="仿宋_GB2312" w:eastAsia="仿宋_GB2312" w:hAnsi="微软雅黑" w:hint="eastAsia"/>
          <w:color w:val="000000"/>
          <w:sz w:val="32"/>
          <w:szCs w:val="32"/>
        </w:rPr>
        <w:t>限上</w:t>
      </w:r>
      <w:r>
        <w:rPr>
          <w:rFonts w:ascii="仿宋_GB2312" w:eastAsia="仿宋_GB2312" w:hAnsi="微软雅黑"/>
          <w:color w:val="000000"/>
          <w:sz w:val="32"/>
          <w:szCs w:val="32"/>
        </w:rPr>
        <w:t>企业发展的政策，本次选取商业综合体这一</w:t>
      </w:r>
      <w:r>
        <w:rPr>
          <w:rFonts w:ascii="仿宋_GB2312" w:eastAsia="仿宋_GB2312" w:hAnsi="微软雅黑" w:hint="eastAsia"/>
          <w:color w:val="000000"/>
          <w:sz w:val="32"/>
          <w:szCs w:val="32"/>
        </w:rPr>
        <w:t>业态出台</w:t>
      </w:r>
      <w:r>
        <w:rPr>
          <w:rFonts w:ascii="仿宋_GB2312" w:eastAsia="仿宋_GB2312" w:hAnsi="微软雅黑"/>
          <w:color w:val="000000"/>
          <w:sz w:val="32"/>
          <w:szCs w:val="32"/>
        </w:rPr>
        <w:t>专项政策进行奖补，就是为了</w:t>
      </w:r>
      <w:r>
        <w:rPr>
          <w:rFonts w:ascii="仿宋_GB2312" w:eastAsia="仿宋_GB2312" w:hAnsi="微软雅黑" w:hint="eastAsia"/>
          <w:color w:val="000000"/>
          <w:sz w:val="32"/>
          <w:szCs w:val="32"/>
        </w:rPr>
        <w:t>做好新形势下的商业综合体统计工作，在制度方法框架下，在维护好企业权益基础上，探索商业综合体商户入限途径，鼓励分公司转法人、商贸个转企等，对达到规模标准的单位及时申报纳统，确保应统尽统，客观反映地区、行业发展状况。具体内容</w:t>
      </w:r>
      <w:r>
        <w:rPr>
          <w:rFonts w:ascii="仿宋_GB2312" w:eastAsia="仿宋_GB2312" w:hAnsi="微软雅黑"/>
          <w:color w:val="000000"/>
          <w:sz w:val="32"/>
          <w:szCs w:val="32"/>
        </w:rPr>
        <w:t>为</w:t>
      </w:r>
      <w:r>
        <w:rPr>
          <w:rFonts w:ascii="仿宋_GB2312" w:eastAsia="仿宋_GB2312" w:hAnsi="微软雅黑" w:hint="eastAsia"/>
          <w:color w:val="000000"/>
          <w:sz w:val="32"/>
          <w:szCs w:val="32"/>
        </w:rPr>
        <w:t>：对符合条件的前三季度限上单位销售额排前10位的商业综合体，根据新增纳统单位数量分三档进行奖补。</w:t>
      </w:r>
      <w:r>
        <w:rPr>
          <w:rFonts w:ascii="仿宋_GB2312" w:eastAsia="仿宋_GB2312" w:hint="eastAsia"/>
          <w:sz w:val="32"/>
          <w:szCs w:val="32"/>
        </w:rPr>
        <w:t>其中，新增纳统单位15家（含）以上的，每个综合体补助100万元；新增10（含）－15家的，每个综合体补助50万元；新增5（含）－10家的，每个综合体补助30万元。</w:t>
      </w:r>
    </w:p>
    <w:p>
      <w:pPr>
        <w:ind w:firstLine="640" w:firstLineChars="200"/>
        <w:rPr>
          <w:rFonts w:ascii="仿宋_GB2312" w:eastAsia="仿宋_GB2312"/>
          <w:sz w:val="32"/>
          <w:szCs w:val="32"/>
        </w:rPr>
      </w:pPr>
      <w:r>
        <w:rPr>
          <w:rFonts w:ascii="仿宋_GB2312" w:eastAsia="仿宋_GB2312" w:hint="eastAsia"/>
          <w:sz w:val="32"/>
          <w:szCs w:val="32"/>
        </w:rPr>
        <w:t>各市</w:t>
      </w:r>
      <w:r>
        <w:rPr>
          <w:rFonts w:ascii="仿宋_GB2312" w:eastAsia="仿宋_GB2312"/>
          <w:sz w:val="32"/>
          <w:szCs w:val="32"/>
        </w:rPr>
        <w:t>要</w:t>
      </w:r>
      <w:r>
        <w:rPr>
          <w:rFonts w:ascii="仿宋_GB2312" w:eastAsia="仿宋_GB2312" w:hint="eastAsia"/>
          <w:sz w:val="32"/>
          <w:szCs w:val="32"/>
        </w:rPr>
        <w:t>以培育扶持商业综合体</w:t>
      </w:r>
      <w:r>
        <w:rPr>
          <w:rFonts w:ascii="仿宋_GB2312" w:eastAsia="仿宋_GB2312"/>
          <w:sz w:val="32"/>
          <w:szCs w:val="32"/>
        </w:rPr>
        <w:t>内企业</w:t>
      </w:r>
      <w:r>
        <w:rPr>
          <w:rFonts w:ascii="仿宋_GB2312" w:eastAsia="仿宋_GB2312" w:hint="eastAsia"/>
          <w:sz w:val="32"/>
          <w:szCs w:val="32"/>
        </w:rPr>
        <w:t>政策为抓手，以部门信息共享协同联动为基础，以高效统计监测为支撑，着力加强对商业综合体内限额以上商户培育，密切部门配合，积极宣传动员，深入挖掘潜力，督促指导达标企业及时申报纳统，形成培育一批、成熟一批、纳统一批的良性循环。</w:t>
      </w:r>
    </w:p>
    <w:p>
      <w:pPr>
        <w:ind w:firstLine="640" w:firstLineChars="200"/>
        <w:rPr>
          <w:rFonts w:ascii="仿宋_GB2312" w:eastAsia="仿宋_GB2312"/>
          <w:sz w:val="32"/>
          <w:szCs w:val="32"/>
        </w:rPr>
      </w:pPr>
    </w:p>
    <w:p>
      <w:pPr>
        <w:jc w:val="center"/>
        <w:rPr>
          <w:rFonts w:ascii="黑体" w:eastAsia="黑体" w:hAnsi="黑体" w:cs="Times New Roman"/>
          <w:sz w:val="28"/>
          <w:szCs w:val="28"/>
        </w:rPr>
      </w:pPr>
      <w:r>
        <w:rPr>
          <w:rFonts w:ascii="黑体" w:eastAsia="黑体" w:hAnsi="黑体" w:cs="Times New Roman" w:hint="eastAsia"/>
          <w:sz w:val="28"/>
          <w:szCs w:val="28"/>
        </w:rPr>
        <w:t>统计限额标准</w:t>
      </w:r>
    </w:p>
    <w:tbl>
      <w:tblPr>
        <w:tblStyle w:val="TableNormal"/>
        <w:tblW w:w="9361" w:type="dxa"/>
        <w:jc w:val="center"/>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top w:w="0" w:type="dxa"/>
          <w:left w:w="108" w:type="dxa"/>
          <w:bottom w:w="0" w:type="dxa"/>
          <w:right w:w="108" w:type="dxa"/>
        </w:tblCellMar>
      </w:tblPr>
      <w:tblGrid>
        <w:gridCol w:w="2299"/>
        <w:gridCol w:w="4815"/>
        <w:gridCol w:w="2247"/>
      </w:tblGrid>
      <w:tr>
        <w:tblPrEx>
          <w:tblW w:w="9361" w:type="dxa"/>
          <w:jc w:val="center"/>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top w:w="0" w:type="dxa"/>
            <w:left w:w="108" w:type="dxa"/>
            <w:bottom w:w="0" w:type="dxa"/>
            <w:right w:w="108" w:type="dxa"/>
          </w:tblCellMar>
        </w:tblPrEx>
        <w:trPr>
          <w:trHeight w:val="680"/>
          <w:jc w:val="center"/>
        </w:trPr>
        <w:tc>
          <w:tcPr>
            <w:tcW w:w="2299" w:type="dxa"/>
            <w:tcBorders>
              <w:top w:val="single" w:sz="8" w:space="0" w:color="auto"/>
            </w:tcBorders>
            <w:vAlign w:val="center"/>
          </w:tcPr>
          <w:p>
            <w:pPr>
              <w:pStyle w:val="Header"/>
              <w:pBdr>
                <w:bottom w:val="none" w:sz="0" w:space="0" w:color="auto"/>
              </w:pBdr>
              <w:tabs>
                <w:tab w:val="clear" w:pos="4153"/>
                <w:tab w:val="clear" w:pos="8306"/>
              </w:tabs>
              <w:snapToGrid/>
              <w:rPr>
                <w:rFonts w:ascii="宋体" w:hAnsi="宋体"/>
              </w:rPr>
            </w:pPr>
            <w:r>
              <w:rPr>
                <w:rFonts w:ascii="宋体" w:hAnsi="宋体" w:hint="eastAsia"/>
              </w:rPr>
              <w:t>行业类别</w:t>
            </w:r>
          </w:p>
        </w:tc>
        <w:tc>
          <w:tcPr>
            <w:tcW w:w="4815" w:type="dxa"/>
            <w:tcBorders>
              <w:top w:val="single" w:sz="8" w:space="0" w:color="auto"/>
              <w:bottom w:val="single" w:sz="2" w:space="0" w:color="auto"/>
            </w:tcBorders>
            <w:vAlign w:val="center"/>
          </w:tcPr>
          <w:p>
            <w:pPr>
              <w:jc w:val="center"/>
              <w:rPr>
                <w:rFonts w:ascii="宋体" w:eastAsia="宋体" w:hAnsi="宋体" w:cs="Times New Roman"/>
                <w:sz w:val="18"/>
              </w:rPr>
            </w:pPr>
            <w:r>
              <w:rPr>
                <w:rFonts w:ascii="宋体" w:eastAsia="宋体" w:hAnsi="宋体" w:cs="Times New Roman" w:hint="eastAsia"/>
                <w:sz w:val="18"/>
              </w:rPr>
              <w:t>统计指标名称</w:t>
            </w:r>
          </w:p>
        </w:tc>
        <w:tc>
          <w:tcPr>
            <w:tcW w:w="2247" w:type="dxa"/>
            <w:tcBorders>
              <w:top w:val="single" w:sz="8" w:space="0" w:color="auto"/>
            </w:tcBorders>
            <w:vAlign w:val="center"/>
          </w:tcPr>
          <w:p>
            <w:pPr>
              <w:pStyle w:val="Header"/>
              <w:pBdr>
                <w:bottom w:val="none" w:sz="0" w:space="0" w:color="auto"/>
              </w:pBdr>
              <w:tabs>
                <w:tab w:val="clear" w:pos="4153"/>
                <w:tab w:val="clear" w:pos="8306"/>
              </w:tabs>
              <w:snapToGrid/>
              <w:rPr>
                <w:rFonts w:ascii="宋体" w:hAnsi="宋体"/>
                <w:szCs w:val="24"/>
              </w:rPr>
            </w:pPr>
            <w:r>
              <w:rPr>
                <w:rFonts w:ascii="宋体" w:hAnsi="宋体" w:hint="eastAsia"/>
                <w:szCs w:val="24"/>
              </w:rPr>
              <w:t>限额标准</w:t>
            </w:r>
          </w:p>
        </w:tc>
      </w:tr>
      <w:tr>
        <w:tblPrEx>
          <w:tblW w:w="9361" w:type="dxa"/>
          <w:jc w:val="center"/>
          <w:tblLayout w:type="fixed"/>
          <w:tblCellMar>
            <w:top w:w="0" w:type="dxa"/>
            <w:left w:w="108" w:type="dxa"/>
            <w:bottom w:w="0" w:type="dxa"/>
            <w:right w:w="108" w:type="dxa"/>
          </w:tblCellMar>
        </w:tblPrEx>
        <w:trPr>
          <w:trHeight w:hRule="exact" w:val="624"/>
          <w:jc w:val="center"/>
        </w:trPr>
        <w:tc>
          <w:tcPr>
            <w:tcW w:w="2299" w:type="dxa"/>
            <w:tcBorders>
              <w:bottom w:val="single" w:sz="2" w:space="0" w:color="auto"/>
            </w:tcBorders>
            <w:vAlign w:val="center"/>
          </w:tcPr>
          <w:p>
            <w:pPr>
              <w:pStyle w:val="Header"/>
              <w:pBdr>
                <w:bottom w:val="none" w:sz="0" w:space="0" w:color="auto"/>
              </w:pBdr>
              <w:tabs>
                <w:tab w:val="clear" w:pos="4153"/>
                <w:tab w:val="clear" w:pos="8306"/>
              </w:tabs>
              <w:snapToGrid/>
              <w:rPr>
                <w:rFonts w:ascii="宋体" w:hAnsi="宋体"/>
              </w:rPr>
            </w:pPr>
            <w:r>
              <w:rPr>
                <w:rFonts w:ascii="宋体" w:hAnsi="宋体" w:hint="eastAsia"/>
              </w:rPr>
              <w:t>批发业</w:t>
            </w:r>
          </w:p>
        </w:tc>
        <w:tc>
          <w:tcPr>
            <w:tcW w:w="4815" w:type="dxa"/>
            <w:tcBorders>
              <w:top w:val="single" w:sz="2" w:space="0" w:color="auto"/>
              <w:bottom w:val="single" w:sz="2" w:space="0" w:color="auto"/>
            </w:tcBorders>
            <w:vAlign w:val="center"/>
          </w:tcPr>
          <w:p>
            <w:pPr>
              <w:jc w:val="center"/>
              <w:rPr>
                <w:rFonts w:ascii="宋体" w:eastAsia="宋体" w:hAnsi="宋体" w:cs="Times New Roman"/>
                <w:sz w:val="18"/>
              </w:rPr>
            </w:pPr>
            <w:r>
              <w:rPr>
                <w:rFonts w:ascii="宋体" w:eastAsia="宋体" w:hAnsi="宋体" w:cs="Times New Roman" w:hint="eastAsia"/>
                <w:sz w:val="18"/>
              </w:rPr>
              <w:t>年主营业务收入</w:t>
            </w:r>
          </w:p>
        </w:tc>
        <w:tc>
          <w:tcPr>
            <w:tcW w:w="2247" w:type="dxa"/>
            <w:tcBorders>
              <w:bottom w:val="single" w:sz="2" w:space="0" w:color="auto"/>
            </w:tcBorders>
            <w:vAlign w:val="center"/>
          </w:tcPr>
          <w:p>
            <w:pPr>
              <w:jc w:val="center"/>
              <w:rPr>
                <w:rFonts w:ascii="宋体" w:eastAsia="宋体" w:hAnsi="宋体" w:cs="Times New Roman"/>
                <w:sz w:val="18"/>
              </w:rPr>
            </w:pPr>
            <w:r>
              <w:rPr>
                <w:rFonts w:ascii="宋体" w:eastAsia="宋体" w:hAnsi="宋体" w:cs="Times New Roman"/>
                <w:sz w:val="18"/>
              </w:rPr>
              <w:t>200</w:t>
            </w:r>
            <w:r>
              <w:rPr>
                <w:rFonts w:ascii="宋体" w:eastAsia="宋体" w:hAnsi="宋体" w:cs="Times New Roman" w:hint="eastAsia"/>
                <w:sz w:val="18"/>
              </w:rPr>
              <w:t>0万元</w:t>
            </w:r>
          </w:p>
        </w:tc>
      </w:tr>
      <w:tr>
        <w:tblPrEx>
          <w:tblW w:w="9361" w:type="dxa"/>
          <w:jc w:val="center"/>
          <w:tblLayout w:type="fixed"/>
          <w:tblCellMar>
            <w:top w:w="0" w:type="dxa"/>
            <w:left w:w="108" w:type="dxa"/>
            <w:bottom w:w="0" w:type="dxa"/>
            <w:right w:w="108" w:type="dxa"/>
          </w:tblCellMar>
        </w:tblPrEx>
        <w:trPr>
          <w:trHeight w:hRule="exact" w:val="624"/>
          <w:jc w:val="center"/>
        </w:trPr>
        <w:tc>
          <w:tcPr>
            <w:tcW w:w="2299" w:type="dxa"/>
            <w:tcBorders>
              <w:top w:val="single" w:sz="2" w:space="0" w:color="auto"/>
              <w:bottom w:val="single" w:sz="8" w:space="0" w:color="auto"/>
            </w:tcBorders>
            <w:vAlign w:val="center"/>
          </w:tcPr>
          <w:p>
            <w:pPr>
              <w:jc w:val="center"/>
              <w:rPr>
                <w:rFonts w:ascii="宋体" w:eastAsia="宋体" w:hAnsi="宋体" w:cs="Times New Roman"/>
                <w:sz w:val="18"/>
              </w:rPr>
            </w:pPr>
            <w:r>
              <w:rPr>
                <w:rFonts w:ascii="宋体" w:eastAsia="宋体" w:hAnsi="宋体" w:cs="Times New Roman" w:hint="eastAsia"/>
                <w:sz w:val="18"/>
              </w:rPr>
              <w:t>零售业</w:t>
            </w:r>
          </w:p>
        </w:tc>
        <w:tc>
          <w:tcPr>
            <w:tcW w:w="4815" w:type="dxa"/>
            <w:tcBorders>
              <w:top w:val="single" w:sz="2" w:space="0" w:color="auto"/>
              <w:bottom w:val="single" w:sz="8" w:space="0" w:color="auto"/>
            </w:tcBorders>
            <w:vAlign w:val="center"/>
          </w:tcPr>
          <w:p>
            <w:pPr>
              <w:jc w:val="center"/>
              <w:rPr>
                <w:rFonts w:ascii="宋体" w:eastAsia="宋体" w:hAnsi="宋体" w:cs="Times New Roman"/>
                <w:sz w:val="18"/>
              </w:rPr>
            </w:pPr>
            <w:r>
              <w:rPr>
                <w:rFonts w:ascii="宋体" w:eastAsia="宋体" w:hAnsi="宋体" w:cs="Times New Roman" w:hint="eastAsia"/>
                <w:sz w:val="18"/>
              </w:rPr>
              <w:t>年主营业务收入</w:t>
            </w:r>
          </w:p>
        </w:tc>
        <w:tc>
          <w:tcPr>
            <w:tcW w:w="2247" w:type="dxa"/>
            <w:tcBorders>
              <w:top w:val="single" w:sz="2" w:space="0" w:color="auto"/>
              <w:bottom w:val="single" w:sz="8" w:space="0" w:color="auto"/>
            </w:tcBorders>
            <w:vAlign w:val="center"/>
          </w:tcPr>
          <w:p>
            <w:pPr>
              <w:jc w:val="center"/>
              <w:rPr>
                <w:rFonts w:ascii="宋体" w:eastAsia="宋体" w:hAnsi="宋体" w:cs="Times New Roman"/>
                <w:sz w:val="18"/>
              </w:rPr>
            </w:pPr>
            <w:r>
              <w:rPr>
                <w:rFonts w:ascii="宋体" w:eastAsia="宋体" w:hAnsi="宋体" w:cs="Times New Roman" w:hint="eastAsia"/>
                <w:sz w:val="18"/>
              </w:rPr>
              <w:t>500万元</w:t>
            </w:r>
          </w:p>
        </w:tc>
      </w:tr>
      <w:tr>
        <w:tblPrEx>
          <w:tblW w:w="9361" w:type="dxa"/>
          <w:jc w:val="center"/>
          <w:tblLayout w:type="fixed"/>
          <w:tblCellMar>
            <w:top w:w="0" w:type="dxa"/>
            <w:left w:w="108" w:type="dxa"/>
            <w:bottom w:w="0" w:type="dxa"/>
            <w:right w:w="108" w:type="dxa"/>
          </w:tblCellMar>
        </w:tblPrEx>
        <w:trPr>
          <w:trHeight w:hRule="exact" w:val="624"/>
          <w:jc w:val="center"/>
        </w:trPr>
        <w:tc>
          <w:tcPr>
            <w:tcW w:w="2299" w:type="dxa"/>
            <w:vAlign w:val="center"/>
          </w:tcPr>
          <w:p>
            <w:pPr>
              <w:jc w:val="center"/>
              <w:rPr>
                <w:rFonts w:ascii="宋体" w:eastAsia="宋体" w:hAnsi="宋体" w:cs="Times New Roman"/>
                <w:color w:val="000000"/>
                <w:sz w:val="18"/>
              </w:rPr>
            </w:pPr>
            <w:r>
              <w:rPr>
                <w:rFonts w:ascii="宋体" w:eastAsia="宋体" w:hAnsi="宋体" w:cs="Times New Roman" w:hint="eastAsia"/>
                <w:color w:val="000000"/>
                <w:sz w:val="18"/>
              </w:rPr>
              <w:t>住宿业</w:t>
            </w:r>
          </w:p>
        </w:tc>
        <w:tc>
          <w:tcPr>
            <w:tcW w:w="4815" w:type="dxa"/>
            <w:vMerge w:val="restart"/>
            <w:vAlign w:val="center"/>
          </w:tcPr>
          <w:p>
            <w:pPr>
              <w:jc w:val="center"/>
              <w:rPr>
                <w:rFonts w:ascii="宋体" w:eastAsia="宋体" w:hAnsi="宋体" w:cs="Times New Roman"/>
                <w:color w:val="000000"/>
                <w:sz w:val="18"/>
              </w:rPr>
            </w:pPr>
            <w:r>
              <w:rPr>
                <w:rFonts w:ascii="宋体" w:eastAsia="宋体" w:hAnsi="宋体" w:cs="Times New Roman" w:hint="eastAsia"/>
                <w:color w:val="000000"/>
                <w:sz w:val="18"/>
              </w:rPr>
              <w:t>年主营业务收入</w:t>
            </w:r>
          </w:p>
        </w:tc>
        <w:tc>
          <w:tcPr>
            <w:tcW w:w="2247" w:type="dxa"/>
            <w:vMerge w:val="restart"/>
            <w:vAlign w:val="center"/>
          </w:tcPr>
          <w:p>
            <w:pPr>
              <w:jc w:val="center"/>
              <w:rPr>
                <w:rFonts w:ascii="宋体" w:eastAsia="宋体" w:hAnsi="宋体" w:cs="Times New Roman"/>
                <w:color w:val="000000"/>
                <w:sz w:val="18"/>
              </w:rPr>
            </w:pPr>
            <w:r>
              <w:rPr>
                <w:rFonts w:ascii="宋体" w:eastAsia="宋体" w:hAnsi="宋体" w:cs="Times New Roman"/>
                <w:color w:val="000000"/>
                <w:sz w:val="18"/>
              </w:rPr>
              <w:t>20</w:t>
            </w:r>
            <w:r>
              <w:rPr>
                <w:rFonts w:ascii="宋体" w:eastAsia="宋体" w:hAnsi="宋体" w:cs="Times New Roman" w:hint="eastAsia"/>
                <w:color w:val="000000"/>
                <w:sz w:val="18"/>
              </w:rPr>
              <w:t>0万元</w:t>
            </w:r>
          </w:p>
        </w:tc>
      </w:tr>
      <w:tr>
        <w:tblPrEx>
          <w:tblW w:w="9361" w:type="dxa"/>
          <w:jc w:val="center"/>
          <w:tblLayout w:type="fixed"/>
          <w:tblCellMar>
            <w:top w:w="0" w:type="dxa"/>
            <w:left w:w="108" w:type="dxa"/>
            <w:bottom w:w="0" w:type="dxa"/>
            <w:right w:w="108" w:type="dxa"/>
          </w:tblCellMar>
        </w:tblPrEx>
        <w:trPr>
          <w:trHeight w:hRule="exact" w:val="624"/>
          <w:jc w:val="center"/>
        </w:trPr>
        <w:tc>
          <w:tcPr>
            <w:tcW w:w="2299" w:type="dxa"/>
            <w:vAlign w:val="center"/>
          </w:tcPr>
          <w:p>
            <w:pPr>
              <w:jc w:val="center"/>
              <w:rPr>
                <w:rFonts w:ascii="宋体" w:eastAsia="宋体" w:hAnsi="宋体" w:cs="Times New Roman"/>
                <w:color w:val="000000"/>
                <w:sz w:val="18"/>
              </w:rPr>
            </w:pPr>
            <w:r>
              <w:rPr>
                <w:rFonts w:ascii="宋体" w:eastAsia="宋体" w:hAnsi="宋体" w:cs="Times New Roman" w:hint="eastAsia"/>
                <w:color w:val="000000"/>
                <w:sz w:val="18"/>
              </w:rPr>
              <w:t>餐饮业</w:t>
            </w:r>
          </w:p>
        </w:tc>
        <w:tc>
          <w:tcPr>
            <w:tcW w:w="4815" w:type="dxa"/>
            <w:vMerge/>
            <w:vAlign w:val="center"/>
          </w:tcPr>
          <w:p>
            <w:pPr>
              <w:spacing w:line="480" w:lineRule="auto"/>
              <w:jc w:val="center"/>
              <w:rPr>
                <w:rFonts w:ascii="宋体" w:eastAsia="宋体" w:hAnsi="宋体" w:cs="Times New Roman"/>
                <w:color w:val="000000"/>
                <w:sz w:val="18"/>
              </w:rPr>
            </w:pPr>
          </w:p>
        </w:tc>
        <w:tc>
          <w:tcPr>
            <w:tcW w:w="2247" w:type="dxa"/>
            <w:vMerge/>
            <w:vAlign w:val="center"/>
          </w:tcPr>
          <w:p>
            <w:pPr>
              <w:spacing w:line="480" w:lineRule="auto"/>
              <w:jc w:val="center"/>
              <w:rPr>
                <w:rFonts w:ascii="宋体" w:eastAsia="宋体" w:hAnsi="宋体" w:cs="Times New Roman"/>
                <w:color w:val="000000"/>
                <w:sz w:val="18"/>
              </w:rPr>
            </w:pPr>
          </w:p>
        </w:tc>
      </w:tr>
    </w:tbl>
    <w:p>
      <w:pPr>
        <w:ind w:firstLine="640" w:firstLineChars="200"/>
        <w:rPr>
          <w:rFonts w:ascii="黑体" w:eastAsia="黑体" w:hAnsi="黑体"/>
          <w:sz w:val="32"/>
          <w:szCs w:val="32"/>
        </w:rPr>
      </w:pPr>
      <w:r>
        <w:rPr>
          <w:rFonts w:ascii="黑体" w:eastAsia="黑体" w:hAnsi="黑体" w:hint="eastAsia"/>
          <w:sz w:val="32"/>
          <w:szCs w:val="32"/>
        </w:rPr>
        <w:t>二、支持举办车展扩大汽车销售，对符合条件的4至10月份销售额前10位的汽车展销活动，给予参展企业相关费用补助。其中，销售额超15亿元（含）的，每个活动支持200万元；销售额10（含）-15亿元的，每个活动支持100万元；销售额5（含）-10亿元的，每个活动支持50万元，用于补贴汽车销售企业参展场地费、搭建费用等实际支付费用。鼓励各市制定具有本地特色的支持汽车销售企业参展政策。</w:t>
      </w:r>
    </w:p>
    <w:p>
      <w:pPr>
        <w:ind w:firstLine="640" w:firstLineChars="200"/>
        <w:rPr>
          <w:rFonts w:ascii="仿宋_GB2312" w:eastAsia="仿宋_GB2312"/>
          <w:sz w:val="32"/>
          <w:szCs w:val="32"/>
        </w:rPr>
      </w:pPr>
      <w:r>
        <w:rPr>
          <w:rFonts w:ascii="仿宋_GB2312" w:eastAsia="仿宋_GB2312" w:hint="eastAsia"/>
          <w:sz w:val="32"/>
          <w:szCs w:val="32"/>
        </w:rPr>
        <w:t>大家知道，汽车作为大宗商品，是拉动消费的主要动力，我省汽车销售占全部社零额1</w:t>
      </w:r>
      <w:r>
        <w:rPr>
          <w:rFonts w:ascii="仿宋_GB2312" w:eastAsia="仿宋_GB2312"/>
          <w:sz w:val="32"/>
          <w:szCs w:val="32"/>
        </w:rPr>
        <w:t>0</w:t>
      </w:r>
      <w:r>
        <w:rPr>
          <w:rFonts w:ascii="仿宋_GB2312" w:eastAsia="仿宋_GB2312" w:hint="eastAsia"/>
          <w:sz w:val="32"/>
          <w:szCs w:val="32"/>
        </w:rPr>
        <w:t>%左右，提振汽车消费对保持我省消费市场稳定向好态势具有重要意义，而车展又是扩大汽车销售的重要平台，能够在短时间内汇聚更多的人流和资金流，实现拉动消费、促进产业、服务民生的多重作用。我们在今年</w:t>
      </w:r>
      <w:r>
        <w:rPr>
          <w:rFonts w:ascii="仿宋_GB2312" w:eastAsia="仿宋_GB2312"/>
          <w:sz w:val="32"/>
          <w:szCs w:val="32"/>
        </w:rPr>
        <w:t>第一批政策清单</w:t>
      </w:r>
      <w:r>
        <w:rPr>
          <w:rFonts w:ascii="仿宋_GB2312" w:eastAsia="仿宋_GB2312" w:hint="eastAsia"/>
          <w:sz w:val="32"/>
          <w:szCs w:val="32"/>
        </w:rPr>
        <w:t>和10条</w:t>
      </w:r>
      <w:r>
        <w:rPr>
          <w:rFonts w:ascii="仿宋_GB2312" w:eastAsia="仿宋_GB2312"/>
          <w:sz w:val="32"/>
          <w:szCs w:val="32"/>
        </w:rPr>
        <w:t>政策</w:t>
      </w:r>
      <w:r>
        <w:rPr>
          <w:rFonts w:ascii="仿宋_GB2312" w:eastAsia="仿宋_GB2312" w:hint="eastAsia"/>
          <w:sz w:val="32"/>
          <w:szCs w:val="32"/>
        </w:rPr>
        <w:t>措施</w:t>
      </w:r>
      <w:r>
        <w:rPr>
          <w:rFonts w:ascii="仿宋_GB2312" w:eastAsia="仿宋_GB2312"/>
          <w:sz w:val="32"/>
          <w:szCs w:val="32"/>
        </w:rPr>
        <w:t>中，</w:t>
      </w:r>
      <w:r>
        <w:rPr>
          <w:rFonts w:ascii="仿宋_GB2312" w:eastAsia="仿宋_GB2312" w:hint="eastAsia"/>
          <w:sz w:val="32"/>
          <w:szCs w:val="32"/>
        </w:rPr>
        <w:t>分别</w:t>
      </w:r>
      <w:r>
        <w:rPr>
          <w:rFonts w:ascii="仿宋_GB2312" w:eastAsia="仿宋_GB2312"/>
          <w:sz w:val="32"/>
          <w:szCs w:val="32"/>
        </w:rPr>
        <w:t>制定了</w:t>
      </w:r>
      <w:r>
        <w:rPr>
          <w:rFonts w:ascii="仿宋_GB2312" w:eastAsia="仿宋_GB2312" w:hint="eastAsia"/>
          <w:sz w:val="32"/>
          <w:szCs w:val="32"/>
        </w:rPr>
        <w:t>发放2亿元</w:t>
      </w:r>
      <w:r>
        <w:rPr>
          <w:rFonts w:ascii="仿宋_GB2312" w:eastAsia="仿宋_GB2312"/>
          <w:sz w:val="32"/>
          <w:szCs w:val="32"/>
        </w:rPr>
        <w:t>汽车消费券和支持会展发展的政策，</w:t>
      </w:r>
      <w:r>
        <w:rPr>
          <w:rFonts w:ascii="仿宋_GB2312" w:eastAsia="仿宋_GB2312" w:hint="eastAsia"/>
          <w:sz w:val="32"/>
          <w:szCs w:val="32"/>
        </w:rPr>
        <w:t>在本批政策清单中聚焦汽车展销活动，出台专门的支持措施，这条政策可谓一举两得，既支持了汽车销售，又促进了会展的发展。具体内容为：对符合条件的4至10月份销售额前10位的汽车展销活动，分三档给予参展企业相关费用补助。其中，销售额超15亿元（含）的，每个活动支持200万元；销售额10（含）-15亿元的，每个活动支持100万元；销售额5（含）-10亿元的，每个活动支持50万元，用于补贴汽车销售企业参展场地费、搭建费用等实际支付费用。各市可以自主制定具有本地特色的支持汽车销售企业参展政策，在“2023惠享山东</w:t>
      </w:r>
      <w:r>
        <w:rPr>
          <w:rFonts w:ascii="仿宋_GB2312" w:eastAsia="仿宋_GB2312"/>
          <w:sz w:val="32"/>
          <w:szCs w:val="32"/>
        </w:rPr>
        <w:t>消费年</w:t>
      </w:r>
      <w:r>
        <w:rPr>
          <w:rFonts w:ascii="仿宋_GB2312" w:eastAsia="仿宋_GB2312" w:hint="eastAsia"/>
          <w:sz w:val="32"/>
          <w:szCs w:val="32"/>
        </w:rPr>
        <w:t>”活动</w:t>
      </w:r>
      <w:r>
        <w:rPr>
          <w:rFonts w:ascii="仿宋_GB2312" w:eastAsia="仿宋_GB2312"/>
          <w:sz w:val="32"/>
          <w:szCs w:val="32"/>
        </w:rPr>
        <w:t>架构下，</w:t>
      </w:r>
      <w:r>
        <w:rPr>
          <w:rFonts w:ascii="仿宋_GB2312" w:eastAsia="仿宋_GB2312" w:hint="eastAsia"/>
          <w:sz w:val="32"/>
          <w:szCs w:val="32"/>
        </w:rPr>
        <w:t>积极开展新车促销、汽车下乡、二手车置换等活动，持续扩大汽车消费。</w:t>
      </w:r>
    </w:p>
    <w:p>
      <w:pPr>
        <w:ind w:firstLine="640" w:firstLineChars="200"/>
        <w:rPr>
          <w:rFonts w:ascii="仿宋_GB2312" w:eastAsia="仿宋_GB2312"/>
          <w:sz w:val="32"/>
          <w:szCs w:val="32"/>
        </w:rPr>
      </w:pPr>
      <w:r>
        <w:rPr>
          <w:rFonts w:ascii="仿宋_GB2312" w:eastAsia="仿宋_GB2312" w:hint="eastAsia"/>
          <w:sz w:val="32"/>
          <w:szCs w:val="32"/>
        </w:rPr>
        <w:t>下步我们将联合省财政厅等部门研究出台支持对商业综合体内限额以上商户培育，和支持举办车展扩大汽车销售的具体奖补办法，</w:t>
      </w:r>
      <w:r>
        <w:rPr>
          <w:rFonts w:ascii="仿宋_GB2312" w:eastAsia="仿宋_GB2312" w:hAnsi="微软雅黑" w:hint="eastAsia"/>
          <w:color w:val="000000"/>
          <w:sz w:val="32"/>
          <w:szCs w:val="32"/>
        </w:rPr>
        <w:t>持续提升限额以上企业规模，不断</w:t>
      </w:r>
      <w:r>
        <w:rPr>
          <w:rFonts w:ascii="仿宋_GB2312" w:eastAsia="仿宋_GB2312" w:hAnsi="微软雅黑"/>
          <w:color w:val="000000"/>
          <w:sz w:val="32"/>
          <w:szCs w:val="32"/>
        </w:rPr>
        <w:t>扩大汽车消费水平，</w:t>
      </w:r>
      <w:r>
        <w:rPr>
          <w:rFonts w:ascii="仿宋_GB2312" w:eastAsia="仿宋_GB2312" w:hint="eastAsia"/>
          <w:sz w:val="32"/>
          <w:szCs w:val="32"/>
        </w:rPr>
        <w:t>推动我省消费</w:t>
      </w:r>
      <w:r>
        <w:rPr>
          <w:rFonts w:ascii="仿宋_GB2312" w:eastAsia="仿宋_GB2312"/>
          <w:sz w:val="32"/>
          <w:szCs w:val="32"/>
        </w:rPr>
        <w:t>市场稳定向好，</w:t>
      </w:r>
      <w:r>
        <w:rPr>
          <w:rFonts w:ascii="仿宋_GB2312" w:eastAsia="仿宋_GB2312" w:hAnsi="微软雅黑" w:hint="eastAsia"/>
          <w:color w:val="000000"/>
          <w:sz w:val="32"/>
          <w:szCs w:val="32"/>
        </w:rPr>
        <w:t>增强消费长远发展后劲。</w:t>
      </w:r>
    </w:p>
    <w:p>
      <w:pPr>
        <w:ind w:firstLine="640" w:firstLineChars="200"/>
        <w:rPr>
          <w:rFonts w:ascii="仿宋_GB2312" w:eastAsia="仿宋_GB2312"/>
          <w:sz w:val="32"/>
          <w:szCs w:val="32"/>
        </w:rPr>
      </w:pPr>
      <w:r>
        <w:rPr>
          <w:rFonts w:ascii="仿宋_GB2312" w:eastAsia="仿宋_GB2312" w:hint="eastAsia"/>
          <w:sz w:val="32"/>
          <w:szCs w:val="32"/>
        </w:rPr>
        <w:t>以上是我厅新提出的2项政策措施主要内容，再次感谢各位领导！</w:t>
      </w:r>
    </w:p>
    <w:sectPr>
      <w:headerReference w:type="even" r:id="rId4"/>
      <w:headerReference w:type="default" r:id="rId5"/>
      <w:headerReference w:type="firs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width:120pt;height:20pt;margin-top:0;margin-left:0;mso-position-horizontal:center;mso-position-horizontal-relative:margin;mso-position-vertical-relative:margin;position:absolute;rotation:-40;z-index:251664384" fillcolor="#696969" strokecolor="#696969">
          <v:fill opacity="13107f"/>
          <v:stroke opacity="19661f"/>
          <v:textpath style="font-family:Arial" string="经发科创局-刘现阳"/>
          <w10:wrap anchorx="margin" anchory="margin"/>
        </v:shape>
      </w:pict>
    </w:r>
    <w:r>
      <w:pict>
        <v:shape id="_x0000_s2056" type="#_x0000_t136" style="width:120pt;height:20pt;margin-top:0;margin-left:0;mso-position-horizontal:center;mso-position-horizontal-relative:page;mso-position-vertical:center;mso-position-vertical-relative:page;position:absolute;rotation:-40;z-index:251665408" fillcolor="#696969" strokecolor="#696969">
          <v:fill opacity="13107f"/>
          <v:stroke opacity="19661f"/>
          <v:textpath style="font-family:Arial" string="经发科创局-刘现阳"/>
        </v:shape>
      </w:pict>
    </w:r>
    <w:r>
      <w:pict>
        <v:shape id="_x0000_s2057" type="#_x0000_t136" style="width:120pt;height:20pt;margin-top:480pt;margin-left:0;mso-position-horizontal:center;mso-position-horizontal-relative:margin;mso-position-vertical-relative:margin;position:absolute;rotation:-40;z-index:251666432" fillcolor="#696969" strokecolor="#696969">
          <v:fill opacity="13107f"/>
          <v:stroke opacity="19661f"/>
          <v:textpath style="font-family:Arial" string="经发科创局-刘现阳"/>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120pt;height:20pt;margin-top:0;margin-left:0;mso-position-horizontal:center;mso-position-horizontal-relative:margin;mso-position-vertical-relative:margin;position:absolute;rotation:-40;z-index:251658240" fillcolor="#696969" strokecolor="#696969">
          <v:fill opacity="13107f"/>
          <v:stroke opacity="19661f"/>
          <v:textpath style="font-family:Arial" string="经发科创局-刘现阳"/>
          <w10:wrap anchorx="margin" anchory="margin"/>
        </v:shape>
      </w:pict>
    </w:r>
    <w:r>
      <w:pict>
        <v:shape id="_x0000_s2050" type="#_x0000_t136" style="width:120pt;height:20pt;margin-top:0;margin-left:0;mso-position-horizontal:center;mso-position-horizontal-relative:page;mso-position-vertical:center;mso-position-vertical-relative:page;position:absolute;rotation:-40;z-index:251659264" fillcolor="#696969" strokecolor="#696969">
          <v:fill opacity="13107f"/>
          <v:stroke opacity="19661f"/>
          <v:textpath style="font-family:Arial" string="经发科创局-刘现阳"/>
        </v:shape>
      </w:pict>
    </w:r>
    <w:r>
      <w:pict>
        <v:shape id="_x0000_s2051" type="#_x0000_t136" style="width:120pt;height:20pt;margin-top:480pt;margin-left:0;mso-position-horizontal:center;mso-position-horizontal-relative:margin;mso-position-vertical-relative:margin;position:absolute;rotation:-40;z-index:251660288" fillcolor="#696969" strokecolor="#696969">
          <v:fill opacity="13107f"/>
          <v:stroke opacity="19661f"/>
          <v:textpath style="font-family:Arial" string="经发科创局-刘现阳"/>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120pt;height:20pt;margin-top:0;margin-left:0;mso-position-horizontal:center;mso-position-horizontal-relative:margin;mso-position-vertical-relative:margin;position:absolute;rotation:-40;z-index:251661312" fillcolor="#696969" strokecolor="#696969">
          <v:fill opacity="13107f"/>
          <v:stroke opacity="19661f"/>
          <v:textpath style="font-family:Arial" string="经发科创局-刘现阳"/>
          <w10:wrap anchorx="margin" anchory="margin"/>
        </v:shape>
      </w:pict>
    </w:r>
    <w:r>
      <w:pict>
        <v:shape id="_x0000_s2053" type="#_x0000_t136" style="width:120pt;height:20pt;margin-top:0;margin-left:0;mso-position-horizontal:center;mso-position-horizontal-relative:page;mso-position-vertical:center;mso-position-vertical-relative:page;position:absolute;rotation:-40;z-index:251662336" fillcolor="#696969" strokecolor="#696969">
          <v:fill opacity="13107f"/>
          <v:stroke opacity="19661f"/>
          <v:textpath style="font-family:Arial" string="经发科创局-刘现阳"/>
        </v:shape>
      </w:pict>
    </w:r>
    <w:r>
      <w:pict>
        <v:shape id="_x0000_s2054" type="#_x0000_t136" style="width:120pt;height:20pt;margin-top:480pt;margin-left:0;mso-position-horizontal:center;mso-position-horizontal-relative:margin;mso-position-vertical-relative:margin;position:absolute;rotation:-40;z-index:251663360" fillcolor="#696969" strokecolor="#696969">
          <v:fill opacity="13107f"/>
          <v:stroke opacity="19661f"/>
          <v:textpath style="font-family:Arial" string="经发科创局-刘现阳"/>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68"/>
    <w:rsid w:val="FFBFA005"/>
    <w:rsid w:val="00065039"/>
    <w:rsid w:val="000A70D1"/>
    <w:rsid w:val="000B1FA7"/>
    <w:rsid w:val="00102FF7"/>
    <w:rsid w:val="00150969"/>
    <w:rsid w:val="001B64EA"/>
    <w:rsid w:val="001C0855"/>
    <w:rsid w:val="001F6AE5"/>
    <w:rsid w:val="002210B4"/>
    <w:rsid w:val="00260694"/>
    <w:rsid w:val="002A431F"/>
    <w:rsid w:val="002B6D41"/>
    <w:rsid w:val="002D785F"/>
    <w:rsid w:val="00322A88"/>
    <w:rsid w:val="00350485"/>
    <w:rsid w:val="00397FFB"/>
    <w:rsid w:val="003B19A6"/>
    <w:rsid w:val="003B4F57"/>
    <w:rsid w:val="00436D45"/>
    <w:rsid w:val="00452F0C"/>
    <w:rsid w:val="004563FC"/>
    <w:rsid w:val="00457910"/>
    <w:rsid w:val="005524C2"/>
    <w:rsid w:val="00562934"/>
    <w:rsid w:val="005738CF"/>
    <w:rsid w:val="005862D2"/>
    <w:rsid w:val="005A2BFB"/>
    <w:rsid w:val="005C76AA"/>
    <w:rsid w:val="00624B14"/>
    <w:rsid w:val="0064421A"/>
    <w:rsid w:val="00661C03"/>
    <w:rsid w:val="006C3D26"/>
    <w:rsid w:val="006D2270"/>
    <w:rsid w:val="006E7319"/>
    <w:rsid w:val="00733CFF"/>
    <w:rsid w:val="007440DF"/>
    <w:rsid w:val="00783DA8"/>
    <w:rsid w:val="007874B8"/>
    <w:rsid w:val="00794A0B"/>
    <w:rsid w:val="007B5ED5"/>
    <w:rsid w:val="007F4CCB"/>
    <w:rsid w:val="008125F5"/>
    <w:rsid w:val="00835F9B"/>
    <w:rsid w:val="008E7EB9"/>
    <w:rsid w:val="008F0187"/>
    <w:rsid w:val="00903B68"/>
    <w:rsid w:val="00982BB5"/>
    <w:rsid w:val="009B49F5"/>
    <w:rsid w:val="00A2353B"/>
    <w:rsid w:val="00A578E7"/>
    <w:rsid w:val="00A63C21"/>
    <w:rsid w:val="00A827F0"/>
    <w:rsid w:val="00AB784F"/>
    <w:rsid w:val="00AE7243"/>
    <w:rsid w:val="00AF0F79"/>
    <w:rsid w:val="00B01D1F"/>
    <w:rsid w:val="00B1596B"/>
    <w:rsid w:val="00B17E1D"/>
    <w:rsid w:val="00B435F0"/>
    <w:rsid w:val="00B66C26"/>
    <w:rsid w:val="00B77564"/>
    <w:rsid w:val="00C36607"/>
    <w:rsid w:val="00C970F0"/>
    <w:rsid w:val="00D373B2"/>
    <w:rsid w:val="00D4196F"/>
    <w:rsid w:val="00D50D72"/>
    <w:rsid w:val="00DA4137"/>
    <w:rsid w:val="00DC33F5"/>
    <w:rsid w:val="00DE1291"/>
    <w:rsid w:val="00E4672D"/>
    <w:rsid w:val="00E66ED4"/>
    <w:rsid w:val="00EC1AE4"/>
    <w:rsid w:val="00ED5B39"/>
    <w:rsid w:val="00ED6F21"/>
    <w:rsid w:val="00EE257F"/>
    <w:rsid w:val="00F11525"/>
    <w:rsid w:val="00F652B8"/>
    <w:rsid w:val="00F84CB6"/>
    <w:rsid w:val="00F908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nhideWhenUsed="0"/>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Header">
    <w:name w:val="header"/>
    <w:basedOn w:val="Normal"/>
    <w:link w:val="Char"/>
    <w:uiPriority w:val="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10</cp:revision>
  <dcterms:created xsi:type="dcterms:W3CDTF">2023-05-05T17:21:00Z</dcterms:created>
  <dcterms:modified xsi:type="dcterms:W3CDTF">2023-06-20T16:34:27Z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5A2886FE21F4ABEC93649164D4DD66B1</vt:lpwstr>
  </property>
  <property fmtid="{D5CDD505-2E9C-101B-9397-08002B2CF9AE}" pid="3" name="KSOProductBuildVer">
    <vt:lpwstr>2052-11.8.2.1122</vt:lpwstr>
  </property>
</Properties>
</file>