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山东省市场监督管理局</w:t>
      </w:r>
    </w:p>
    <w:p>
      <w:pPr>
        <w:adjustRightInd w:val="0"/>
        <w:snapToGrid w:val="0"/>
        <w:jc w:val="center"/>
        <w:rPr>
          <w:rFonts w:ascii="方正小标宋简体" w:eastAsia="方正小标宋简体" w:hAnsi="黑体"/>
          <w:sz w:val="44"/>
          <w:szCs w:val="44"/>
        </w:rPr>
      </w:pPr>
      <w:bookmarkStart w:id="0" w:name="_GoBack"/>
      <w:bookmarkEnd w:id="0"/>
      <w:r>
        <w:rPr>
          <w:rFonts w:ascii="方正小标宋简体" w:eastAsia="方正小标宋简体" w:hAnsi="黑体" w:hint="eastAsia"/>
          <w:sz w:val="44"/>
          <w:szCs w:val="44"/>
        </w:rPr>
        <w:t>2023年“稳中向好、进中提质”政策清单</w:t>
      </w:r>
    </w:p>
    <w:p>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（第三批）政策解读会议材料</w:t>
      </w:r>
    </w:p>
    <w:p>
      <w:pPr>
        <w:ind w:firstLine="720" w:firstLineChars="200"/>
        <w:jc w:val="both"/>
        <w:rPr>
          <w:rFonts w:ascii="黑体" w:eastAsia="黑体" w:hAnsi="黑体" w:cs="黑体" w:hint="eastAsia"/>
          <w:sz w:val="36"/>
          <w:szCs w:val="36"/>
          <w:lang w:val="en-US" w:eastAsia="zh-CN"/>
        </w:rPr>
      </w:pPr>
    </w:p>
    <w:p>
      <w:pPr>
        <w:ind w:firstLine="720" w:firstLineChars="200"/>
        <w:jc w:val="both"/>
        <w:rPr>
          <w:rFonts w:ascii="黑体" w:eastAsia="黑体" w:hAnsi="黑体" w:cs="黑体" w:hint="eastAsia"/>
          <w:sz w:val="36"/>
          <w:szCs w:val="36"/>
        </w:rPr>
      </w:pPr>
      <w:r>
        <w:rPr>
          <w:rFonts w:ascii="黑体" w:eastAsia="黑体" w:hAnsi="黑体" w:cs="黑体" w:hint="eastAsia"/>
          <w:sz w:val="36"/>
          <w:szCs w:val="36"/>
          <w:lang w:val="en-US" w:eastAsia="zh-CN"/>
        </w:rPr>
        <w:t>第10项：对中小微企业知识产权质押贷款的贴息支持。</w:t>
      </w:r>
    </w:p>
    <w:p>
      <w:pPr>
        <w:ind w:firstLine="640" w:firstLineChars="200"/>
        <w:jc w:val="both"/>
        <w:rPr>
          <w:rFonts w:ascii="仿宋_GB2312" w:eastAsia="仿宋_GB2312" w:hint="eastAsia"/>
          <w:sz w:val="32"/>
          <w:szCs w:val="32"/>
          <w:lang w:eastAsia="zh-CN"/>
        </w:rPr>
      </w:pPr>
      <w:r>
        <w:rPr>
          <w:rFonts w:ascii="黑体" w:eastAsia="黑体" w:hAnsi="黑体" w:cs="黑体" w:hint="eastAsia"/>
          <w:sz w:val="32"/>
          <w:szCs w:val="32"/>
          <w:lang w:val="en-US" w:eastAsia="zh-CN"/>
        </w:rPr>
        <w:t>政策依据：</w:t>
      </w:r>
      <w:r>
        <w:rPr>
          <w:rFonts w:ascii="仿宋_GB2312" w:eastAsia="仿宋_GB2312" w:hint="eastAsia"/>
          <w:sz w:val="32"/>
          <w:szCs w:val="32"/>
        </w:rPr>
        <w:t>2020年，为推动财政涉企政策资金统筹整合，鼓励和引导金融机构解决中小微企业融资难题，省政府办公厅印发整合设立“省级中小微企业贷款增信分险专项资金实施方案”，综合运用财政贴息、保费补贴、风险补偿、应急转贷等政策和支持方式，解决中小微企业融资难题。依据实施方案，省财政厅等八部门联合印发了《省级中小微企业贷款增信分险专项资金（财政贴息类）操作指引》，以自主知识产权（专利）为质押取得贷款的企业列为贴息对象</w:t>
      </w:r>
      <w:r>
        <w:rPr>
          <w:rFonts w:ascii="仿宋_GB2312" w:eastAsia="仿宋_GB2312" w:hint="eastAsia"/>
          <w:sz w:val="32"/>
          <w:szCs w:val="32"/>
          <w:lang w:eastAsia="zh-CN"/>
        </w:rPr>
        <w:t>。</w:t>
      </w:r>
    </w:p>
    <w:p>
      <w:pPr>
        <w:ind w:firstLine="640" w:firstLineChars="200"/>
        <w:jc w:val="both"/>
        <w:rPr>
          <w:rFonts w:ascii="仿宋_GB2312" w:eastAsia="仿宋_GB2312" w:hint="eastAsia"/>
          <w:sz w:val="32"/>
          <w:szCs w:val="32"/>
        </w:rPr>
      </w:pPr>
      <w:r>
        <w:rPr>
          <w:rFonts w:ascii="黑体" w:eastAsia="黑体" w:hAnsi="黑体" w:cs="黑体" w:hint="eastAsia"/>
          <w:sz w:val="32"/>
          <w:szCs w:val="32"/>
          <w:lang w:val="en-US" w:eastAsia="zh-CN"/>
        </w:rPr>
        <w:t>具体标准。</w:t>
      </w:r>
      <w:r>
        <w:rPr>
          <w:rFonts w:ascii="仿宋_GB2312" w:eastAsia="仿宋_GB2312" w:hint="eastAsia"/>
          <w:sz w:val="32"/>
          <w:szCs w:val="32"/>
        </w:rPr>
        <w:t>对</w:t>
      </w:r>
      <w:r>
        <w:rPr>
          <w:rFonts w:ascii="仿宋_GB2312" w:eastAsia="仿宋_GB2312" w:hint="eastAsia"/>
          <w:sz w:val="32"/>
          <w:szCs w:val="32"/>
          <w:u w:val="single"/>
        </w:rPr>
        <w:t>中小微企业</w:t>
      </w:r>
      <w:r>
        <w:rPr>
          <w:rFonts w:ascii="仿宋_GB2312" w:eastAsia="仿宋_GB2312" w:hint="eastAsia"/>
          <w:sz w:val="32"/>
          <w:szCs w:val="32"/>
        </w:rPr>
        <w:t>已完成还本付息的</w:t>
      </w:r>
      <w:r>
        <w:rPr>
          <w:rFonts w:ascii="仿宋_GB2312" w:eastAsia="仿宋_GB2312" w:hint="eastAsia"/>
          <w:sz w:val="32"/>
          <w:szCs w:val="32"/>
          <w:lang w:val="en-US" w:eastAsia="zh-CN"/>
        </w:rPr>
        <w:t>专利</w:t>
      </w:r>
      <w:r>
        <w:rPr>
          <w:rFonts w:ascii="仿宋_GB2312" w:eastAsia="仿宋_GB2312" w:hint="eastAsia"/>
          <w:sz w:val="32"/>
          <w:szCs w:val="32"/>
        </w:rPr>
        <w:t>质押款项目，按照贷款合同签订日上月一年期贷款市场报价利率（LPR）的60%，给予最高不超过50万元的贴息</w:t>
      </w:r>
      <w:r>
        <w:rPr>
          <w:rFonts w:ascii="仿宋_GB2312" w:eastAsia="仿宋_GB2312" w:hint="eastAsia"/>
          <w:sz w:val="32"/>
          <w:szCs w:val="32"/>
          <w:lang w:eastAsia="zh-CN"/>
        </w:rPr>
        <w:t>。</w:t>
      </w:r>
      <w:r>
        <w:rPr>
          <w:rFonts w:ascii="仿宋_GB2312" w:eastAsia="仿宋_GB2312" w:hint="eastAsia"/>
          <w:sz w:val="32"/>
          <w:szCs w:val="32"/>
        </w:rPr>
        <w:t>同时对因获得质押贷款而产生的专利评估、价值分析等相关费用，按照确认发生额的50%，给予最高5万元的补助。</w:t>
      </w:r>
    </w:p>
    <w:p>
      <w:pPr>
        <w:ind w:firstLine="640" w:firstLineChars="200"/>
        <w:jc w:val="both"/>
        <w:rPr>
          <w:rFonts w:ascii="仿宋_GB2312" w:eastAsia="仿宋_GB2312"/>
          <w:sz w:val="32"/>
          <w:szCs w:val="32"/>
        </w:rPr>
      </w:pPr>
      <w:r>
        <w:rPr>
          <w:rFonts w:ascii="黑体" w:eastAsia="黑体" w:hAnsi="黑体" w:cs="黑体" w:hint="eastAsia"/>
          <w:sz w:val="32"/>
          <w:szCs w:val="32"/>
          <w:lang w:val="en-US" w:eastAsia="zh-CN"/>
        </w:rPr>
        <w:t>工作要求。</w:t>
      </w:r>
      <w:r>
        <w:rPr>
          <w:rFonts w:ascii="仿宋_GB2312" w:eastAsia="仿宋_GB2312" w:hint="eastAsia"/>
          <w:sz w:val="32"/>
          <w:szCs w:val="32"/>
        </w:rPr>
        <w:t>八部门印发</w:t>
      </w:r>
      <w:r>
        <w:rPr>
          <w:rFonts w:ascii="仿宋_GB2312" w:eastAsia="仿宋_GB2312" w:hint="eastAsia"/>
          <w:sz w:val="32"/>
          <w:szCs w:val="32"/>
          <w:lang w:eastAsia="zh-CN"/>
        </w:rPr>
        <w:t>的</w:t>
      </w:r>
      <w:r>
        <w:rPr>
          <w:rFonts w:ascii="仿宋_GB2312" w:eastAsia="仿宋_GB2312" w:hint="eastAsia"/>
          <w:sz w:val="32"/>
          <w:szCs w:val="32"/>
        </w:rPr>
        <w:t>操作指引</w:t>
      </w:r>
      <w:r>
        <w:rPr>
          <w:rFonts w:ascii="仿宋_GB2312" w:eastAsia="仿宋_GB2312" w:hint="eastAsia"/>
          <w:sz w:val="32"/>
          <w:szCs w:val="32"/>
          <w:lang w:val="en-US" w:eastAsia="zh-CN"/>
        </w:rPr>
        <w:t>明确</w:t>
      </w:r>
      <w:r>
        <w:rPr>
          <w:rFonts w:ascii="仿宋_GB2312" w:eastAsia="仿宋_GB2312" w:hint="eastAsia"/>
          <w:sz w:val="32"/>
          <w:szCs w:val="32"/>
        </w:rPr>
        <w:t>，</w:t>
      </w:r>
      <w:r>
        <w:rPr>
          <w:rFonts w:ascii="仿宋_GB2312" w:eastAsia="仿宋_GB2312" w:hint="eastAsia"/>
          <w:sz w:val="32"/>
          <w:szCs w:val="32"/>
          <w:u w:val="single"/>
        </w:rPr>
        <w:t>市</w:t>
      </w:r>
      <w:r>
        <w:rPr>
          <w:rFonts w:ascii="仿宋_GB2312" w:eastAsia="仿宋_GB2312" w:hint="eastAsia"/>
          <w:sz w:val="32"/>
          <w:szCs w:val="32"/>
        </w:rPr>
        <w:t>县业务主管部门会同有关部门，在15个工作日内对贷款贴息申请审核完毕，提出贴息分配方案，并在门户网站予以公示（公示时间不少于5个工作日），公示无异议后报省业务主管部门备案。</w:t>
      </w:r>
    </w:p>
    <w:p>
      <w:pPr>
        <w:ind w:firstLine="640" w:firstLineChars="200"/>
        <w:jc w:val="both"/>
        <w:rPr>
          <w:rFonts w:ascii="仿宋_GB2312" w:eastAsia="仿宋_GB2312"/>
          <w:sz w:val="32"/>
          <w:szCs w:val="32"/>
        </w:rPr>
      </w:pPr>
      <w:r>
        <w:rPr>
          <w:rFonts w:ascii="仿宋_GB2312" w:eastAsia="仿宋_GB2312" w:hint="eastAsia"/>
          <w:sz w:val="32"/>
          <w:szCs w:val="32"/>
        </w:rPr>
        <w:t>为</w:t>
      </w:r>
      <w:r>
        <w:rPr>
          <w:rFonts w:ascii="仿宋_GB2312" w:eastAsia="仿宋_GB2312" w:hint="eastAsia"/>
          <w:sz w:val="32"/>
          <w:szCs w:val="32"/>
          <w:lang w:val="en-US" w:eastAsia="zh-CN"/>
        </w:rPr>
        <w:t>做好</w:t>
      </w:r>
      <w:r>
        <w:rPr>
          <w:rFonts w:ascii="仿宋_GB2312" w:eastAsia="仿宋_GB2312" w:hint="eastAsia"/>
          <w:sz w:val="32"/>
          <w:szCs w:val="32"/>
        </w:rPr>
        <w:t>贴息</w:t>
      </w:r>
      <w:r>
        <w:rPr>
          <w:rFonts w:ascii="仿宋_GB2312" w:eastAsia="仿宋_GB2312" w:hint="eastAsia"/>
          <w:sz w:val="32"/>
          <w:szCs w:val="32"/>
          <w:lang w:val="en-US" w:eastAsia="zh-CN"/>
        </w:rPr>
        <w:t>申报</w:t>
      </w:r>
      <w:r>
        <w:rPr>
          <w:rFonts w:ascii="仿宋_GB2312" w:eastAsia="仿宋_GB2312" w:hint="eastAsia"/>
          <w:sz w:val="32"/>
          <w:szCs w:val="32"/>
        </w:rPr>
        <w:t>兑付等工作，省市场监管局、中国人民银行济南分行制定了《山东省中小微企业知识产权质押融资贴息申报指南》，对申报条件、申报材料、工作程序、监督管理等方面进行进一步明确。</w:t>
      </w:r>
      <w:r>
        <w:rPr>
          <w:rFonts w:ascii="仿宋_GB2312" w:eastAsia="仿宋_GB2312" w:hint="eastAsia"/>
          <w:sz w:val="32"/>
          <w:szCs w:val="32"/>
          <w:lang w:val="en-US" w:eastAsia="zh-CN"/>
        </w:rPr>
        <w:t>请各市严格落实，重点把握好以下几点：</w:t>
      </w:r>
    </w:p>
    <w:p>
      <w:pPr>
        <w:ind w:firstLine="640" w:firstLineChars="200"/>
        <w:jc w:val="both"/>
        <w:rPr>
          <w:rFonts w:ascii="仿宋_GB2312" w:eastAsia="仿宋_GB2312" w:hint="eastAsia"/>
          <w:b/>
          <w:bCs/>
          <w:sz w:val="32"/>
          <w:szCs w:val="32"/>
          <w:lang w:eastAsia="zh-CN"/>
        </w:rPr>
      </w:pPr>
      <w:r>
        <w:rPr>
          <w:rFonts w:ascii="仿宋_GB2312" w:hint="eastAsia"/>
          <w:b/>
          <w:bCs/>
          <w:sz w:val="32"/>
          <w:szCs w:val="32"/>
          <w:lang w:val="en-US" w:eastAsia="zh-CN"/>
        </w:rPr>
        <w:t>一是</w:t>
      </w:r>
      <w:r>
        <w:rPr>
          <w:rFonts w:ascii="仿宋_GB2312" w:eastAsia="仿宋_GB2312" w:hint="eastAsia"/>
          <w:b/>
          <w:bCs/>
          <w:sz w:val="32"/>
          <w:szCs w:val="32"/>
        </w:rPr>
        <w:t>申报条件</w:t>
      </w:r>
      <w:r>
        <w:rPr>
          <w:rFonts w:ascii="仿宋_GB2312" w:hint="eastAsia"/>
          <w:b/>
          <w:bCs/>
          <w:sz w:val="32"/>
          <w:szCs w:val="32"/>
          <w:lang w:eastAsia="zh-CN"/>
        </w:rPr>
        <w:t>。</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1.</w:t>
      </w:r>
      <w:r>
        <w:rPr>
          <w:rFonts w:ascii="仿宋_GB2312" w:eastAsia="仿宋_GB2312" w:hint="eastAsia"/>
          <w:b w:val="0"/>
          <w:bCs w:val="0"/>
          <w:sz w:val="32"/>
          <w:szCs w:val="32"/>
        </w:rPr>
        <w:t>企业在山东省行政区域内（不含计划单列市）注册，具有独立法人资格，符合国家中小微企业划型标准规定。</w:t>
      </w:r>
    </w:p>
    <w:p>
      <w:pPr>
        <w:ind w:firstLine="640" w:firstLineChars="200"/>
        <w:jc w:val="both"/>
        <w:rPr>
          <w:rFonts w:ascii="仿宋_GB2312" w:eastAsia="仿宋_GB2312" w:hint="eastAsia"/>
          <w:b w:val="0"/>
          <w:bCs w:val="0"/>
          <w:sz w:val="32"/>
          <w:szCs w:val="32"/>
        </w:rPr>
      </w:pPr>
      <w:r>
        <w:rPr>
          <w:rFonts w:ascii="仿宋_GB2312" w:hint="eastAsia"/>
          <w:b w:val="0"/>
          <w:bCs w:val="0"/>
          <w:sz w:val="32"/>
          <w:szCs w:val="32"/>
          <w:lang w:val="en-US" w:eastAsia="zh-CN"/>
        </w:rPr>
        <w:t>2.</w:t>
      </w:r>
      <w:r>
        <w:rPr>
          <w:rFonts w:ascii="仿宋_GB2312" w:eastAsia="仿宋_GB2312" w:hint="eastAsia"/>
          <w:b w:val="0"/>
          <w:bCs w:val="0"/>
          <w:sz w:val="32"/>
          <w:szCs w:val="32"/>
        </w:rPr>
        <w:t>贷款企业是出质知识产权（专利权）的权利人，知识产权（专利权）权属清晰、合法有效。</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3.</w:t>
      </w:r>
      <w:r>
        <w:rPr>
          <w:rFonts w:ascii="仿宋_GB2312" w:eastAsia="仿宋_GB2312" w:hint="eastAsia"/>
          <w:b w:val="0"/>
          <w:bCs w:val="0"/>
          <w:sz w:val="32"/>
          <w:szCs w:val="32"/>
        </w:rPr>
        <w:t>贷款放款前完成知识产权（专利权）质押登记。</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4.</w:t>
      </w:r>
      <w:r>
        <w:rPr>
          <w:rFonts w:ascii="仿宋_GB2312" w:eastAsia="仿宋_GB2312" w:hint="eastAsia"/>
          <w:b w:val="0"/>
          <w:bCs w:val="0"/>
          <w:sz w:val="32"/>
          <w:szCs w:val="32"/>
        </w:rPr>
        <w:t>贷款已按合同约定完成还本付息。</w:t>
      </w:r>
    </w:p>
    <w:p>
      <w:pPr>
        <w:ind w:firstLine="640" w:firstLineChars="200"/>
        <w:jc w:val="both"/>
        <w:rPr>
          <w:rFonts w:ascii="仿宋_GB2312" w:eastAsia="仿宋_GB2312"/>
          <w:sz w:val="32"/>
          <w:szCs w:val="32"/>
        </w:rPr>
      </w:pPr>
      <w:r>
        <w:rPr>
          <w:rFonts w:ascii="仿宋_GB2312" w:hint="eastAsia"/>
          <w:b w:val="0"/>
          <w:bCs w:val="0"/>
          <w:sz w:val="32"/>
          <w:szCs w:val="32"/>
          <w:lang w:val="en-US" w:eastAsia="zh-CN"/>
        </w:rPr>
        <w:t>5.</w:t>
      </w:r>
      <w:r>
        <w:rPr>
          <w:rFonts w:ascii="仿宋_GB2312" w:eastAsia="仿宋_GB2312" w:hint="eastAsia"/>
          <w:b w:val="0"/>
          <w:bCs w:val="0"/>
          <w:sz w:val="32"/>
          <w:szCs w:val="32"/>
        </w:rPr>
        <w:t>知识产权（专利权）质押获得银行贷款的额度或比例明确。</w:t>
      </w:r>
    </w:p>
    <w:p>
      <w:pPr>
        <w:ind w:firstLine="640" w:firstLineChars="200"/>
        <w:jc w:val="both"/>
        <w:rPr>
          <w:rFonts w:ascii="仿宋_GB2312" w:eastAsia="仿宋_GB2312" w:hint="eastAsia"/>
          <w:b/>
          <w:bCs/>
          <w:sz w:val="32"/>
          <w:szCs w:val="32"/>
          <w:lang w:eastAsia="zh-CN"/>
        </w:rPr>
      </w:pPr>
      <w:r>
        <w:rPr>
          <w:rFonts w:ascii="仿宋_GB2312" w:hint="eastAsia"/>
          <w:b/>
          <w:bCs/>
          <w:sz w:val="32"/>
          <w:szCs w:val="32"/>
          <w:lang w:val="en-US" w:eastAsia="zh-CN"/>
        </w:rPr>
        <w:t>二是</w:t>
      </w:r>
      <w:r>
        <w:rPr>
          <w:rFonts w:ascii="仿宋_GB2312" w:eastAsia="仿宋_GB2312" w:hint="eastAsia"/>
          <w:b/>
          <w:bCs/>
          <w:sz w:val="32"/>
          <w:szCs w:val="32"/>
        </w:rPr>
        <w:t>工作程序</w:t>
      </w:r>
      <w:r>
        <w:rPr>
          <w:rFonts w:ascii="仿宋_GB2312" w:hint="eastAsia"/>
          <w:b/>
          <w:bCs/>
          <w:sz w:val="32"/>
          <w:szCs w:val="32"/>
          <w:lang w:eastAsia="zh-CN"/>
        </w:rPr>
        <w:t>。</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1.</w:t>
      </w:r>
      <w:r>
        <w:rPr>
          <w:rFonts w:ascii="仿宋_GB2312" w:eastAsia="仿宋_GB2312" w:hint="eastAsia"/>
          <w:b w:val="0"/>
          <w:bCs w:val="0"/>
          <w:sz w:val="32"/>
          <w:szCs w:val="32"/>
        </w:rPr>
        <w:t>各市市场监管局</w:t>
      </w:r>
      <w:r>
        <w:rPr>
          <w:rFonts w:ascii="仿宋_GB2312" w:eastAsia="仿宋_GB2312" w:hint="eastAsia"/>
          <w:b w:val="0"/>
          <w:bCs w:val="0"/>
          <w:sz w:val="32"/>
          <w:szCs w:val="32"/>
          <w:lang w:val="en-US" w:eastAsia="zh-CN"/>
        </w:rPr>
        <w:t>要</w:t>
      </w:r>
      <w:r>
        <w:rPr>
          <w:rFonts w:ascii="仿宋_GB2312" w:eastAsia="仿宋_GB2312" w:hint="eastAsia"/>
          <w:b w:val="0"/>
          <w:bCs w:val="0"/>
          <w:sz w:val="32"/>
          <w:szCs w:val="32"/>
        </w:rPr>
        <w:t>发布申报通知，企业按要求提报申请材料。</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2.</w:t>
      </w:r>
      <w:r>
        <w:rPr>
          <w:rFonts w:ascii="仿宋_GB2312" w:eastAsia="仿宋_GB2312" w:hint="eastAsia"/>
          <w:b w:val="0"/>
          <w:bCs w:val="0"/>
          <w:sz w:val="32"/>
          <w:szCs w:val="32"/>
        </w:rPr>
        <w:t>各市市场监管局、人民银行联合对申请材料进行审核。</w:t>
      </w:r>
      <w:r>
        <w:rPr>
          <w:rFonts w:ascii="仿宋_GB2312" w:eastAsia="仿宋_GB2312" w:hint="eastAsia"/>
          <w:sz w:val="32"/>
          <w:szCs w:val="32"/>
        </w:rPr>
        <w:t>八部门印发</w:t>
      </w:r>
      <w:r>
        <w:rPr>
          <w:rFonts w:ascii="仿宋_GB2312" w:eastAsia="仿宋_GB2312" w:hint="eastAsia"/>
          <w:sz w:val="32"/>
          <w:szCs w:val="32"/>
          <w:lang w:eastAsia="zh-CN"/>
        </w:rPr>
        <w:t>的</w:t>
      </w:r>
      <w:r>
        <w:rPr>
          <w:rFonts w:ascii="仿宋_GB2312" w:eastAsia="仿宋_GB2312" w:hint="eastAsia"/>
          <w:sz w:val="32"/>
          <w:szCs w:val="32"/>
        </w:rPr>
        <w:t>操作指引</w:t>
      </w:r>
      <w:r>
        <w:rPr>
          <w:rFonts w:ascii="仿宋_GB2312" w:eastAsia="仿宋_GB2312" w:hint="eastAsia"/>
          <w:sz w:val="32"/>
          <w:szCs w:val="32"/>
          <w:lang w:val="en-US" w:eastAsia="zh-CN"/>
        </w:rPr>
        <w:t>明确</w:t>
      </w:r>
      <w:r>
        <w:rPr>
          <w:rFonts w:ascii="仿宋_GB2312" w:eastAsia="仿宋_GB2312" w:hint="eastAsia"/>
          <w:sz w:val="32"/>
          <w:szCs w:val="32"/>
        </w:rPr>
        <w:t>，</w:t>
      </w:r>
      <w:r>
        <w:rPr>
          <w:rFonts w:ascii="仿宋_GB2312" w:eastAsia="仿宋_GB2312" w:hint="eastAsia"/>
          <w:sz w:val="32"/>
          <w:szCs w:val="32"/>
          <w:u w:val="single"/>
        </w:rPr>
        <w:t>市</w:t>
      </w:r>
      <w:r>
        <w:rPr>
          <w:rFonts w:ascii="仿宋_GB2312" w:eastAsia="仿宋_GB2312" w:hint="eastAsia"/>
          <w:sz w:val="32"/>
          <w:szCs w:val="32"/>
        </w:rPr>
        <w:t>县业务主管部门会同有关部门，在15个工作日内对贷款贴息申请审核完毕</w:t>
      </w:r>
      <w:r>
        <w:rPr>
          <w:rFonts w:ascii="仿宋_GB2312" w:eastAsia="仿宋_GB2312" w:hint="eastAsia"/>
          <w:sz w:val="32"/>
          <w:szCs w:val="32"/>
          <w:lang w:eastAsia="zh-CN"/>
        </w:rPr>
        <w:t>。</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3.</w:t>
      </w:r>
      <w:r>
        <w:rPr>
          <w:rFonts w:ascii="仿宋_GB2312" w:eastAsia="仿宋_GB2312" w:hint="eastAsia"/>
          <w:b w:val="0"/>
          <w:bCs w:val="0"/>
          <w:sz w:val="32"/>
          <w:szCs w:val="32"/>
        </w:rPr>
        <w:t>各市市场监管局对审核结果进行汇总，提出资金分配方案，在门户网站予以公示，公示时间不少于5个工作日。</w:t>
      </w:r>
    </w:p>
    <w:p>
      <w:pPr>
        <w:ind w:firstLine="640" w:firstLineChars="200"/>
        <w:jc w:val="both"/>
        <w:rPr>
          <w:rFonts w:ascii="仿宋_GB2312" w:eastAsia="仿宋_GB2312"/>
          <w:b w:val="0"/>
          <w:bCs w:val="0"/>
          <w:sz w:val="32"/>
          <w:szCs w:val="32"/>
        </w:rPr>
      </w:pPr>
      <w:r>
        <w:rPr>
          <w:rFonts w:ascii="仿宋_GB2312" w:hint="eastAsia"/>
          <w:b w:val="0"/>
          <w:bCs w:val="0"/>
          <w:sz w:val="32"/>
          <w:szCs w:val="32"/>
          <w:lang w:val="en-US" w:eastAsia="zh-CN"/>
        </w:rPr>
        <w:t>4.</w:t>
      </w:r>
      <w:r>
        <w:rPr>
          <w:rFonts w:ascii="仿宋_GB2312" w:eastAsia="仿宋_GB2312" w:hint="eastAsia"/>
          <w:b w:val="0"/>
          <w:bCs w:val="0"/>
          <w:sz w:val="32"/>
          <w:szCs w:val="32"/>
        </w:rPr>
        <w:t>公示无异议后，各市市场监管局确定资金分配方案</w:t>
      </w:r>
      <w:r>
        <w:rPr>
          <w:rFonts w:ascii="仿宋_GB2312" w:eastAsia="仿宋_GB2312" w:hint="eastAsia"/>
          <w:b w:val="0"/>
          <w:bCs w:val="0"/>
          <w:sz w:val="32"/>
          <w:szCs w:val="32"/>
          <w:lang w:eastAsia="zh-CN"/>
        </w:rPr>
        <w:t>，</w:t>
      </w:r>
      <w:r>
        <w:rPr>
          <w:rFonts w:ascii="仿宋_GB2312" w:eastAsia="仿宋_GB2312" w:hint="eastAsia"/>
          <w:b w:val="0"/>
          <w:bCs w:val="0"/>
          <w:sz w:val="32"/>
          <w:szCs w:val="32"/>
        </w:rPr>
        <w:t>提报本级财政部门，并报省市场监管局备案。</w:t>
      </w:r>
    </w:p>
    <w:p>
      <w:pPr>
        <w:ind w:firstLine="640" w:firstLineChars="200"/>
        <w:jc w:val="both"/>
        <w:rPr>
          <w:rFonts w:ascii="仿宋_GB2312" w:eastAsia="仿宋_GB2312" w:hint="eastAsia"/>
          <w:b w:val="0"/>
          <w:bCs w:val="0"/>
          <w:sz w:val="32"/>
          <w:szCs w:val="32"/>
        </w:rPr>
      </w:pPr>
      <w:r>
        <w:rPr>
          <w:rFonts w:ascii="仿宋_GB2312" w:hint="eastAsia"/>
          <w:b w:val="0"/>
          <w:bCs w:val="0"/>
          <w:sz w:val="32"/>
          <w:szCs w:val="32"/>
          <w:lang w:val="en-US" w:eastAsia="zh-CN"/>
        </w:rPr>
        <w:t>5.</w:t>
      </w:r>
      <w:r>
        <w:rPr>
          <w:rFonts w:ascii="仿宋_GB2312" w:eastAsia="仿宋_GB2312" w:hint="eastAsia"/>
          <w:b w:val="0"/>
          <w:bCs w:val="0"/>
          <w:sz w:val="32"/>
          <w:szCs w:val="32"/>
        </w:rPr>
        <w:t>各市财政部门根据资金分配方案拨付资金。</w:t>
      </w:r>
    </w:p>
    <w:p>
      <w:pPr>
        <w:pStyle w:val="Heading3"/>
        <w:ind w:firstLine="640" w:firstLineChars="200"/>
        <w:rPr>
          <w:rFonts w:eastAsia="仿宋_GB2312" w:hint="default"/>
          <w:lang w:val="en-US" w:eastAsia="zh-CN"/>
        </w:rPr>
      </w:pPr>
      <w:r>
        <w:rPr>
          <w:rFonts w:ascii="黑体" w:eastAsia="黑体" w:hAnsi="黑体" w:cs="黑体" w:hint="eastAsia"/>
          <w:b w:val="0"/>
          <w:bCs w:val="0"/>
          <w:kern w:val="2"/>
          <w:sz w:val="32"/>
          <w:szCs w:val="32"/>
          <w:lang w:val="en-US" w:eastAsia="zh-CN" w:bidi="ar-SA"/>
        </w:rPr>
        <w:t>省财政资金拨付</w:t>
      </w:r>
      <w:r>
        <w:rPr>
          <w:rFonts w:ascii="仿宋_GB2312" w:eastAsia="仿宋_GB2312" w:hint="eastAsia"/>
          <w:b w:val="0"/>
          <w:bCs w:val="0"/>
          <w:sz w:val="32"/>
          <w:szCs w:val="32"/>
          <w:lang w:val="en-US" w:eastAsia="zh-CN"/>
        </w:rPr>
        <w:t>。省财政贴息资金，采取的是后补助方式，年初随高价值专利综合奖补资金预下达。当年资金结余或不足部分，根据实拨备案情况，下年度进行单项结算。</w:t>
      </w:r>
    </w:p>
    <w:p>
      <w:pPr>
        <w:ind w:firstLine="640" w:firstLineChars="200"/>
        <w:jc w:val="both"/>
        <w:rPr>
          <w:rFonts w:ascii="仿宋" w:eastAsia="仿宋" w:hAnsi="仿宋" w:hint="eastAsia"/>
          <w:sz w:val="32"/>
          <w:szCs w:val="32"/>
          <w:lang w:val="en-US" w:eastAsia="zh-CN"/>
        </w:rPr>
      </w:pPr>
    </w:p>
    <w:p>
      <w:pPr>
        <w:ind w:firstLine="720" w:firstLineChars="200"/>
        <w:jc w:val="both"/>
        <w:rPr>
          <w:rFonts w:ascii="仿宋" w:eastAsia="仿宋" w:hAnsi="仿宋"/>
          <w:sz w:val="32"/>
          <w:szCs w:val="32"/>
        </w:rPr>
      </w:pPr>
      <w:r>
        <w:rPr>
          <w:rFonts w:ascii="黑体" w:eastAsia="黑体" w:hAnsi="黑体" w:cs="黑体" w:hint="eastAsia"/>
          <w:sz w:val="36"/>
          <w:szCs w:val="36"/>
          <w:lang w:val="en-US" w:eastAsia="zh-CN"/>
        </w:rPr>
        <w:t>第11项：实施知识产权保护综合补助。</w:t>
      </w:r>
      <w:r>
        <w:rPr>
          <w:rFonts w:ascii="仿宋" w:eastAsia="仿宋" w:hAnsi="仿宋"/>
          <w:sz w:val="32"/>
          <w:szCs w:val="32"/>
        </w:rPr>
        <w:t>对16市专利保险扶持、知识产权保护示范区创建、地理标志专用标志推广、重点领域知识产权保护、涉外风险防控体系建设等情况综合评定，每年分三档给予奖补支持，推动知识产权保护能力全面提升。</w:t>
      </w:r>
    </w:p>
    <w:p>
      <w:pPr>
        <w:ind w:firstLine="640" w:firstLineChars="200"/>
        <w:jc w:val="both"/>
        <w:rPr>
          <w:rFonts w:ascii="仿宋" w:eastAsia="仿宋" w:hAnsi="仿宋"/>
          <w:sz w:val="32"/>
          <w:szCs w:val="32"/>
        </w:rPr>
      </w:pPr>
      <w:r>
        <w:rPr>
          <w:rFonts w:ascii="仿宋" w:eastAsia="仿宋" w:hAnsi="仿宋" w:hint="eastAsia"/>
          <w:sz w:val="32"/>
          <w:szCs w:val="32"/>
        </w:rPr>
        <w:t>这次我们将知识产权保护综合补助列入</w:t>
      </w:r>
      <w:r>
        <w:rPr>
          <w:rFonts w:ascii="仿宋" w:eastAsia="仿宋" w:hAnsi="仿宋"/>
          <w:sz w:val="32"/>
          <w:szCs w:val="32"/>
        </w:rPr>
        <w:t>2023年“稳中向好、进中提质”</w:t>
      </w:r>
      <w:r>
        <w:rPr>
          <w:rFonts w:ascii="仿宋" w:eastAsia="仿宋" w:hAnsi="仿宋" w:hint="eastAsia"/>
          <w:sz w:val="32"/>
          <w:szCs w:val="32"/>
        </w:rPr>
        <w:t>政策清单（第三批），</w:t>
      </w:r>
      <w:r>
        <w:rPr>
          <w:rFonts w:ascii="仿宋" w:eastAsia="仿宋" w:hAnsi="仿宋" w:hint="eastAsia"/>
          <w:sz w:val="32"/>
          <w:szCs w:val="32"/>
          <w:lang w:val="en-US" w:eastAsia="zh-CN"/>
        </w:rPr>
        <w:t>对各市知识产权保护重点工作开展情况进行综合评定，分三档给予奖补支持，可有效发挥财政资金的引导作用和规模效应，推动</w:t>
      </w:r>
      <w:r>
        <w:rPr>
          <w:rFonts w:ascii="仿宋" w:eastAsia="仿宋" w:hAnsi="仿宋" w:hint="eastAsia"/>
          <w:sz w:val="32"/>
          <w:szCs w:val="32"/>
        </w:rPr>
        <w:t>各市因地制宜，用活用好财政专项资金，补足知识产权保护短板，进一步激励各</w:t>
      </w:r>
      <w:r>
        <w:rPr>
          <w:rFonts w:ascii="仿宋" w:eastAsia="仿宋" w:hAnsi="仿宋" w:hint="eastAsia"/>
          <w:sz w:val="32"/>
          <w:szCs w:val="32"/>
          <w:lang w:val="en-US" w:eastAsia="zh-CN"/>
        </w:rPr>
        <w:t>市</w:t>
      </w:r>
      <w:r>
        <w:rPr>
          <w:rFonts w:ascii="仿宋" w:eastAsia="仿宋" w:hAnsi="仿宋" w:hint="eastAsia"/>
          <w:sz w:val="32"/>
          <w:szCs w:val="32"/>
        </w:rPr>
        <w:t>加强知识产权保护工作的积极性和首创精神，实现知识产权保护资金的最大效益，整体提升全省知识产权保护水平。</w:t>
      </w:r>
    </w:p>
    <w:p>
      <w:pPr>
        <w:ind w:firstLine="640" w:firstLineChars="200"/>
        <w:jc w:val="both"/>
        <w:rPr>
          <w:rFonts w:ascii="仿宋" w:eastAsia="仿宋" w:hAnsi="仿宋"/>
          <w:sz w:val="32"/>
          <w:szCs w:val="32"/>
        </w:rPr>
      </w:pPr>
      <w:r>
        <w:rPr>
          <w:rFonts w:ascii="仿宋" w:eastAsia="仿宋" w:hAnsi="仿宋" w:hint="eastAsia"/>
          <w:sz w:val="32"/>
          <w:szCs w:val="32"/>
        </w:rPr>
        <w:t>资金分配将根据各市上年度知识产权保护工作总体情况，围绕定性和定量两个维度进行综合测算后确定，分配因素主要包括以下几个方面。</w:t>
      </w:r>
    </w:p>
    <w:p>
      <w:pPr>
        <w:ind w:firstLine="640" w:firstLineChars="200"/>
        <w:jc w:val="both"/>
        <w:rPr>
          <w:rFonts w:ascii="仿宋" w:eastAsia="仿宋" w:hAnsi="仿宋" w:hint="eastAsia"/>
          <w:sz w:val="32"/>
          <w:szCs w:val="32"/>
        </w:rPr>
      </w:pPr>
      <w:r>
        <w:rPr>
          <w:rFonts w:ascii="仿宋" w:eastAsia="仿宋" w:hAnsi="仿宋" w:hint="eastAsia"/>
          <w:sz w:val="32"/>
          <w:szCs w:val="32"/>
          <w:lang w:eastAsia="zh-CN"/>
        </w:rPr>
        <w:t>（</w:t>
      </w:r>
      <w:r>
        <w:rPr>
          <w:rFonts w:ascii="仿宋" w:eastAsia="仿宋" w:hAnsi="仿宋" w:hint="eastAsia"/>
          <w:sz w:val="32"/>
          <w:szCs w:val="32"/>
        </w:rPr>
        <w:t>一</w:t>
      </w:r>
      <w:r>
        <w:rPr>
          <w:rFonts w:ascii="仿宋" w:eastAsia="仿宋" w:hAnsi="仿宋" w:hint="eastAsia"/>
          <w:sz w:val="32"/>
          <w:szCs w:val="32"/>
          <w:lang w:eastAsia="zh-CN"/>
        </w:rPr>
        <w:t>）</w:t>
      </w:r>
      <w:r>
        <w:rPr>
          <w:rFonts w:ascii="仿宋" w:eastAsia="仿宋" w:hAnsi="仿宋" w:hint="eastAsia"/>
          <w:sz w:val="32"/>
          <w:szCs w:val="32"/>
        </w:rPr>
        <w:t>“专利保险</w:t>
      </w:r>
      <w:r>
        <w:rPr>
          <w:rFonts w:ascii="仿宋" w:eastAsia="仿宋" w:hAnsi="仿宋" w:hint="eastAsia"/>
          <w:sz w:val="32"/>
          <w:szCs w:val="32"/>
          <w:lang w:val="en-US" w:eastAsia="zh-CN"/>
        </w:rPr>
        <w:t>扶持</w:t>
      </w: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年省财政批复用于专利保险扶持资金总额为1</w:t>
      </w:r>
      <w:r>
        <w:rPr>
          <w:rFonts w:ascii="仿宋" w:eastAsia="仿宋" w:hAnsi="仿宋"/>
          <w:sz w:val="32"/>
          <w:szCs w:val="32"/>
        </w:rPr>
        <w:t>000</w:t>
      </w:r>
      <w:r>
        <w:rPr>
          <w:rFonts w:ascii="仿宋" w:eastAsia="仿宋" w:hAnsi="仿宋" w:hint="eastAsia"/>
          <w:sz w:val="32"/>
          <w:szCs w:val="32"/>
        </w:rPr>
        <w:t>万元，将根据上年度各市专利保险补贴资金数额比例测算后分配</w:t>
      </w:r>
      <w:r>
        <w:rPr>
          <w:rFonts w:ascii="仿宋" w:eastAsia="仿宋" w:hAnsi="仿宋" w:hint="eastAsia"/>
          <w:sz w:val="32"/>
          <w:szCs w:val="32"/>
          <w:lang w:val="en-US" w:eastAsia="zh-CN"/>
        </w:rPr>
        <w:t>到各市</w:t>
      </w:r>
      <w:r>
        <w:rPr>
          <w:rFonts w:ascii="仿宋" w:eastAsia="仿宋" w:hAnsi="仿宋" w:hint="eastAsia"/>
          <w:sz w:val="32"/>
          <w:szCs w:val="32"/>
        </w:rPr>
        <w:t>，用于对相关参保企业进行保费补贴。</w:t>
      </w:r>
      <w:r>
        <w:rPr>
          <w:rFonts w:ascii="仿宋" w:eastAsia="仿宋" w:hAnsi="仿宋" w:hint="eastAsia"/>
          <w:sz w:val="32"/>
          <w:szCs w:val="32"/>
          <w:lang w:val="en-US" w:eastAsia="zh-CN"/>
        </w:rPr>
        <w:t>资金实行年度单项结算，本年度剩余的资金转到下一年度，本年资金不足的下一年度补足。</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二</w:t>
      </w:r>
      <w:r>
        <w:rPr>
          <w:rFonts w:ascii="仿宋" w:eastAsia="仿宋" w:hAnsi="仿宋" w:hint="eastAsia"/>
          <w:sz w:val="32"/>
          <w:szCs w:val="32"/>
          <w:lang w:eastAsia="zh-CN"/>
        </w:rPr>
        <w:t>）</w:t>
      </w:r>
      <w:r>
        <w:rPr>
          <w:rFonts w:ascii="仿宋" w:eastAsia="仿宋" w:hAnsi="仿宋" w:hint="eastAsia"/>
          <w:sz w:val="32"/>
          <w:szCs w:val="32"/>
        </w:rPr>
        <w:t>“知识产权保护示范区</w:t>
      </w:r>
      <w:r>
        <w:rPr>
          <w:rFonts w:ascii="仿宋" w:eastAsia="仿宋" w:hAnsi="仿宋" w:hint="eastAsia"/>
          <w:sz w:val="32"/>
          <w:szCs w:val="32"/>
          <w:lang w:val="en-US" w:eastAsia="zh-CN"/>
        </w:rPr>
        <w:t>创建</w:t>
      </w:r>
      <w:r>
        <w:rPr>
          <w:rFonts w:ascii="仿宋" w:eastAsia="仿宋" w:hAnsi="仿宋" w:hint="eastAsia"/>
          <w:sz w:val="32"/>
          <w:szCs w:val="32"/>
        </w:rPr>
        <w:t>”。主要是根据各市补助周期内获批国家级知识产权保护示范区、地理标志保护示范区和省级知识产权保护示范区、地理标志保护示范区数量，给予一次性定额补助，用于相关示范区建设。</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三</w:t>
      </w:r>
      <w:r>
        <w:rPr>
          <w:rFonts w:ascii="仿宋" w:eastAsia="仿宋" w:hAnsi="仿宋" w:hint="eastAsia"/>
          <w:sz w:val="32"/>
          <w:szCs w:val="32"/>
          <w:lang w:eastAsia="zh-CN"/>
        </w:rPr>
        <w:t>）</w:t>
      </w:r>
      <w:r>
        <w:rPr>
          <w:rFonts w:ascii="仿宋" w:eastAsia="仿宋" w:hAnsi="仿宋" w:hint="eastAsia"/>
          <w:sz w:val="32"/>
          <w:szCs w:val="32"/>
        </w:rPr>
        <w:t>“知识产权保护考核”。主要是根据上年度各市知识产权保护工作检查评议结果和高质量发展考核中知识产权保护绩效指标情况进行测算。</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四</w:t>
      </w:r>
      <w:r>
        <w:rPr>
          <w:rFonts w:ascii="仿宋" w:eastAsia="仿宋" w:hAnsi="仿宋" w:hint="eastAsia"/>
          <w:sz w:val="32"/>
          <w:szCs w:val="32"/>
          <w:lang w:eastAsia="zh-CN"/>
        </w:rPr>
        <w:t>）</w:t>
      </w:r>
      <w:r>
        <w:rPr>
          <w:rFonts w:ascii="仿宋" w:eastAsia="仿宋" w:hAnsi="仿宋" w:hint="eastAsia"/>
          <w:sz w:val="32"/>
          <w:szCs w:val="32"/>
        </w:rPr>
        <w:t>“地理标志专用标志推广”。主要是根据上年度各市地理标志专用标志用标企业数量、地理标志（含地理标志商标和地理标志保护产品）数量进行测算。</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五</w:t>
      </w:r>
      <w:r>
        <w:rPr>
          <w:rFonts w:ascii="仿宋" w:eastAsia="仿宋" w:hAnsi="仿宋" w:hint="eastAsia"/>
          <w:sz w:val="32"/>
          <w:szCs w:val="32"/>
          <w:lang w:eastAsia="zh-CN"/>
        </w:rPr>
        <w:t>）</w:t>
      </w:r>
      <w:r>
        <w:rPr>
          <w:rFonts w:ascii="仿宋" w:eastAsia="仿宋" w:hAnsi="仿宋" w:hint="eastAsia"/>
          <w:sz w:val="32"/>
          <w:szCs w:val="32"/>
        </w:rPr>
        <w:t>“重点领域知识产权保护”。主要是根据各市知识产权保护规范化电商平台、重点关注市场、国家知识产权保护规范化市场、展会知识产权保护等重点领域知识产权保护工作成效进行测算。</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六</w:t>
      </w:r>
      <w:r>
        <w:rPr>
          <w:rFonts w:ascii="仿宋" w:eastAsia="仿宋" w:hAnsi="仿宋" w:hint="eastAsia"/>
          <w:sz w:val="32"/>
          <w:szCs w:val="32"/>
          <w:lang w:eastAsia="zh-CN"/>
        </w:rPr>
        <w:t>）</w:t>
      </w:r>
      <w:r>
        <w:rPr>
          <w:rFonts w:ascii="仿宋" w:eastAsia="仿宋" w:hAnsi="仿宋" w:hint="eastAsia"/>
          <w:sz w:val="32"/>
          <w:szCs w:val="32"/>
        </w:rPr>
        <w:t>“知识产权涉外风险防控体系建设”。主要是根据各市知识产权涉外风险防控项目开展、涉外风险防控体系建设情况进行测算。</w:t>
      </w:r>
    </w:p>
    <w:p>
      <w:pPr>
        <w:ind w:firstLine="640" w:firstLineChars="200"/>
        <w:jc w:val="both"/>
        <w:rPr>
          <w:rFonts w:ascii="仿宋" w:eastAsia="仿宋" w:hAnsi="仿宋"/>
          <w:sz w:val="32"/>
          <w:szCs w:val="32"/>
        </w:rPr>
      </w:pPr>
      <w:r>
        <w:rPr>
          <w:rFonts w:ascii="仿宋" w:eastAsia="仿宋" w:hAnsi="仿宋" w:hint="eastAsia"/>
          <w:sz w:val="32"/>
          <w:szCs w:val="32"/>
          <w:lang w:eastAsia="zh-CN"/>
        </w:rPr>
        <w:t>（</w:t>
      </w:r>
      <w:r>
        <w:rPr>
          <w:rFonts w:ascii="仿宋" w:eastAsia="仿宋" w:hAnsi="仿宋" w:hint="eastAsia"/>
          <w:sz w:val="32"/>
          <w:szCs w:val="32"/>
        </w:rPr>
        <w:t>七</w:t>
      </w:r>
      <w:r>
        <w:rPr>
          <w:rFonts w:ascii="仿宋" w:eastAsia="仿宋" w:hAnsi="仿宋" w:hint="eastAsia"/>
          <w:sz w:val="32"/>
          <w:szCs w:val="32"/>
          <w:lang w:eastAsia="zh-CN"/>
        </w:rPr>
        <w:t>）</w:t>
      </w:r>
      <w:r>
        <w:rPr>
          <w:rFonts w:ascii="仿宋" w:eastAsia="仿宋" w:hAnsi="仿宋" w:hint="eastAsia"/>
          <w:sz w:val="32"/>
          <w:szCs w:val="32"/>
        </w:rPr>
        <w:t>“创新工作成效”。主要是根据各市重点产业、企业知识产权保护能力提升等创新工作情况进行测算。</w:t>
      </w:r>
    </w:p>
    <w:p>
      <w:pPr>
        <w:ind w:firstLine="640" w:firstLineChars="200"/>
        <w:jc w:val="both"/>
        <w:rPr>
          <w:rFonts w:ascii="仿宋" w:eastAsia="仿宋" w:hAnsi="仿宋" w:hint="eastAsia"/>
          <w:sz w:val="32"/>
          <w:szCs w:val="32"/>
        </w:rPr>
      </w:pPr>
      <w:r>
        <w:rPr>
          <w:rFonts w:ascii="仿宋" w:eastAsia="仿宋" w:hAnsi="仿宋" w:hint="eastAsia"/>
          <w:sz w:val="32"/>
          <w:szCs w:val="32"/>
        </w:rPr>
        <w:t>上述七个因素，其中第一、二项为定额分配，三至七项为排序分档</w:t>
      </w:r>
      <w:r>
        <w:rPr>
          <w:rFonts w:ascii="仿宋" w:eastAsia="仿宋" w:hAnsi="仿宋" w:hint="eastAsia"/>
          <w:sz w:val="32"/>
          <w:szCs w:val="32"/>
          <w:lang w:val="en-US" w:eastAsia="zh-CN"/>
        </w:rPr>
        <w:t>奖补</w:t>
      </w:r>
      <w:r>
        <w:rPr>
          <w:rFonts w:ascii="仿宋" w:eastAsia="仿宋" w:hAnsi="仿宋" w:hint="eastAsia"/>
          <w:sz w:val="32"/>
          <w:szCs w:val="32"/>
        </w:rPr>
        <w:t>，共分为三档，第一档4个市，第二档9个市，第三档3个市。</w:t>
      </w:r>
    </w:p>
    <w:p>
      <w:pPr>
        <w:spacing w:line="570" w:lineRule="exact"/>
        <w:ind w:firstLine="640" w:firstLineChars="200"/>
        <w:jc w:val="left"/>
        <w:rPr>
          <w:rFonts w:ascii="黑体" w:eastAsia="黑体" w:hAnsi="黑体" w:cs="黑体" w:hint="eastAsia"/>
          <w:kern w:val="0"/>
          <w:sz w:val="32"/>
          <w:szCs w:val="32"/>
          <w:lang w:bidi="ar"/>
        </w:rPr>
      </w:pPr>
      <w:r>
        <w:rPr>
          <w:rFonts w:ascii="仿宋" w:eastAsia="仿宋" w:hAnsi="仿宋" w:hint="eastAsia"/>
          <w:sz w:val="32"/>
          <w:szCs w:val="32"/>
        </w:rPr>
        <w:t>目前，省市场监管局正联合省财政厅制定知识产权保护综合补助工作实施细则，进一步明确细化补助因素和补助分配下达流程</w:t>
      </w:r>
      <w:r>
        <w:rPr>
          <w:rFonts w:ascii="仿宋" w:eastAsia="仿宋" w:hAnsi="仿宋" w:hint="eastAsia"/>
          <w:sz w:val="32"/>
          <w:szCs w:val="32"/>
          <w:lang w:eastAsia="zh-CN"/>
        </w:rPr>
        <w:t>。</w:t>
      </w:r>
      <w:r>
        <w:rPr>
          <w:rFonts w:ascii="仿宋_GB2312" w:eastAsia="仿宋_GB2312" w:hAnsi="仿宋_GB2312" w:cs="仿宋_GB2312" w:hint="eastAsia"/>
          <w:kern w:val="0"/>
          <w:sz w:val="32"/>
          <w:szCs w:val="32"/>
          <w:lang w:bidi="ar"/>
        </w:rPr>
        <w:t>各市市场监管部门、财政部门要</w:t>
      </w:r>
      <w:r>
        <w:rPr>
          <w:rFonts w:ascii="仿宋_GB2312" w:eastAsia="仿宋_GB2312" w:hAnsi="仿宋_GB2312" w:cs="仿宋_GB2312" w:hint="eastAsia"/>
          <w:kern w:val="0"/>
          <w:sz w:val="32"/>
          <w:szCs w:val="32"/>
          <w:lang w:val="en-US" w:eastAsia="zh-CN" w:bidi="ar"/>
        </w:rPr>
        <w:t>围绕知识产权保护重点工作</w:t>
      </w:r>
      <w:r>
        <w:rPr>
          <w:rFonts w:ascii="仿宋_GB2312" w:eastAsia="仿宋_GB2312" w:hAnsi="仿宋_GB2312" w:cs="仿宋_GB2312" w:hint="eastAsia"/>
          <w:kern w:val="0"/>
          <w:sz w:val="32"/>
          <w:szCs w:val="32"/>
          <w:lang w:bidi="ar"/>
        </w:rPr>
        <w:t>拟定资金使用方案，</w:t>
      </w:r>
      <w:r>
        <w:rPr>
          <w:rFonts w:ascii="仿宋_GB2312" w:eastAsia="仿宋_GB2312" w:hAnsi="仿宋_GB2312" w:cs="仿宋_GB2312" w:hint="eastAsia"/>
          <w:kern w:val="0"/>
          <w:sz w:val="32"/>
          <w:szCs w:val="32"/>
          <w:lang w:val="en-US" w:eastAsia="zh-CN" w:bidi="ar"/>
        </w:rPr>
        <w:t>并报省市场监管局。</w:t>
      </w:r>
      <w:r>
        <w:rPr>
          <w:rFonts w:ascii="仿宋" w:eastAsia="仿宋" w:hAnsi="仿宋" w:hint="eastAsia"/>
          <w:sz w:val="32"/>
          <w:szCs w:val="32"/>
        </w:rPr>
        <w:t>省市场监管局将</w:t>
      </w:r>
      <w:r>
        <w:rPr>
          <w:rFonts w:ascii="仿宋" w:eastAsia="仿宋" w:hAnsi="仿宋" w:hint="eastAsia"/>
          <w:sz w:val="32"/>
          <w:szCs w:val="32"/>
          <w:lang w:val="en-US" w:eastAsia="zh-CN"/>
        </w:rPr>
        <w:t>联合省财政厅</w:t>
      </w:r>
      <w:r>
        <w:rPr>
          <w:rFonts w:ascii="仿宋" w:eastAsia="仿宋" w:hAnsi="仿宋" w:hint="eastAsia"/>
          <w:sz w:val="32"/>
          <w:szCs w:val="32"/>
        </w:rPr>
        <w:t>加强资金使用管理和跟踪问效，确保资金绩效</w:t>
      </w:r>
      <w:r>
        <w:rPr>
          <w:rFonts w:ascii="仿宋" w:eastAsia="仿宋" w:hAnsi="仿宋"/>
          <w:sz w:val="32"/>
          <w:szCs w:val="32"/>
        </w:rPr>
        <w:t>符合预期。</w:t>
      </w:r>
    </w:p>
    <w:p>
      <w:pPr>
        <w:spacing w:line="570" w:lineRule="exact"/>
        <w:ind w:firstLine="640" w:firstLineChars="200"/>
        <w:jc w:val="left"/>
        <w:rPr>
          <w:rFonts w:ascii="黑体" w:eastAsia="黑体" w:hAnsi="黑体" w:cs="黑体" w:hint="eastAsia"/>
          <w:kern w:val="0"/>
          <w:sz w:val="32"/>
          <w:szCs w:val="32"/>
          <w:lang w:bidi="ar"/>
        </w:rPr>
      </w:pPr>
    </w:p>
    <w:p>
      <w:pPr>
        <w:spacing w:line="570" w:lineRule="exact"/>
        <w:ind w:firstLine="720" w:firstLineChars="200"/>
        <w:jc w:val="left"/>
        <w:rPr>
          <w:rFonts w:ascii="仿宋" w:eastAsia="仿宋" w:hAnsi="仿宋"/>
          <w:sz w:val="32"/>
          <w:szCs w:val="32"/>
        </w:rPr>
      </w:pPr>
      <w:r>
        <w:rPr>
          <w:rFonts w:ascii="黑体" w:eastAsia="黑体" w:hAnsi="黑体" w:cs="黑体" w:hint="eastAsia"/>
          <w:sz w:val="36"/>
          <w:szCs w:val="36"/>
          <w:lang w:val="en-US" w:eastAsia="zh-CN"/>
        </w:rPr>
        <w:t>第13项：开展专利开放许可试点。</w:t>
      </w:r>
      <w:r>
        <w:rPr>
          <w:rFonts w:ascii="仿宋" w:eastAsia="仿宋" w:hAnsi="仿宋" w:hint="eastAsia"/>
          <w:sz w:val="32"/>
          <w:szCs w:val="32"/>
          <w:lang w:val="en-US" w:eastAsia="zh-CN"/>
        </w:rPr>
        <w:t>支持企业</w:t>
      </w:r>
      <w:r>
        <w:rPr>
          <w:rFonts w:ascii="仿宋" w:eastAsia="仿宋" w:hAnsi="仿宋" w:hint="eastAsia"/>
          <w:sz w:val="32"/>
          <w:szCs w:val="32"/>
        </w:rPr>
        <w:t>高校院所</w:t>
      </w:r>
      <w:r>
        <w:rPr>
          <w:rFonts w:ascii="仿宋" w:eastAsia="仿宋" w:hAnsi="仿宋" w:hint="eastAsia"/>
          <w:sz w:val="32"/>
          <w:szCs w:val="32"/>
          <w:lang w:val="en-US" w:eastAsia="zh-CN"/>
        </w:rPr>
        <w:t>等专利权人</w:t>
      </w:r>
      <w:r>
        <w:rPr>
          <w:rFonts w:ascii="仿宋" w:eastAsia="仿宋" w:hAnsi="仿宋" w:hint="eastAsia"/>
          <w:sz w:val="32"/>
          <w:szCs w:val="32"/>
        </w:rPr>
        <w:t>，筛选有市场化前景、</w:t>
      </w:r>
      <w:r>
        <w:rPr>
          <w:rFonts w:ascii="仿宋" w:eastAsia="仿宋" w:hAnsi="仿宋" w:hint="eastAsia"/>
          <w:sz w:val="32"/>
          <w:szCs w:val="32"/>
          <w:lang w:val="en-US" w:eastAsia="zh-CN"/>
        </w:rPr>
        <w:t>应用广泛、</w:t>
      </w:r>
      <w:r>
        <w:rPr>
          <w:rFonts w:ascii="仿宋" w:eastAsia="仿宋" w:hAnsi="仿宋" w:hint="eastAsia"/>
          <w:sz w:val="32"/>
          <w:szCs w:val="32"/>
        </w:rPr>
        <w:t>实用性强</w:t>
      </w:r>
      <w:r>
        <w:rPr>
          <w:rFonts w:ascii="仿宋" w:eastAsia="仿宋" w:hAnsi="仿宋" w:hint="eastAsia"/>
          <w:sz w:val="32"/>
          <w:szCs w:val="32"/>
          <w:lang w:val="en-US" w:eastAsia="zh-CN"/>
        </w:rPr>
        <w:t>的专利技术，实施专利技术免费或低成本</w:t>
      </w:r>
      <w:r>
        <w:rPr>
          <w:rFonts w:ascii="仿宋" w:eastAsia="仿宋" w:hAnsi="仿宋" w:hint="eastAsia"/>
          <w:sz w:val="32"/>
          <w:szCs w:val="32"/>
        </w:rPr>
        <w:t>“一对多”开放许可。</w:t>
      </w:r>
    </w:p>
    <w:p>
      <w:pPr>
        <w:spacing w:line="570" w:lineRule="exact"/>
        <w:ind w:firstLine="640" w:firstLineChars="200"/>
        <w:jc w:val="left"/>
        <w:rPr>
          <w:rFonts w:ascii="华文楷体" w:eastAsia="华文楷体" w:hAnsi="华文楷体" w:cs="华文楷体" w:hint="eastAsia"/>
          <w:i w:val="0"/>
          <w:caps w:val="0"/>
          <w:color w:val="121212"/>
          <w:spacing w:val="0"/>
          <w:sz w:val="27"/>
          <w:szCs w:val="27"/>
          <w:shd w:val="clear" w:color="auto" w:fill="FFFFFF"/>
        </w:rPr>
      </w:pPr>
      <w:r>
        <w:rPr>
          <w:rFonts w:ascii="仿宋" w:eastAsia="仿宋" w:hAnsi="仿宋" w:hint="eastAsia"/>
          <w:sz w:val="32"/>
          <w:szCs w:val="32"/>
          <w:lang w:val="en-US" w:eastAsia="zh-CN"/>
        </w:rPr>
        <w:t>试点工作的背景依据。</w:t>
      </w:r>
      <w:r>
        <w:rPr>
          <w:rFonts w:ascii="仿宋" w:eastAsia="仿宋" w:hAnsi="仿宋" w:hint="eastAsia"/>
          <w:sz w:val="32"/>
          <w:szCs w:val="32"/>
        </w:rPr>
        <w:t>2021年6月修订实施的专利法，</w:t>
      </w:r>
      <w:r>
        <w:rPr>
          <w:rFonts w:ascii="华文楷体" w:eastAsia="华文楷体" w:hAnsi="华文楷体" w:cs="华文楷体" w:hint="eastAsia"/>
          <w:i w:val="0"/>
          <w:caps w:val="0"/>
          <w:color w:val="121212"/>
          <w:spacing w:val="0"/>
          <w:sz w:val="27"/>
          <w:szCs w:val="27"/>
          <w:shd w:val="clear" w:color="auto" w:fill="FFFFFF"/>
        </w:rPr>
        <w:t>增加第五十条：“专利权人自愿以书面方式向国务院专利行政部门声明愿意许可任何单位或者个人实施其专利，并明确许可使用费支付方式、标准的，由国务院专利行政部门予以公告，实行开放许可。</w:t>
      </w:r>
      <w:r>
        <w:rPr>
          <w:rFonts w:ascii="华文楷体" w:eastAsia="华文楷体" w:hAnsi="华文楷体" w:cs="华文楷体" w:hint="eastAsia"/>
          <w:sz w:val="24"/>
          <w:szCs w:val="24"/>
        </w:rPr>
        <w:t>　</w:t>
      </w:r>
      <w:r>
        <w:rPr>
          <w:rFonts w:ascii="华文楷体" w:eastAsia="华文楷体" w:hAnsi="华文楷体" w:cs="华文楷体" w:hint="eastAsia"/>
          <w:i w:val="0"/>
          <w:caps w:val="0"/>
          <w:color w:val="121212"/>
          <w:spacing w:val="0"/>
          <w:sz w:val="27"/>
          <w:szCs w:val="27"/>
          <w:shd w:val="clear" w:color="auto" w:fill="FFFFFF"/>
        </w:rPr>
        <w:t>增加第五十一条：“</w:t>
      </w:r>
      <w:r>
        <w:rPr>
          <w:rFonts w:ascii="华文楷体" w:eastAsia="华文楷体" w:hAnsi="华文楷体" w:cs="华文楷体" w:hint="eastAsia"/>
          <w:i w:val="0"/>
          <w:caps w:val="0"/>
          <w:color w:val="121212"/>
          <w:spacing w:val="0"/>
          <w:sz w:val="27"/>
          <w:szCs w:val="27"/>
          <w:shd w:val="clear" w:color="auto" w:fill="FFFFFF"/>
          <w:lang w:val="en-US" w:eastAsia="zh-CN"/>
        </w:rPr>
        <w:t>......</w:t>
      </w:r>
      <w:r>
        <w:rPr>
          <w:rFonts w:ascii="华文楷体" w:eastAsia="华文楷体" w:hAnsi="华文楷体" w:cs="华文楷体" w:hint="eastAsia"/>
          <w:i w:val="0"/>
          <w:caps w:val="0"/>
          <w:color w:val="121212"/>
          <w:spacing w:val="0"/>
          <w:sz w:val="27"/>
          <w:szCs w:val="27"/>
          <w:u w:val="single"/>
          <w:shd w:val="clear" w:color="auto" w:fill="FFFFFF"/>
        </w:rPr>
        <w:t>开放许可实施期间，对专利权人缴纳专利年费相应给予减免。</w:t>
      </w:r>
      <w:r>
        <w:rPr>
          <w:rFonts w:ascii="华文楷体" w:eastAsia="华文楷体" w:hAnsi="华文楷体" w:cs="华文楷体" w:hint="eastAsia"/>
          <w:i w:val="0"/>
          <w:caps w:val="0"/>
          <w:color w:val="121212"/>
          <w:spacing w:val="0"/>
          <w:sz w:val="27"/>
          <w:szCs w:val="27"/>
          <w:shd w:val="clear" w:color="auto" w:fill="FFFFFF"/>
        </w:rPr>
        <w:t>　</w:t>
      </w:r>
    </w:p>
    <w:p>
      <w:pPr>
        <w:spacing w:line="570" w:lineRule="exact"/>
        <w:ind w:firstLine="640" w:firstLineChars="200"/>
        <w:jc w:val="left"/>
        <w:rPr>
          <w:rFonts w:ascii="仿宋" w:eastAsia="仿宋" w:hAnsi="仿宋" w:hint="default"/>
          <w:sz w:val="32"/>
          <w:szCs w:val="32"/>
          <w:lang w:val="en-US" w:eastAsia="zh-CN"/>
        </w:rPr>
      </w:pPr>
      <w:r>
        <w:rPr>
          <w:rFonts w:ascii="仿宋" w:eastAsia="仿宋" w:hAnsi="仿宋" w:hint="eastAsia"/>
          <w:sz w:val="32"/>
          <w:szCs w:val="32"/>
          <w:lang w:val="en-US" w:eastAsia="zh-CN"/>
        </w:rPr>
        <w:t>目前，专利法实施细则等与之配套的政策规则尚在修订中，开放许可制度尚未正式运行。为推动知识产权转移转化工作，国家知识产权局2022年组织开展专利开放许可试点工作，我省是试点省之一。国家知识产权局试点方案明确：对试点中质量高、市场前景好或达成许可意向的专利，支持其向国家知识产权局提交许可声明，并在制度全面实施后，依法快速予以审查公告。</w:t>
      </w:r>
    </w:p>
    <w:p>
      <w:pPr>
        <w:spacing w:line="570" w:lineRule="exact"/>
        <w:ind w:firstLine="640" w:firstLineChars="200"/>
        <w:jc w:val="left"/>
        <w:rPr>
          <w:rFonts w:ascii="仿宋" w:eastAsia="仿宋" w:hAnsi="仿宋" w:hint="eastAsia"/>
          <w:sz w:val="32"/>
          <w:szCs w:val="32"/>
          <w:lang w:val="en-US" w:eastAsia="zh-CN"/>
        </w:rPr>
      </w:pPr>
      <w:r>
        <w:rPr>
          <w:rFonts w:ascii="仿宋" w:eastAsia="仿宋" w:hAnsi="仿宋" w:hint="eastAsia"/>
          <w:sz w:val="32"/>
          <w:szCs w:val="32"/>
        </w:rPr>
        <w:t>为推进这项工作，</w:t>
      </w:r>
      <w:r>
        <w:rPr>
          <w:rFonts w:ascii="仿宋" w:eastAsia="仿宋" w:hAnsi="仿宋" w:hint="eastAsia"/>
          <w:sz w:val="32"/>
          <w:szCs w:val="32"/>
          <w:lang w:val="en-US" w:eastAsia="zh-CN"/>
        </w:rPr>
        <w:t>省市场监管局印发试点方案，</w:t>
      </w:r>
      <w:r>
        <w:rPr>
          <w:rFonts w:ascii="仿宋" w:eastAsia="仿宋" w:hAnsi="仿宋" w:hint="eastAsia"/>
          <w:sz w:val="32"/>
          <w:szCs w:val="32"/>
        </w:rPr>
        <w:t>依托山东省知识产权公共服务平台，搭建了全省专利开放许可声明信息发布平台</w:t>
      </w:r>
      <w:r>
        <w:rPr>
          <w:rFonts w:ascii="华文楷体" w:eastAsia="华文楷体" w:hAnsi="华文楷体" w:cs="华文楷体" w:hint="eastAsia"/>
          <w:b/>
          <w:bCs/>
          <w:color w:val="auto"/>
          <w:sz w:val="24"/>
          <w:szCs w:val="24"/>
        </w:rPr>
        <w:t>（网址：</w:t>
      </w:r>
      <w:hyperlink r:id="rId5" w:history="1">
        <w:r>
          <w:rPr>
            <w:rFonts w:ascii="华文楷体" w:eastAsia="华文楷体" w:hAnsi="华文楷体" w:cs="华文楷体" w:hint="eastAsia"/>
            <w:b/>
            <w:bCs/>
            <w:color w:val="auto"/>
            <w:sz w:val="24"/>
            <w:szCs w:val="24"/>
            <w:lang w:val="en-US" w:eastAsia="zh-CN"/>
          </w:rPr>
          <w:t>http://pom.sdips.com.cn/-“开放许可”-“开放许可信息登记”）</w:t>
        </w:r>
        <w:r>
          <w:rPr>
            <w:rFonts w:ascii="仿宋" w:eastAsia="仿宋" w:hAnsi="仿宋" w:hint="eastAsia"/>
            <w:sz w:val="32"/>
            <w:szCs w:val="32"/>
            <w:lang w:val="en-US" w:eastAsia="zh-CN"/>
          </w:rPr>
          <w:t>。通过信息发布平台，一是专利权人可网上提交规定格式的开放许可申请，经审核后公开发布；二是专利技术需求方可以登录查询所需专利技术；三是省内外知识产权服务机构均可通过接口调用、网页链接等方式，对登记的开放许可信息进行共享应用。</w:t>
        </w:r>
      </w:hyperlink>
    </w:p>
    <w:p>
      <w:pPr>
        <w:spacing w:line="570" w:lineRule="exact"/>
        <w:ind w:firstLine="640" w:firstLineChars="200"/>
        <w:jc w:val="left"/>
        <w:rPr>
          <w:rFonts w:ascii="仿宋" w:eastAsia="仿宋" w:hAnsi="仿宋" w:hint="eastAsia"/>
          <w:sz w:val="32"/>
          <w:szCs w:val="32"/>
          <w:lang w:val="en-US" w:eastAsia="zh-CN"/>
        </w:rPr>
      </w:pPr>
      <w:r>
        <w:rPr>
          <w:rFonts w:ascii="仿宋" w:eastAsia="仿宋" w:hAnsi="仿宋" w:hint="eastAsia"/>
          <w:sz w:val="32"/>
          <w:szCs w:val="32"/>
          <w:lang w:val="en-US" w:eastAsia="zh-CN"/>
        </w:rPr>
        <w:t>通过开放许可，有利于畅通专利供需对接渠道，推进专利技术价值实现；有利于以更加便捷的方式促成专利转化运用，降低专利技术获取门槛及成本。目前，平台已登记开放许可专利信息590项，达成“一对多”专利开放许可45项，工作取得了初步成效。</w:t>
      </w:r>
    </w:p>
    <w:p>
      <w:pPr>
        <w:spacing w:line="570" w:lineRule="exact"/>
        <w:ind w:firstLine="640" w:firstLineChars="200"/>
        <w:jc w:val="left"/>
        <w:rPr>
          <w:rFonts w:ascii="仿宋" w:eastAsia="仿宋" w:hAnsi="仿宋" w:hint="eastAsia"/>
          <w:sz w:val="32"/>
          <w:szCs w:val="32"/>
          <w:lang w:val="en-US" w:eastAsia="zh-CN"/>
        </w:rPr>
      </w:pPr>
      <w:r>
        <w:rPr>
          <w:rFonts w:ascii="仿宋" w:eastAsia="仿宋" w:hAnsi="仿宋" w:hint="eastAsia"/>
          <w:sz w:val="32"/>
          <w:szCs w:val="32"/>
          <w:lang w:val="en-US" w:eastAsia="zh-CN"/>
        </w:rPr>
        <w:t>下一步，希望各市加强对这项工作的宣传，有针对性推进这项工作，包括引导和服务专利权人，筛选相关专利提交开放许可申请；推进当地转移转化机构共享应用开放许可信息；优化信息和供需对接服务等，推进知识产权转化运用，更好服务中小企业。</w:t>
      </w:r>
    </w:p>
    <w:sectPr>
      <w:headerReference w:type="even" r:id="rId6"/>
      <w:headerReference w:type="default" r:id="rId7"/>
      <w:footerReference w:type="default" r:id="rId8"/>
      <w:headerReference w:type="first" r:id="rId9"/>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8480"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120pt;height:20pt;margin-top:0;margin-left:0;mso-position-horizontal:center;mso-position-horizontal-relative:margin;mso-position-vertical-relative:margin;position:absolute;rotation:-40;z-index:251665408" fillcolor="#696969" strokecolor="#696969">
          <v:fill opacity="13107f"/>
          <v:stroke opacity="19661f"/>
          <v:textpath style="font-family:Arial" string="经发科创局-刘现阳"/>
          <w10:wrap anchorx="margin" anchory="margin"/>
        </v:shape>
      </w:pict>
    </w:r>
    <w:r>
      <w:pict>
        <v:shape id="_x0000_s2057" type="#_x0000_t136" style="width:120pt;height:20pt;margin-top:0;margin-left:0;mso-position-horizontal:center;mso-position-horizontal-relative:page;mso-position-vertical:center;mso-position-vertical-relative:page;position:absolute;rotation:-40;z-index:251666432" fillcolor="#696969" strokecolor="#696969">
          <v:fill opacity="13107f"/>
          <v:stroke opacity="19661f"/>
          <v:textpath style="font-family:Arial" string="经发科创局-刘现阳"/>
        </v:shape>
      </w:pict>
    </w:r>
    <w:r>
      <w:pict>
        <v:shape id="_x0000_s2058" type="#_x0000_t136" style="width:120pt;height:20pt;margin-top:480pt;margin-left:0;mso-position-horizontal:center;mso-position-horizontal-relative:margin;mso-position-vertical-relative:margin;position:absolute;rotation:-40;z-index:251667456" fillcolor="#696969" strokecolor="#696969">
          <v:fill opacity="13107f"/>
          <v:stroke opacity="19661f"/>
          <v:textpath style="font-family:Arial" string="经发科创局-刘现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120pt;height:20pt;margin-top:0;margin-left:0;mso-position-horizontal:center;mso-position-horizontal-relative:margin;mso-position-vertical-relative:margin;position:absolute;rotation:-40;z-index:251659264" fillcolor="#696969" strokecolor="#696969">
          <v:fill opacity="13107f"/>
          <v:stroke opacity="19661f"/>
          <v:textpath style="font-family:Arial" string="经发科创局-刘现阳"/>
          <w10:wrap anchorx="margin" anchory="margin"/>
        </v:shape>
      </w:pict>
    </w:r>
    <w:r>
      <w:pict>
        <v:shape id="_x0000_s2051" type="#_x0000_t136" style="width:120pt;height:20pt;margin-top:0;margin-left:0;mso-position-horizontal:center;mso-position-horizontal-relative:page;mso-position-vertical:center;mso-position-vertical-relative:page;position:absolute;rotation:-40;z-index:251660288" fillcolor="#696969" strokecolor="#696969">
          <v:fill opacity="13107f"/>
          <v:stroke opacity="19661f"/>
          <v:textpath style="font-family:Arial" string="经发科创局-刘现阳"/>
        </v:shape>
      </w:pict>
    </w:r>
    <w:r>
      <w:pict>
        <v:shape id="_x0000_s2052" type="#_x0000_t136" style="width:120pt;height:20pt;margin-top:480pt;margin-left:0;mso-position-horizontal:center;mso-position-horizontal-relative:margin;mso-position-vertical-relative:margin;position:absolute;rotation:-40;z-index:251661312" fillcolor="#696969" strokecolor="#696969">
          <v:fill opacity="13107f"/>
          <v:stroke opacity="19661f"/>
          <v:textpath style="font-family:Arial" string="经发科创局-刘现阳"/>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120pt;height:20pt;margin-top:0;margin-left:0;mso-position-horizontal:center;mso-position-horizontal-relative:margin;mso-position-vertical-relative:margin;position:absolute;rotation:-40;z-index:251662336" fillcolor="#696969" strokecolor="#696969">
          <v:fill opacity="13107f"/>
          <v:stroke opacity="19661f"/>
          <v:textpath style="font-family:Arial" string="经发科创局-刘现阳"/>
          <w10:wrap anchorx="margin" anchory="margin"/>
        </v:shape>
      </w:pict>
    </w:r>
    <w:r>
      <w:pict>
        <v:shape id="_x0000_s2054" type="#_x0000_t136" style="width:120pt;height:20pt;margin-top:0;margin-left:0;mso-position-horizontal:center;mso-position-horizontal-relative:page;mso-position-vertical:center;mso-position-vertical-relative:page;position:absolute;rotation:-40;z-index:251663360" fillcolor="#696969" strokecolor="#696969">
          <v:fill opacity="13107f"/>
          <v:stroke opacity="19661f"/>
          <v:textpath style="font-family:Arial" string="经发科创局-刘现阳"/>
        </v:shape>
      </w:pict>
    </w:r>
    <w:r>
      <w:pict>
        <v:shape id="_x0000_s2055" type="#_x0000_t136" style="width:120pt;height:20pt;margin-top:480pt;margin-left:0;mso-position-horizontal:center;mso-position-horizontal-relative:margin;mso-position-vertical-relative:margin;position:absolute;rotation:-40;z-index:251664384" fillcolor="#696969" strokecolor="#696969">
          <v:fill opacity="13107f"/>
          <v:stroke opacity="19661f"/>
          <v:textpath style="font-family:Arial" string="经发科创局-刘现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BA2F8E"/>
    <w:rsid w:val="BB3AB47F"/>
    <w:rsid w:val="3A943DA8"/>
    <w:rsid w:val="76BA2F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qFormat="1"/>
    <w:lsdException w:name="Body Text Indent"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560" w:lineRule="exact"/>
      <w:jc w:val="center"/>
    </w:pPr>
    <w:rPr>
      <w:rFonts w:asciiTheme="minorHAnsi" w:eastAsiaTheme="minorEastAsia" w:hAnsiTheme="minorHAnsi" w:cstheme="minorBidi"/>
      <w:kern w:val="2"/>
      <w:sz w:val="21"/>
      <w:szCs w:val="22"/>
      <w:lang w:val="en-US" w:eastAsia="zh-CN" w:bidi="ar-SA"/>
    </w:rPr>
  </w:style>
  <w:style w:type="paragraph" w:styleId="Heading2">
    <w:name w:val="heading 2"/>
    <w:basedOn w:val="Normal"/>
    <w:next w:val="Normal"/>
    <w:unhideWhenUsed/>
    <w:qFormat/>
    <w:pPr>
      <w:spacing w:before="50" w:beforeLines="50" w:beforeAutospacing="0" w:after="50" w:afterLines="50" w:afterAutospacing="0"/>
      <w:ind w:firstLine="800" w:firstLineChars="200"/>
      <w:jc w:val="left"/>
      <w:outlineLvl w:val="1"/>
    </w:pPr>
    <w:rPr>
      <w:rFonts w:ascii="宋体" w:eastAsia="黑体" w:hAnsi="宋体" w:hint="eastAsia"/>
      <w:kern w:val="0"/>
      <w:sz w:val="32"/>
      <w:szCs w:val="36"/>
    </w:rPr>
  </w:style>
  <w:style w:type="paragraph" w:styleId="Heading3">
    <w:name w:val="heading 3"/>
    <w:next w:val="Normal"/>
    <w:qFormat/>
    <w:pPr>
      <w:spacing w:before="100" w:beforeAutospacing="1" w:after="100" w:afterAutospacing="1"/>
      <w:outlineLvl w:val="2"/>
    </w:pPr>
    <w:rPr>
      <w:rFonts w:ascii="宋体" w:eastAsia="宋体" w:hAnsi="宋体" w:cs="宋体"/>
      <w:b/>
      <w:bCs/>
      <w:sz w:val="27"/>
      <w:szCs w:val="27"/>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next w:val="BodyTextFirstIndent2"/>
    <w:uiPriority w:val="99"/>
    <w:unhideWhenUsed/>
    <w:qFormat/>
    <w:pPr>
      <w:spacing w:line="600" w:lineRule="exact"/>
    </w:pPr>
    <w:rPr>
      <w:rFonts w:ascii="黑体" w:eastAsia="黑体"/>
      <w:b/>
      <w:bCs/>
      <w:sz w:val="32"/>
    </w:rPr>
  </w:style>
  <w:style w:type="paragraph" w:styleId="BodyTextFirstIndent2">
    <w:name w:val="Body Text First Indent 2"/>
    <w:basedOn w:val="BodyTextIndent"/>
    <w:next w:val="Normal"/>
    <w:qFormat/>
    <w:pPr>
      <w:widowControl w:val="0"/>
      <w:ind w:firstLine="420" w:firstLineChars="200"/>
      <w:jc w:val="both"/>
    </w:pPr>
    <w:rPr>
      <w:rFonts w:ascii="Calibri" w:eastAsia="宋体" w:hAnsi="Calibri" w:cs="Times New Roman"/>
      <w:szCs w:val="24"/>
    </w:rPr>
  </w:style>
  <w:style w:type="paragraph" w:styleId="BodyTextIndent">
    <w:name w:val="Body Text Indent"/>
    <w:basedOn w:val="Normal"/>
    <w:next w:val="2"/>
    <w:uiPriority w:val="99"/>
    <w:semiHidden/>
    <w:unhideWhenUsed/>
    <w:qFormat/>
    <w:pPr>
      <w:spacing w:after="120"/>
      <w:ind w:left="420" w:leftChars="200"/>
    </w:pPr>
  </w:style>
  <w:style w:type="paragraph" w:customStyle="1" w:styleId="2">
    <w:name w:val="样式 正文文本缩进 + 左侧:  2 字符"/>
    <w:qFormat/>
    <w:pPr>
      <w:widowControl w:val="0"/>
      <w:suppressAutoHyphens/>
      <w:spacing w:line="360" w:lineRule="auto"/>
      <w:ind w:firstLine="200"/>
      <w:jc w:val="both"/>
    </w:pPr>
    <w:rPr>
      <w:rFonts w:ascii="宋体" w:eastAsia="宋体" w:hAnsi="宋体" w:cs="宋体"/>
      <w:kern w:val="1"/>
      <w:sz w:val="21"/>
      <w:lang w:val="en-US" w:eastAsia="zh-CN" w:bidi="ar-SA"/>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pom.sdips.com.cn/-&#8220;&#24320;&#25918;&#35768;&#21487;&#8221;-&#8220;&#24320;&#25918;&#35768;&#21487;&#20449;&#24687;&#30331;&#35760;&#8221;&#65289;&#12290;&#36890;&#36807;&#20449;&#24687;&#21457;&#24067;&#24179;&#21488;&#65292;&#19968;&#26159;&#19987;&#21033;&#26435;&#20154;&#21487;&#25552;&#20132;&#24320;&#25918;&#35768;&#21487;&#30340;&#19987;&#21033;&#30003;&#35831;&#20449;&#24687;&#12289;&#32463;&#23457;&#26680;&#21518;&#20844;&#24320;&#21457;&#24067;&#65307;&#20108;&#26159;&#19987;&#21033;&#25216;&#26415;&#38656;&#27714;&#26041;&#21487;&#20197;&#30331;&#24405;&#26597;&#35810;&#25152;&#38656;&#19987;&#21033;&#25216;&#26415;&#65307;&#19977;&#26159;&#30465;&#20869;&#22806;&#30693;&#35782;&#20135;&#26435;&#26381;&#21153;&#26426;&#26500;&#22343;&#21487;&#36890;&#36807;&#25509;&#21475;&#35843;&#29992;&#12289;&#32593;&#39029;&#38142;&#25509;&#31561;&#26041;&#24335;&#65292;&#23545;&#30331;&#35760;&#30340;&#24320;&#25918;&#35768;&#21487;&#20449;&#24687;&#36827;&#34892;&#20849;&#20139;&#24212;&#29992;&#12290;"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山东省工商局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scjgj</dc:creator>
  <cp:lastModifiedBy>user</cp:lastModifiedBy>
  <cp:revision>1</cp:revision>
  <dcterms:created xsi:type="dcterms:W3CDTF">2023-05-05T14:56:00Z</dcterms:created>
  <dcterms:modified xsi:type="dcterms:W3CDTF">2023-06-20T16:35:25Z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10820D602C1E4B0ECD6491648CF78BA6</vt:lpwstr>
  </property>
  <property fmtid="{D5CDD505-2E9C-101B-9397-08002B2CF9AE}" pid="3" name="KSOProductBuildVer">
    <vt:lpwstr>2052-11.8.2.1122</vt:lpwstr>
  </property>
</Properties>
</file>