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57C" w:rsidRDefault="00CA157C" w:rsidP="00CA157C">
      <w:pPr>
        <w:ind w:firstLineChars="200" w:firstLine="883"/>
        <w:jc w:val="center"/>
        <w:rPr>
          <w:rFonts w:ascii="黑体" w:eastAsia="黑体" w:hAnsi="黑体"/>
          <w:b/>
          <w:sz w:val="44"/>
          <w:szCs w:val="44"/>
        </w:rPr>
      </w:pPr>
      <w:r w:rsidRPr="00CA157C">
        <w:rPr>
          <w:rFonts w:ascii="黑体" w:eastAsia="黑体" w:hAnsi="黑体" w:hint="eastAsia"/>
          <w:b/>
          <w:sz w:val="44"/>
          <w:szCs w:val="44"/>
        </w:rPr>
        <w:t>建设工程文物保护许可</w:t>
      </w:r>
      <w:r w:rsidR="00D43273">
        <w:rPr>
          <w:rFonts w:ascii="黑体" w:eastAsia="黑体" w:hAnsi="黑体" w:hint="eastAsia"/>
          <w:b/>
          <w:sz w:val="44"/>
          <w:szCs w:val="44"/>
        </w:rPr>
        <w:t>服务指南</w:t>
      </w:r>
    </w:p>
    <w:p w:rsidR="00D43273" w:rsidRDefault="00D43273" w:rsidP="00D43273">
      <w:pPr>
        <w:pStyle w:val="a3"/>
        <w:spacing w:line="560" w:lineRule="exact"/>
        <w:jc w:val="left"/>
        <w:rPr>
          <w:rFonts w:ascii="黑体" w:eastAsia="黑体" w:hAnsi="黑体" w:cs="黑体"/>
          <w:sz w:val="32"/>
          <w:szCs w:val="32"/>
        </w:rPr>
      </w:pPr>
    </w:p>
    <w:p w:rsidR="00D43273" w:rsidRDefault="00D43273" w:rsidP="00D43273">
      <w:pPr>
        <w:pStyle w:val="3"/>
        <w:widowControl/>
        <w:shd w:val="clear" w:color="auto" w:fill="FFFFFF"/>
        <w:spacing w:beforeAutospacing="0" w:afterAutospacing="0" w:line="21" w:lineRule="atLeast"/>
        <w:ind w:firstLineChars="200" w:firstLine="643"/>
        <w:jc w:val="both"/>
        <w:rPr>
          <w:rFonts w:ascii="仿宋_GB2312" w:eastAsia="仿宋_GB2312" w:hAnsiTheme="minorHAnsi" w:cstheme="minorBidi" w:hint="default"/>
          <w:b w:val="0"/>
          <w:bCs w:val="0"/>
          <w:kern w:val="2"/>
          <w:sz w:val="32"/>
          <w:szCs w:val="32"/>
        </w:rPr>
      </w:pPr>
      <w:r>
        <w:rPr>
          <w:rFonts w:ascii="黑体" w:eastAsia="黑体" w:hAnsi="黑体" w:cs="黑体"/>
          <w:sz w:val="32"/>
          <w:szCs w:val="32"/>
        </w:rPr>
        <w:t>一.事项名称:</w:t>
      </w:r>
      <w:r w:rsidRPr="00D43273">
        <w:t xml:space="preserve"> </w:t>
      </w:r>
      <w:r w:rsidRPr="00D43273">
        <w:rPr>
          <w:rFonts w:ascii="仿宋_GB2312" w:eastAsia="仿宋_GB2312" w:hAnsiTheme="minorHAnsi" w:cstheme="minorBidi"/>
          <w:b w:val="0"/>
          <w:bCs w:val="0"/>
          <w:kern w:val="2"/>
          <w:sz w:val="32"/>
          <w:szCs w:val="32"/>
        </w:rPr>
        <w:t>建设工程文物保护许可</w:t>
      </w:r>
    </w:p>
    <w:p w:rsidR="00D43273" w:rsidRDefault="00D43273" w:rsidP="00D43273">
      <w:pPr>
        <w:spacing w:line="560" w:lineRule="exact"/>
        <w:ind w:firstLineChars="200" w:firstLine="640"/>
        <w:rPr>
          <w:rFonts w:ascii="仿宋" w:eastAsia="仿宋" w:hAnsi="仿宋" w:cs="黑体"/>
          <w:sz w:val="32"/>
          <w:szCs w:val="32"/>
        </w:rPr>
      </w:pPr>
      <w:r>
        <w:rPr>
          <w:rFonts w:ascii="黑体" w:eastAsia="黑体" w:hAnsi="黑体" w:cs="黑体" w:hint="eastAsia"/>
          <w:sz w:val="32"/>
          <w:szCs w:val="32"/>
        </w:rPr>
        <w:t>二</w:t>
      </w:r>
      <w:r>
        <w:rPr>
          <w:rFonts w:ascii="黑体" w:eastAsia="黑体" w:hAnsi="黑体" w:cs="黑体"/>
          <w:sz w:val="32"/>
          <w:szCs w:val="32"/>
        </w:rPr>
        <w:t>.</w:t>
      </w:r>
      <w:r w:rsidRPr="00AD36C4">
        <w:rPr>
          <w:rFonts w:hint="eastAsia"/>
        </w:rPr>
        <w:t xml:space="preserve"> </w:t>
      </w:r>
      <w:r w:rsidRPr="00AD36C4">
        <w:rPr>
          <w:rFonts w:ascii="黑体" w:eastAsia="黑体" w:hAnsi="黑体" w:cs="黑体" w:hint="eastAsia"/>
          <w:sz w:val="32"/>
          <w:szCs w:val="32"/>
        </w:rPr>
        <w:t>法律依据</w:t>
      </w:r>
      <w:r>
        <w:rPr>
          <w:rFonts w:ascii="黑体" w:eastAsia="黑体" w:hAnsi="黑体" w:cs="黑体" w:hint="eastAsia"/>
          <w:sz w:val="32"/>
          <w:szCs w:val="32"/>
        </w:rPr>
        <w:t>：</w:t>
      </w:r>
      <w:r w:rsidRPr="00D43273">
        <w:rPr>
          <w:rFonts w:ascii="仿宋" w:eastAsia="仿宋" w:hAnsi="仿宋" w:cs="黑体" w:hint="eastAsia"/>
          <w:sz w:val="32"/>
          <w:szCs w:val="32"/>
        </w:rPr>
        <w:t>《中华人民共和国文物保护法</w:t>
      </w:r>
      <w:r w:rsidRPr="00D43273">
        <w:rPr>
          <w:rFonts w:ascii="仿宋" w:eastAsia="仿宋" w:hAnsi="仿宋" w:cs="黑体"/>
          <w:sz w:val="32"/>
          <w:szCs w:val="32"/>
        </w:rPr>
        <w:t xml:space="preserve"> 》（2017年修正本）、《山东省文物保护条例》（2010年9月通过，2017年9月修改）</w:t>
      </w:r>
    </w:p>
    <w:p w:rsidR="00D43273" w:rsidRPr="00AD36C4" w:rsidRDefault="00D43273" w:rsidP="00D43273">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申请主体</w:t>
      </w:r>
      <w:r>
        <w:rPr>
          <w:rFonts w:ascii="黑体" w:eastAsia="黑体" w:hAnsi="黑体" w:cs="黑体"/>
          <w:sz w:val="32"/>
          <w:szCs w:val="32"/>
        </w:rPr>
        <w:t>:</w:t>
      </w:r>
      <w:r w:rsidRPr="00AD36C4">
        <w:rPr>
          <w:rFonts w:ascii="仿宋_GB2312" w:eastAsia="仿宋_GB2312" w:hint="eastAsia"/>
          <w:sz w:val="32"/>
          <w:szCs w:val="32"/>
        </w:rPr>
        <w:t>企业法人、事业法人、社会组织法人、非法人企业、行政机关、其他组织、自然人</w:t>
      </w:r>
      <w:r>
        <w:rPr>
          <w:rFonts w:ascii="仿宋_GB2312" w:eastAsia="仿宋_GB2312" w:hint="eastAsia"/>
          <w:sz w:val="32"/>
          <w:szCs w:val="32"/>
        </w:rPr>
        <w:t>。</w:t>
      </w:r>
    </w:p>
    <w:p w:rsidR="00D43273" w:rsidRDefault="00D43273" w:rsidP="00D43273">
      <w:pPr>
        <w:pStyle w:val="2"/>
        <w:spacing w:line="64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sz w:val="32"/>
          <w:szCs w:val="32"/>
        </w:rPr>
        <w:t>.</w:t>
      </w:r>
      <w:r>
        <w:rPr>
          <w:rFonts w:ascii="黑体" w:eastAsia="黑体" w:hAnsi="黑体" w:cs="黑体" w:hint="eastAsia"/>
          <w:sz w:val="32"/>
          <w:szCs w:val="32"/>
        </w:rPr>
        <w:t>申请条件</w:t>
      </w:r>
      <w:r>
        <w:rPr>
          <w:rFonts w:ascii="黑体" w:eastAsia="黑体" w:hAnsi="黑体" w:cs="黑体"/>
          <w:sz w:val="32"/>
          <w:szCs w:val="32"/>
        </w:rPr>
        <w:t>:</w:t>
      </w:r>
    </w:p>
    <w:p w:rsidR="00D43273" w:rsidRPr="00D43273" w:rsidRDefault="00D43273" w:rsidP="00D43273">
      <w:pPr>
        <w:pStyle w:val="2"/>
        <w:spacing w:line="640" w:lineRule="exact"/>
        <w:ind w:firstLineChars="200" w:firstLine="640"/>
        <w:jc w:val="left"/>
        <w:rPr>
          <w:rFonts w:ascii="仿宋" w:eastAsia="仿宋" w:hAnsi="仿宋" w:cs="黑体"/>
          <w:color w:val="000000"/>
          <w:sz w:val="32"/>
          <w:szCs w:val="32"/>
        </w:rPr>
      </w:pPr>
      <w:r w:rsidRPr="00AD36C4">
        <w:rPr>
          <w:rFonts w:ascii="仿宋" w:eastAsia="仿宋" w:hAnsi="仿宋" w:cs="黑体" w:hint="eastAsia"/>
          <w:color w:val="000000"/>
          <w:sz w:val="32"/>
          <w:szCs w:val="32"/>
        </w:rPr>
        <w:t xml:space="preserve"> </w:t>
      </w:r>
      <w:r w:rsidRPr="00D43273">
        <w:rPr>
          <w:rFonts w:ascii="仿宋" w:eastAsia="仿宋" w:hAnsi="仿宋" w:cs="黑体"/>
          <w:color w:val="000000"/>
          <w:sz w:val="32"/>
          <w:szCs w:val="32"/>
        </w:rPr>
        <w:t>1、省以下各级政府部门立项审批的建设工程</w:t>
      </w:r>
      <w:r>
        <w:rPr>
          <w:rFonts w:ascii="仿宋" w:eastAsia="仿宋" w:hAnsi="仿宋" w:cs="黑体" w:hint="eastAsia"/>
          <w:color w:val="000000"/>
          <w:sz w:val="32"/>
          <w:szCs w:val="32"/>
        </w:rPr>
        <w:t>；</w:t>
      </w:r>
    </w:p>
    <w:p w:rsidR="00D43273" w:rsidRPr="00D43273" w:rsidRDefault="00D43273" w:rsidP="00D43273">
      <w:pPr>
        <w:pStyle w:val="2"/>
        <w:spacing w:line="640" w:lineRule="exact"/>
        <w:ind w:firstLineChars="200" w:firstLine="640"/>
        <w:jc w:val="left"/>
        <w:rPr>
          <w:rFonts w:ascii="仿宋" w:eastAsia="仿宋" w:hAnsi="仿宋" w:cs="黑体"/>
          <w:color w:val="000000"/>
          <w:sz w:val="32"/>
          <w:szCs w:val="32"/>
        </w:rPr>
      </w:pPr>
      <w:r w:rsidRPr="00D43273">
        <w:rPr>
          <w:rFonts w:ascii="仿宋" w:eastAsia="仿宋" w:hAnsi="仿宋" w:cs="黑体"/>
          <w:color w:val="000000"/>
          <w:sz w:val="32"/>
          <w:szCs w:val="32"/>
        </w:rPr>
        <w:t xml:space="preserve">2、涉及市级及以下文物保护单位保护范围的建设工程 </w:t>
      </w:r>
      <w:r>
        <w:rPr>
          <w:rFonts w:ascii="仿宋" w:eastAsia="仿宋" w:hAnsi="仿宋" w:cs="黑体" w:hint="eastAsia"/>
          <w:color w:val="000000"/>
          <w:sz w:val="32"/>
          <w:szCs w:val="32"/>
        </w:rPr>
        <w:t>；</w:t>
      </w:r>
    </w:p>
    <w:p w:rsidR="00D43273" w:rsidRPr="00D43273" w:rsidRDefault="00D43273" w:rsidP="00D43273">
      <w:pPr>
        <w:pStyle w:val="2"/>
        <w:spacing w:line="640" w:lineRule="exact"/>
        <w:ind w:firstLineChars="200" w:firstLine="640"/>
        <w:jc w:val="left"/>
        <w:rPr>
          <w:rFonts w:ascii="仿宋" w:eastAsia="仿宋" w:hAnsi="仿宋" w:cs="黑体"/>
          <w:color w:val="000000"/>
          <w:sz w:val="32"/>
          <w:szCs w:val="32"/>
        </w:rPr>
      </w:pPr>
      <w:r w:rsidRPr="00D43273">
        <w:rPr>
          <w:rFonts w:ascii="仿宋" w:eastAsia="仿宋" w:hAnsi="仿宋" w:cs="黑体"/>
          <w:color w:val="000000"/>
          <w:sz w:val="32"/>
          <w:szCs w:val="32"/>
        </w:rPr>
        <w:t>3、涉及省级及以下文物保护单位保护范围建设控制地带的建设工程</w:t>
      </w:r>
      <w:r>
        <w:rPr>
          <w:rFonts w:ascii="仿宋" w:eastAsia="仿宋" w:hAnsi="仿宋" w:cs="黑体" w:hint="eastAsia"/>
          <w:color w:val="000000"/>
          <w:sz w:val="32"/>
          <w:szCs w:val="32"/>
        </w:rPr>
        <w:t>；</w:t>
      </w:r>
    </w:p>
    <w:p w:rsidR="00D43273" w:rsidRPr="00D43273" w:rsidRDefault="00D43273" w:rsidP="00D43273">
      <w:pPr>
        <w:pStyle w:val="2"/>
        <w:spacing w:line="640" w:lineRule="exact"/>
        <w:ind w:firstLineChars="200" w:firstLine="640"/>
        <w:jc w:val="left"/>
        <w:rPr>
          <w:rFonts w:ascii="仿宋" w:eastAsia="仿宋" w:hAnsi="仿宋" w:cs="黑体"/>
          <w:color w:val="000000"/>
          <w:sz w:val="32"/>
          <w:szCs w:val="32"/>
        </w:rPr>
      </w:pPr>
      <w:r w:rsidRPr="00D43273">
        <w:rPr>
          <w:rFonts w:ascii="仿宋" w:eastAsia="仿宋" w:hAnsi="仿宋" w:cs="黑体"/>
          <w:color w:val="000000"/>
          <w:sz w:val="32"/>
          <w:szCs w:val="32"/>
        </w:rPr>
        <w:t xml:space="preserve">4、涉及其他不可移动文物的建设工程 </w:t>
      </w:r>
      <w:r>
        <w:rPr>
          <w:rFonts w:ascii="仿宋" w:eastAsia="仿宋" w:hAnsi="仿宋" w:cs="黑体" w:hint="eastAsia"/>
          <w:color w:val="000000"/>
          <w:sz w:val="32"/>
          <w:szCs w:val="32"/>
        </w:rPr>
        <w:t>；</w:t>
      </w:r>
    </w:p>
    <w:p w:rsidR="00D43273" w:rsidRPr="00D43273" w:rsidRDefault="00D43273" w:rsidP="00D43273">
      <w:pPr>
        <w:pStyle w:val="2"/>
        <w:spacing w:line="640" w:lineRule="exact"/>
        <w:ind w:firstLineChars="200" w:firstLine="640"/>
        <w:jc w:val="left"/>
        <w:rPr>
          <w:rFonts w:ascii="仿宋" w:eastAsia="仿宋" w:hAnsi="仿宋" w:cs="黑体"/>
          <w:color w:val="000000"/>
          <w:sz w:val="32"/>
          <w:szCs w:val="32"/>
        </w:rPr>
      </w:pPr>
      <w:r w:rsidRPr="00D43273">
        <w:rPr>
          <w:rFonts w:ascii="仿宋" w:eastAsia="仿宋" w:hAnsi="仿宋" w:cs="黑体"/>
          <w:color w:val="000000"/>
          <w:sz w:val="32"/>
          <w:szCs w:val="32"/>
        </w:rPr>
        <w:t>5、建设单位应事先聘请专业机构对工程用地范围可能埋藏文物区域进行考古调查勘探，并进行文物影响评估</w:t>
      </w:r>
      <w:r>
        <w:rPr>
          <w:rFonts w:ascii="仿宋" w:eastAsia="仿宋" w:hAnsi="仿宋" w:cs="黑体" w:hint="eastAsia"/>
          <w:color w:val="000000"/>
          <w:sz w:val="32"/>
          <w:szCs w:val="32"/>
        </w:rPr>
        <w:t>；</w:t>
      </w:r>
    </w:p>
    <w:p w:rsidR="00D43273" w:rsidRPr="00AD36C4" w:rsidRDefault="00D43273" w:rsidP="00D43273">
      <w:pPr>
        <w:pStyle w:val="2"/>
        <w:spacing w:after="0" w:line="640" w:lineRule="exact"/>
        <w:ind w:leftChars="0" w:left="0" w:firstLineChars="300" w:firstLine="960"/>
        <w:jc w:val="left"/>
        <w:rPr>
          <w:rFonts w:ascii="仿宋" w:eastAsia="仿宋" w:hAnsi="仿宋" w:cs="黑体"/>
          <w:color w:val="000000"/>
          <w:sz w:val="32"/>
          <w:szCs w:val="32"/>
        </w:rPr>
      </w:pPr>
      <w:r w:rsidRPr="00D43273">
        <w:rPr>
          <w:rFonts w:ascii="仿宋" w:eastAsia="仿宋" w:hAnsi="仿宋" w:cs="黑体"/>
          <w:color w:val="000000"/>
          <w:sz w:val="32"/>
          <w:szCs w:val="32"/>
        </w:rPr>
        <w:t>6、凡涉及不可移动文物的，建设单位应事先聘请专业机构对文物保护单位本体和环境风貌影响进行评估，并制定保护设计方案</w:t>
      </w:r>
      <w:r>
        <w:rPr>
          <w:rFonts w:ascii="仿宋" w:eastAsia="仿宋" w:hAnsi="仿宋" w:cs="黑体" w:hint="eastAsia"/>
          <w:color w:val="000000"/>
          <w:sz w:val="32"/>
          <w:szCs w:val="32"/>
        </w:rPr>
        <w:t>。</w:t>
      </w:r>
    </w:p>
    <w:p w:rsidR="00D43273" w:rsidRDefault="00D43273" w:rsidP="00D43273">
      <w:pPr>
        <w:pStyle w:val="a3"/>
        <w:spacing w:line="560" w:lineRule="exact"/>
        <w:ind w:firstLineChars="200" w:firstLine="640"/>
        <w:jc w:val="left"/>
        <w:rPr>
          <w:rFonts w:ascii="黑体" w:eastAsia="黑体" w:hAnsi="黑体" w:cs="黑体"/>
          <w:sz w:val="32"/>
          <w:szCs w:val="32"/>
        </w:rPr>
      </w:pPr>
      <w:r w:rsidRPr="00AD36C4">
        <w:rPr>
          <w:rFonts w:ascii="黑体" w:eastAsia="黑体" w:hAnsi="黑体" w:cs="黑体" w:hint="eastAsia"/>
          <w:sz w:val="32"/>
          <w:szCs w:val="32"/>
        </w:rPr>
        <w:lastRenderedPageBreak/>
        <w:t>五、申请材料名称、来源、数量及介质要求：</w:t>
      </w:r>
    </w:p>
    <w:p w:rsidR="00D43273" w:rsidRPr="00D43273" w:rsidRDefault="00D43273" w:rsidP="00D43273">
      <w:pPr>
        <w:ind w:firstLineChars="200" w:firstLine="640"/>
        <w:jc w:val="left"/>
        <w:rPr>
          <w:rFonts w:ascii="仿宋_GB2312" w:eastAsia="仿宋_GB2312" w:hAnsi="仿宋_GB2312" w:cs="仿宋_GB2312"/>
          <w:sz w:val="32"/>
          <w:szCs w:val="32"/>
        </w:rPr>
      </w:pPr>
      <w:r w:rsidRPr="00D43273">
        <w:rPr>
          <w:rFonts w:ascii="仿宋_GB2312" w:eastAsia="仿宋_GB2312" w:hAnsi="仿宋_GB2312" w:cs="仿宋_GB2312"/>
          <w:sz w:val="32"/>
          <w:szCs w:val="32"/>
        </w:rPr>
        <w:t>1、申请书(原件1份）；</w:t>
      </w:r>
    </w:p>
    <w:p w:rsidR="00D43273" w:rsidRPr="00D43273" w:rsidRDefault="00D43273" w:rsidP="00D43273">
      <w:pPr>
        <w:ind w:firstLineChars="200" w:firstLine="640"/>
        <w:jc w:val="left"/>
        <w:rPr>
          <w:rFonts w:ascii="仿宋_GB2312" w:eastAsia="仿宋_GB2312" w:hAnsi="仿宋_GB2312" w:cs="仿宋_GB2312"/>
          <w:sz w:val="32"/>
          <w:szCs w:val="32"/>
        </w:rPr>
      </w:pPr>
      <w:r w:rsidRPr="00D43273">
        <w:rPr>
          <w:rFonts w:ascii="仿宋_GB2312" w:eastAsia="仿宋_GB2312" w:hAnsi="仿宋_GB2312" w:cs="仿宋_GB2312"/>
          <w:sz w:val="32"/>
          <w:szCs w:val="32"/>
        </w:rPr>
        <w:t>2、地方文物行政部门意见（原件1份）；</w:t>
      </w:r>
    </w:p>
    <w:p w:rsidR="00D43273" w:rsidRPr="00D43273" w:rsidRDefault="00D43273" w:rsidP="00D43273">
      <w:pPr>
        <w:ind w:firstLineChars="200" w:firstLine="640"/>
        <w:jc w:val="left"/>
        <w:rPr>
          <w:rFonts w:ascii="仿宋_GB2312" w:eastAsia="仿宋_GB2312" w:hAnsi="仿宋_GB2312" w:cs="仿宋_GB2312"/>
          <w:sz w:val="32"/>
          <w:szCs w:val="32"/>
        </w:rPr>
      </w:pPr>
      <w:r w:rsidRPr="00D43273">
        <w:rPr>
          <w:rFonts w:ascii="仿宋_GB2312" w:eastAsia="仿宋_GB2312" w:hAnsi="仿宋_GB2312" w:cs="仿宋_GB2312"/>
          <w:sz w:val="32"/>
          <w:szCs w:val="32"/>
        </w:rPr>
        <w:t>3、工程文物保护方案（原件1份）；</w:t>
      </w:r>
    </w:p>
    <w:p w:rsidR="00D43273" w:rsidRDefault="00D43273" w:rsidP="00D43273">
      <w:pPr>
        <w:ind w:firstLineChars="200" w:firstLine="640"/>
        <w:jc w:val="left"/>
        <w:rPr>
          <w:rFonts w:ascii="仿宋_GB2312" w:eastAsia="仿宋_GB2312" w:hAnsi="仿宋_GB2312" w:cs="仿宋_GB2312"/>
          <w:sz w:val="32"/>
          <w:szCs w:val="32"/>
        </w:rPr>
      </w:pPr>
      <w:r w:rsidRPr="00D43273">
        <w:rPr>
          <w:rFonts w:ascii="仿宋_GB2312" w:eastAsia="仿宋_GB2312" w:hAnsi="仿宋_GB2312" w:cs="仿宋_GB2312"/>
          <w:sz w:val="32"/>
          <w:szCs w:val="32"/>
        </w:rPr>
        <w:t>4、考古调查勘探报告和文物影响评估报告（原件1</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D43273" w:rsidRPr="00901B71" w:rsidRDefault="00D43273" w:rsidP="00D43273">
      <w:pPr>
        <w:ind w:firstLineChars="200" w:firstLine="640"/>
        <w:jc w:val="left"/>
        <w:rPr>
          <w:rFonts w:ascii="黑体" w:eastAsia="黑体" w:hAnsi="黑体" w:cs="Times New Roman"/>
          <w:sz w:val="32"/>
          <w:szCs w:val="32"/>
        </w:rPr>
      </w:pPr>
      <w:r w:rsidRPr="00901B71">
        <w:rPr>
          <w:rFonts w:ascii="黑体" w:eastAsia="黑体" w:hAnsi="黑体" w:cs="黑体" w:hint="eastAsia"/>
          <w:color w:val="000000"/>
          <w:sz w:val="32"/>
          <w:szCs w:val="32"/>
        </w:rPr>
        <w:t>六、办理程序：</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（一）申请</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申请人应当由本人或者其委托的代理人采取以下方式提交申请：</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1</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山东省投资项目在线审批监管平台”填报信息，并到滕州市政务服务中心工程建设项目审批综合服务窗口提交申报材料；</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2</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山东省投资项目在线审批监督平台”填报信息，邮寄申请材料至滕州市政务服务中心工程建设项目审批综合服务窗口；</w:t>
      </w:r>
    </w:p>
    <w:p w:rsidR="008F796E" w:rsidRDefault="00D43273" w:rsidP="00D43273">
      <w:pPr>
        <w:ind w:firstLineChars="200" w:firstLine="640"/>
        <w:jc w:val="left"/>
        <w:rPr>
          <w:rFonts w:ascii="仿宋" w:eastAsia="仿宋" w:hAnsi="仿宋" w:cs="黑体"/>
          <w:sz w:val="32"/>
          <w:szCs w:val="32"/>
        </w:rPr>
      </w:pPr>
      <w:r w:rsidRPr="00901B71">
        <w:rPr>
          <w:rFonts w:ascii="仿宋" w:eastAsia="仿宋" w:hAnsi="仿宋" w:cs="黑体"/>
          <w:sz w:val="32"/>
          <w:szCs w:val="32"/>
        </w:rPr>
        <w:t>3</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山东省投资项目在线审批监督平台”填报信息，材料扫描，</w:t>
      </w:r>
      <w:hyperlink r:id="rId4" w:history="1">
        <w:r w:rsidR="008F796E" w:rsidRPr="008860A0">
          <w:rPr>
            <w:rStyle w:val="a5"/>
            <w:rFonts w:ascii="仿宋" w:eastAsia="仿宋" w:hAnsi="仿宋" w:cs="黑体" w:hint="eastAsia"/>
            <w:sz w:val="32"/>
            <w:szCs w:val="32"/>
          </w:rPr>
          <w:t>发送电子邮件至</w:t>
        </w:r>
        <w:r w:rsidR="008F796E" w:rsidRPr="008860A0">
          <w:rPr>
            <w:rStyle w:val="a5"/>
            <w:rFonts w:ascii="仿宋" w:eastAsia="仿宋" w:hAnsi="仿宋" w:cs="黑体"/>
            <w:sz w:val="32"/>
            <w:szCs w:val="32"/>
          </w:rPr>
          <w:t>tzspgcjs@163.com</w:t>
        </w:r>
      </w:hyperlink>
      <w:r w:rsidR="008F796E">
        <w:rPr>
          <w:rFonts w:ascii="仿宋" w:eastAsia="仿宋" w:hAnsi="仿宋" w:cs="黑体" w:hint="eastAsia"/>
          <w:sz w:val="32"/>
          <w:szCs w:val="32"/>
        </w:rPr>
        <w:t>。</w:t>
      </w:r>
      <w:bookmarkStart w:id="0" w:name="_GoBack"/>
      <w:bookmarkEnd w:id="0"/>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通过传真、电子数据交换、电子邮件等方式提交申请的，应当提供申请人或者其代理人的联络方式及通讯地址。</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lastRenderedPageBreak/>
        <w:t>对正式受理的申请，申请人应当在领取证件时，提交与传真、电子数据交换、电子邮件内容一致并符合法定形式的申请材料。</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（二）受理</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经审核符合受理条件的，受理窗口当场出具受理通知书；经审核不符合受理条件的，受理窗口应当当场或五日内一次性书面告知需要补正的全部内容。</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（三）审查、审核</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审批机关对申请材料进行审查，审核。</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（四）决定</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滕州市行政审批服务局对申请作出决定，准予行政许可或不予行政许可。</w:t>
      </w:r>
    </w:p>
    <w:p w:rsidR="00D43273" w:rsidRPr="00901B71" w:rsidRDefault="00D43273" w:rsidP="00D43273">
      <w:pPr>
        <w:ind w:firstLineChars="200" w:firstLine="640"/>
        <w:jc w:val="left"/>
        <w:rPr>
          <w:rFonts w:ascii="仿宋" w:eastAsia="仿宋" w:hAnsi="仿宋" w:cs="Times New Roman"/>
          <w:sz w:val="32"/>
          <w:szCs w:val="32"/>
        </w:rPr>
      </w:pPr>
      <w:r w:rsidRPr="00901B71">
        <w:rPr>
          <w:rFonts w:ascii="黑体" w:eastAsia="黑体" w:hAnsi="黑体" w:cs="黑体" w:hint="eastAsia"/>
          <w:sz w:val="32"/>
          <w:szCs w:val="32"/>
        </w:rPr>
        <w:t>七、决定公开：</w:t>
      </w:r>
      <w:r w:rsidRPr="00901B71">
        <w:rPr>
          <w:rFonts w:ascii="仿宋" w:eastAsia="仿宋" w:hAnsi="仿宋" w:cs="黑体" w:hint="eastAsia"/>
          <w:sz w:val="32"/>
          <w:szCs w:val="32"/>
        </w:rPr>
        <w:t>审批决定（审批结果）在山东政务服务网上公开展示。</w:t>
      </w:r>
    </w:p>
    <w:p w:rsidR="00D43273" w:rsidRPr="00901B71" w:rsidRDefault="00D43273" w:rsidP="00D43273">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八、办理方式</w:t>
      </w:r>
      <w:r w:rsidRPr="00901B71">
        <w:rPr>
          <w:rFonts w:ascii="仿宋" w:eastAsia="仿宋" w:hAnsi="仿宋" w:cs="黑体" w:hint="eastAsia"/>
          <w:color w:val="000000"/>
          <w:sz w:val="32"/>
          <w:szCs w:val="32"/>
        </w:rPr>
        <w:t>：滕州市政务服务中心</w:t>
      </w:r>
      <w:r w:rsidRPr="00901B71">
        <w:rPr>
          <w:rFonts w:ascii="仿宋" w:eastAsia="仿宋" w:hAnsi="仿宋" w:cs="黑体" w:hint="eastAsia"/>
          <w:sz w:val="32"/>
          <w:szCs w:val="32"/>
        </w:rPr>
        <w:t>三楼</w:t>
      </w:r>
      <w:r w:rsidRPr="00901B71">
        <w:rPr>
          <w:rFonts w:ascii="仿宋" w:eastAsia="仿宋" w:hAnsi="仿宋" w:cs="黑体"/>
          <w:sz w:val="32"/>
          <w:szCs w:val="32"/>
        </w:rPr>
        <w:t>H301-H304</w:t>
      </w:r>
      <w:r w:rsidRPr="00901B71">
        <w:rPr>
          <w:rFonts w:ascii="仿宋" w:eastAsia="仿宋" w:hAnsi="仿宋" w:cs="黑体" w:hint="eastAsia"/>
          <w:sz w:val="32"/>
          <w:szCs w:val="32"/>
        </w:rPr>
        <w:t>工程建设综合窗口</w:t>
      </w:r>
    </w:p>
    <w:p w:rsidR="00D43273" w:rsidRPr="00901B71" w:rsidRDefault="00D43273" w:rsidP="00D43273">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九、法定期限</w:t>
      </w:r>
      <w:r w:rsidRPr="00901B71">
        <w:rPr>
          <w:rFonts w:ascii="仿宋" w:eastAsia="仿宋" w:hAnsi="仿宋" w:cs="黑体" w:hint="eastAsia"/>
          <w:color w:val="000000"/>
          <w:sz w:val="32"/>
          <w:szCs w:val="32"/>
        </w:rPr>
        <w:t>：20个工作日</w:t>
      </w:r>
    </w:p>
    <w:p w:rsidR="00D43273" w:rsidRPr="00901B71" w:rsidRDefault="00D43273" w:rsidP="00D43273">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十、承诺期限</w:t>
      </w:r>
      <w:r w:rsidRPr="00901B71">
        <w:rPr>
          <w:rFonts w:ascii="仿宋" w:eastAsia="仿宋" w:hAnsi="仿宋" w:cs="黑体" w:hint="eastAsia"/>
          <w:color w:val="000000"/>
          <w:sz w:val="32"/>
          <w:szCs w:val="32"/>
        </w:rPr>
        <w:t>：即办件</w:t>
      </w:r>
    </w:p>
    <w:p w:rsidR="00D43273" w:rsidRPr="00901B71" w:rsidRDefault="00D43273" w:rsidP="00D43273">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十一、收费依据及标准</w:t>
      </w:r>
      <w:r w:rsidRPr="00901B71">
        <w:rPr>
          <w:rFonts w:ascii="仿宋" w:eastAsia="仿宋" w:hAnsi="仿宋" w:cs="黑体" w:hint="eastAsia"/>
          <w:color w:val="000000"/>
          <w:sz w:val="32"/>
          <w:szCs w:val="32"/>
        </w:rPr>
        <w:t>：不收费</w:t>
      </w:r>
    </w:p>
    <w:p w:rsidR="00D43273" w:rsidRPr="00901B71" w:rsidRDefault="00D43273" w:rsidP="00D43273">
      <w:pPr>
        <w:pStyle w:val="2"/>
        <w:spacing w:after="0" w:line="320" w:lineRule="exact"/>
        <w:ind w:leftChars="0" w:left="0" w:firstLineChars="200" w:firstLine="640"/>
        <w:jc w:val="left"/>
        <w:rPr>
          <w:rFonts w:ascii="黑体" w:eastAsia="黑体" w:hAnsi="黑体"/>
          <w:color w:val="000000"/>
          <w:sz w:val="32"/>
          <w:szCs w:val="32"/>
        </w:rPr>
      </w:pPr>
      <w:r w:rsidRPr="00901B71">
        <w:rPr>
          <w:rFonts w:ascii="黑体" w:eastAsia="黑体" w:hAnsi="黑体" w:cs="黑体" w:hint="eastAsia"/>
          <w:color w:val="000000"/>
          <w:sz w:val="32"/>
          <w:szCs w:val="32"/>
        </w:rPr>
        <w:t>十二、咨询服务电话：</w:t>
      </w:r>
    </w:p>
    <w:p w:rsidR="00D43273" w:rsidRPr="00901B71" w:rsidRDefault="00D43273" w:rsidP="00D43273">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办理窗口：</w:t>
      </w:r>
      <w:r w:rsidRPr="00901B71">
        <w:rPr>
          <w:rFonts w:ascii="仿宋" w:eastAsia="仿宋" w:hAnsi="仿宋" w:cs="黑体"/>
          <w:sz w:val="32"/>
          <w:szCs w:val="32"/>
        </w:rPr>
        <w:t>0632-5081729</w:t>
      </w:r>
    </w:p>
    <w:p w:rsidR="00D43273" w:rsidRPr="00901B71" w:rsidRDefault="00D43273" w:rsidP="00D43273">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监督投诉</w:t>
      </w:r>
      <w:r w:rsidRPr="00901B71">
        <w:rPr>
          <w:rFonts w:ascii="仿宋" w:eastAsia="仿宋" w:hAnsi="仿宋" w:cs="黑体" w:hint="eastAsia"/>
          <w:color w:val="000000"/>
          <w:sz w:val="32"/>
          <w:szCs w:val="32"/>
        </w:rPr>
        <w:t>：</w:t>
      </w:r>
      <w:r w:rsidRPr="00901B71">
        <w:rPr>
          <w:rFonts w:ascii="仿宋" w:eastAsia="仿宋" w:hAnsi="仿宋" w:cs="黑体"/>
          <w:sz w:val="32"/>
          <w:szCs w:val="32"/>
        </w:rPr>
        <w:t>0632-5081890</w:t>
      </w:r>
    </w:p>
    <w:p w:rsidR="00D43273" w:rsidRPr="00901B71" w:rsidRDefault="00D43273" w:rsidP="00D43273">
      <w:pPr>
        <w:ind w:firstLineChars="100" w:firstLine="320"/>
        <w:rPr>
          <w:rFonts w:ascii="仿宋" w:eastAsia="仿宋" w:hAnsi="仿宋" w:cs="Times New Roman"/>
          <w:sz w:val="32"/>
          <w:szCs w:val="32"/>
        </w:rPr>
      </w:pPr>
    </w:p>
    <w:p w:rsidR="00D43273" w:rsidRPr="00901B71" w:rsidRDefault="00D43273" w:rsidP="00D43273">
      <w:pPr>
        <w:rPr>
          <w:rFonts w:ascii="仿宋" w:eastAsia="仿宋" w:hAnsi="仿宋" w:cs="Times New Roman"/>
          <w:sz w:val="32"/>
          <w:szCs w:val="32"/>
        </w:rPr>
      </w:pPr>
    </w:p>
    <w:p w:rsidR="00D43273" w:rsidRPr="00901B71" w:rsidRDefault="00D43273" w:rsidP="00D43273">
      <w:pPr>
        <w:spacing w:line="560" w:lineRule="exact"/>
        <w:rPr>
          <w:rFonts w:ascii="仿宋" w:eastAsia="仿宋" w:hAnsi="仿宋" w:cs="Helvetica"/>
          <w:color w:val="444444"/>
          <w:sz w:val="32"/>
          <w:szCs w:val="32"/>
          <w:shd w:val="clear" w:color="auto" w:fill="FFFFFF"/>
        </w:rPr>
      </w:pPr>
    </w:p>
    <w:p w:rsidR="00D43273" w:rsidRPr="00CA157C" w:rsidRDefault="00D43273" w:rsidP="00CA157C">
      <w:pPr>
        <w:ind w:firstLineChars="200" w:firstLine="883"/>
        <w:jc w:val="center"/>
        <w:rPr>
          <w:rFonts w:ascii="黑体" w:eastAsia="黑体" w:hAnsi="黑体"/>
          <w:b/>
          <w:sz w:val="44"/>
          <w:szCs w:val="44"/>
        </w:rPr>
      </w:pPr>
    </w:p>
    <w:sectPr w:rsidR="00D43273" w:rsidRPr="00CA1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A1"/>
    <w:rsid w:val="003023EF"/>
    <w:rsid w:val="003F0496"/>
    <w:rsid w:val="005F06C1"/>
    <w:rsid w:val="0063703D"/>
    <w:rsid w:val="00813D55"/>
    <w:rsid w:val="00896B75"/>
    <w:rsid w:val="008F796E"/>
    <w:rsid w:val="00A327A1"/>
    <w:rsid w:val="00BA480D"/>
    <w:rsid w:val="00BF2049"/>
    <w:rsid w:val="00CA157C"/>
    <w:rsid w:val="00D43273"/>
    <w:rsid w:val="00E6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A3DE"/>
  <w15:chartTrackingRefBased/>
  <w15:docId w15:val="{217182BA-0E18-4CA0-B314-A99925D9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57C"/>
    <w:pPr>
      <w:widowControl w:val="0"/>
      <w:jc w:val="both"/>
    </w:pPr>
  </w:style>
  <w:style w:type="paragraph" w:styleId="3">
    <w:name w:val="heading 3"/>
    <w:basedOn w:val="a"/>
    <w:next w:val="a"/>
    <w:link w:val="30"/>
    <w:unhideWhenUsed/>
    <w:qFormat/>
    <w:rsid w:val="00D43273"/>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D43273"/>
    <w:rPr>
      <w:rFonts w:ascii="宋体" w:eastAsia="宋体" w:hAnsi="宋体" w:cs="Times New Roman"/>
      <w:b/>
      <w:bCs/>
      <w:kern w:val="0"/>
      <w:sz w:val="27"/>
      <w:szCs w:val="27"/>
    </w:rPr>
  </w:style>
  <w:style w:type="paragraph" w:styleId="a3">
    <w:name w:val="Body Text"/>
    <w:basedOn w:val="a"/>
    <w:link w:val="a4"/>
    <w:uiPriority w:val="99"/>
    <w:unhideWhenUsed/>
    <w:qFormat/>
    <w:rsid w:val="00D43273"/>
    <w:pPr>
      <w:spacing w:after="120"/>
    </w:pPr>
    <w:rPr>
      <w:szCs w:val="24"/>
    </w:rPr>
  </w:style>
  <w:style w:type="character" w:customStyle="1" w:styleId="a4">
    <w:name w:val="正文文本 字符"/>
    <w:basedOn w:val="a0"/>
    <w:link w:val="a3"/>
    <w:uiPriority w:val="99"/>
    <w:rsid w:val="00D43273"/>
    <w:rPr>
      <w:szCs w:val="24"/>
    </w:rPr>
  </w:style>
  <w:style w:type="paragraph" w:styleId="2">
    <w:name w:val="Body Text Indent 2"/>
    <w:basedOn w:val="a"/>
    <w:link w:val="20"/>
    <w:rsid w:val="00D43273"/>
    <w:pPr>
      <w:spacing w:after="120" w:line="480" w:lineRule="auto"/>
      <w:ind w:leftChars="200" w:left="420"/>
    </w:pPr>
    <w:rPr>
      <w:szCs w:val="24"/>
    </w:rPr>
  </w:style>
  <w:style w:type="character" w:customStyle="1" w:styleId="20">
    <w:name w:val="正文文本缩进 2 字符"/>
    <w:basedOn w:val="a0"/>
    <w:link w:val="2"/>
    <w:rsid w:val="00D43273"/>
    <w:rPr>
      <w:szCs w:val="24"/>
    </w:rPr>
  </w:style>
  <w:style w:type="character" w:styleId="a5">
    <w:name w:val="Hyperlink"/>
    <w:basedOn w:val="a0"/>
    <w:uiPriority w:val="99"/>
    <w:unhideWhenUsed/>
    <w:rsid w:val="008F79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457;&#36865;&#30005;&#23376;&#37038;&#20214;&#33267;tzspgcj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2022-03-15T01:06:00Z</dcterms:created>
  <dcterms:modified xsi:type="dcterms:W3CDTF">2022-08-10T05:39:00Z</dcterms:modified>
</cp:coreProperties>
</file>