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F4" w:rsidRPr="00A11EF4" w:rsidRDefault="00A11EF4" w:rsidP="00A11EF4">
      <w:pPr>
        <w:pStyle w:val="a0"/>
        <w:spacing w:line="500" w:lineRule="exact"/>
        <w:jc w:val="center"/>
        <w:rPr>
          <w:rFonts w:ascii="黑体" w:eastAsia="黑体" w:hAnsi="黑体" w:cs="方正小标宋简体"/>
          <w:sz w:val="44"/>
          <w:szCs w:val="44"/>
        </w:rPr>
      </w:pPr>
      <w:r w:rsidRPr="00A11EF4">
        <w:rPr>
          <w:rFonts w:ascii="黑体" w:eastAsia="黑体" w:hAnsi="黑体" w:cs="方正小标宋简体" w:hint="eastAsia"/>
          <w:sz w:val="44"/>
          <w:szCs w:val="44"/>
        </w:rPr>
        <w:t>人防工程拆除报废审批服务指南</w:t>
      </w:r>
    </w:p>
    <w:p w:rsidR="00A11EF4" w:rsidRDefault="00A11EF4" w:rsidP="00A11EF4">
      <w:pPr>
        <w:pStyle w:val="a0"/>
        <w:spacing w:line="560" w:lineRule="exact"/>
        <w:jc w:val="left"/>
        <w:rPr>
          <w:rFonts w:ascii="黑体" w:eastAsia="黑体" w:hAnsi="黑体" w:cs="黑体"/>
          <w:sz w:val="32"/>
          <w:szCs w:val="32"/>
        </w:rPr>
      </w:pPr>
    </w:p>
    <w:p w:rsidR="00A11EF4" w:rsidRDefault="00A11EF4" w:rsidP="00A11EF4">
      <w:pPr>
        <w:pStyle w:val="3"/>
        <w:widowControl/>
        <w:shd w:val="clear" w:color="auto" w:fill="FFFFFF"/>
        <w:spacing w:beforeAutospacing="0" w:afterAutospacing="0" w:line="21" w:lineRule="atLeast"/>
        <w:ind w:firstLineChars="200" w:firstLine="643"/>
        <w:jc w:val="both"/>
        <w:rPr>
          <w:rFonts w:ascii="仿宋_GB2312" w:eastAsia="仿宋_GB2312" w:hAnsiTheme="minorHAnsi" w:cstheme="minorBidi" w:hint="default"/>
          <w:b w:val="0"/>
          <w:bCs w:val="0"/>
          <w:kern w:val="2"/>
          <w:sz w:val="32"/>
          <w:szCs w:val="32"/>
        </w:rPr>
      </w:pPr>
      <w:r>
        <w:rPr>
          <w:rFonts w:ascii="黑体" w:eastAsia="黑体" w:hAnsi="黑体" w:cs="黑体"/>
          <w:sz w:val="32"/>
          <w:szCs w:val="32"/>
        </w:rPr>
        <w:t>一.事项名称:</w:t>
      </w:r>
      <w:r w:rsidRPr="00170C89">
        <w:t xml:space="preserve"> </w:t>
      </w:r>
      <w:r w:rsidRPr="00A11EF4">
        <w:rPr>
          <w:rFonts w:ascii="仿宋_GB2312" w:eastAsia="仿宋_GB2312" w:hAnsiTheme="minorHAnsi" w:cstheme="minorBidi"/>
          <w:b w:val="0"/>
          <w:bCs w:val="0"/>
          <w:kern w:val="2"/>
          <w:sz w:val="32"/>
          <w:szCs w:val="32"/>
        </w:rPr>
        <w:t>人防工程拆除报废审批</w:t>
      </w:r>
    </w:p>
    <w:p w:rsidR="00A11EF4" w:rsidRDefault="00A11EF4" w:rsidP="00A11EF4">
      <w:pPr>
        <w:pStyle w:val="3"/>
        <w:widowControl/>
        <w:shd w:val="clear" w:color="auto" w:fill="FFFFFF"/>
        <w:spacing w:beforeAutospacing="0" w:afterAutospacing="0" w:line="21" w:lineRule="atLeast"/>
        <w:ind w:firstLineChars="200" w:firstLine="643"/>
        <w:jc w:val="both"/>
        <w:rPr>
          <w:rFonts w:ascii="仿宋" w:eastAsia="仿宋" w:hAnsi="仿宋" w:cs="黑体" w:hint="default"/>
          <w:sz w:val="32"/>
          <w:szCs w:val="32"/>
        </w:rPr>
      </w:pPr>
      <w:r>
        <w:rPr>
          <w:rFonts w:ascii="黑体" w:eastAsia="黑体" w:hAnsi="黑体" w:cs="黑体"/>
          <w:sz w:val="32"/>
          <w:szCs w:val="32"/>
        </w:rPr>
        <w:t>二.</w:t>
      </w:r>
      <w:r w:rsidRPr="00AD36C4">
        <w:t xml:space="preserve"> </w:t>
      </w:r>
      <w:r w:rsidRPr="00AD36C4">
        <w:rPr>
          <w:rFonts w:ascii="黑体" w:eastAsia="黑体" w:hAnsi="黑体" w:cs="黑体"/>
          <w:sz w:val="32"/>
          <w:szCs w:val="32"/>
        </w:rPr>
        <w:t>法律依据</w:t>
      </w:r>
      <w:r>
        <w:rPr>
          <w:rFonts w:ascii="黑体" w:eastAsia="黑体" w:hAnsi="黑体" w:cs="黑体"/>
          <w:sz w:val="32"/>
          <w:szCs w:val="32"/>
        </w:rPr>
        <w:t>：</w:t>
      </w:r>
      <w:r w:rsidRPr="00736C16">
        <w:rPr>
          <w:rFonts w:ascii="仿宋_GB2312" w:eastAsia="仿宋_GB2312" w:hAnsi="仿宋" w:cs="黑体"/>
          <w:b w:val="0"/>
          <w:sz w:val="32"/>
          <w:szCs w:val="32"/>
        </w:rPr>
        <w:t>《中华人民共和国人民防空法》、《山东省实施〈人民防空法〉办法》</w:t>
      </w:r>
    </w:p>
    <w:p w:rsidR="00A11EF4" w:rsidRPr="00AD36C4" w:rsidRDefault="00A11EF4" w:rsidP="00A11EF4">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申请主体</w:t>
      </w:r>
      <w:r>
        <w:rPr>
          <w:rFonts w:ascii="黑体" w:eastAsia="黑体" w:hAnsi="黑体" w:cs="黑体"/>
          <w:sz w:val="32"/>
          <w:szCs w:val="32"/>
        </w:rPr>
        <w:t>:</w:t>
      </w:r>
      <w:r w:rsidRPr="00AD36C4">
        <w:rPr>
          <w:rFonts w:ascii="仿宋_GB2312" w:eastAsia="仿宋_GB2312" w:hint="eastAsia"/>
          <w:sz w:val="32"/>
          <w:szCs w:val="32"/>
        </w:rPr>
        <w:t>企业法人、事业法人、社会组织法人、非法人企业、行政机关、其他组织、自然人</w:t>
      </w:r>
      <w:r>
        <w:rPr>
          <w:rFonts w:ascii="仿宋_GB2312" w:eastAsia="仿宋_GB2312" w:hint="eastAsia"/>
          <w:sz w:val="32"/>
          <w:szCs w:val="32"/>
        </w:rPr>
        <w:t>。</w:t>
      </w:r>
    </w:p>
    <w:p w:rsidR="00A11EF4" w:rsidRDefault="00A11EF4" w:rsidP="00A11EF4">
      <w:pPr>
        <w:pStyle w:val="2"/>
        <w:spacing w:line="640" w:lineRule="exact"/>
        <w:ind w:firstLineChars="200" w:firstLine="640"/>
        <w:jc w:val="left"/>
        <w:rPr>
          <w:rFonts w:ascii="仿宋" w:eastAsia="仿宋" w:hAnsi="仿宋" w:cs="黑体"/>
          <w:color w:val="000000"/>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申请条件</w:t>
      </w:r>
      <w:r>
        <w:rPr>
          <w:rFonts w:ascii="黑体" w:eastAsia="黑体" w:hAnsi="黑体" w:cs="黑体"/>
          <w:sz w:val="32"/>
          <w:szCs w:val="32"/>
        </w:rPr>
        <w:t>:</w:t>
      </w:r>
      <w:r w:rsidRPr="00AD36C4">
        <w:rPr>
          <w:rFonts w:ascii="仿宋" w:eastAsia="仿宋" w:hAnsi="仿宋" w:cs="黑体" w:hint="eastAsia"/>
          <w:color w:val="000000"/>
          <w:sz w:val="32"/>
          <w:szCs w:val="32"/>
        </w:rPr>
        <w:t xml:space="preserve"> </w:t>
      </w:r>
    </w:p>
    <w:p w:rsidR="00A11EF4" w:rsidRPr="00A11EF4" w:rsidRDefault="00A11EF4" w:rsidP="00A11EF4">
      <w:pPr>
        <w:pStyle w:val="2"/>
        <w:spacing w:line="640" w:lineRule="exact"/>
        <w:ind w:firstLineChars="200" w:firstLine="640"/>
        <w:jc w:val="left"/>
        <w:rPr>
          <w:rFonts w:ascii="仿宋" w:eastAsia="仿宋" w:hAnsi="仿宋" w:cs="黑体"/>
          <w:color w:val="000000"/>
          <w:sz w:val="32"/>
          <w:szCs w:val="32"/>
        </w:rPr>
      </w:pPr>
      <w:r w:rsidRPr="00A11EF4">
        <w:rPr>
          <w:rFonts w:ascii="仿宋" w:eastAsia="仿宋" w:hAnsi="仿宋" w:cs="黑体"/>
          <w:color w:val="000000"/>
          <w:sz w:val="32"/>
          <w:szCs w:val="32"/>
        </w:rPr>
        <w:t>1、工程质量低劣，直接威胁地面建筑和交通安全，且加固改造困难的;</w:t>
      </w:r>
    </w:p>
    <w:p w:rsidR="00A11EF4" w:rsidRPr="00A11EF4" w:rsidRDefault="00A11EF4" w:rsidP="00A11EF4">
      <w:pPr>
        <w:pStyle w:val="2"/>
        <w:spacing w:line="640" w:lineRule="exact"/>
        <w:ind w:firstLineChars="200" w:firstLine="640"/>
        <w:jc w:val="left"/>
        <w:rPr>
          <w:rFonts w:ascii="仿宋" w:eastAsia="仿宋" w:hAnsi="仿宋" w:cs="黑体"/>
          <w:color w:val="000000"/>
          <w:sz w:val="32"/>
          <w:szCs w:val="32"/>
        </w:rPr>
      </w:pPr>
      <w:r w:rsidRPr="00A11EF4">
        <w:rPr>
          <w:rFonts w:ascii="仿宋" w:eastAsia="仿宋" w:hAnsi="仿宋" w:cs="黑体"/>
          <w:color w:val="000000"/>
          <w:sz w:val="32"/>
          <w:szCs w:val="32"/>
        </w:rPr>
        <w:t>2、工程渗漏水严重、坍塌或者有坍塌危险，没有使用价值的;</w:t>
      </w:r>
    </w:p>
    <w:p w:rsidR="00A11EF4" w:rsidRPr="00A11EF4" w:rsidRDefault="00A11EF4" w:rsidP="00A11EF4">
      <w:pPr>
        <w:pStyle w:val="2"/>
        <w:spacing w:line="640" w:lineRule="exact"/>
        <w:ind w:firstLineChars="200" w:firstLine="640"/>
        <w:jc w:val="left"/>
        <w:rPr>
          <w:rFonts w:ascii="仿宋" w:eastAsia="仿宋" w:hAnsi="仿宋" w:cs="黑体"/>
          <w:color w:val="000000"/>
          <w:sz w:val="32"/>
          <w:szCs w:val="32"/>
        </w:rPr>
      </w:pPr>
      <w:r w:rsidRPr="00A11EF4">
        <w:rPr>
          <w:rFonts w:ascii="仿宋" w:eastAsia="仿宋" w:hAnsi="仿宋" w:cs="黑体"/>
          <w:color w:val="000000"/>
          <w:sz w:val="32"/>
          <w:szCs w:val="32"/>
        </w:rPr>
        <w:t>3、由于地质条件差，工程基础下沉、结构断裂、变形，已无法使用的;</w:t>
      </w:r>
    </w:p>
    <w:p w:rsidR="00A11EF4" w:rsidRPr="00A11EF4" w:rsidRDefault="00A11EF4" w:rsidP="00A11EF4">
      <w:pPr>
        <w:pStyle w:val="2"/>
        <w:spacing w:line="640" w:lineRule="exact"/>
        <w:ind w:firstLineChars="200" w:firstLine="640"/>
        <w:jc w:val="left"/>
        <w:rPr>
          <w:rFonts w:ascii="仿宋" w:eastAsia="仿宋" w:hAnsi="仿宋" w:cs="黑体"/>
          <w:color w:val="000000"/>
          <w:sz w:val="32"/>
          <w:szCs w:val="32"/>
        </w:rPr>
      </w:pPr>
      <w:r w:rsidRPr="00A11EF4">
        <w:rPr>
          <w:rFonts w:ascii="仿宋" w:eastAsia="仿宋" w:hAnsi="仿宋" w:cs="黑体"/>
          <w:color w:val="000000"/>
          <w:sz w:val="32"/>
          <w:szCs w:val="32"/>
        </w:rPr>
        <w:t>4、经确认已无战时使用价值，也无平时开发利用价值的工程;</w:t>
      </w:r>
    </w:p>
    <w:p w:rsidR="00A11EF4" w:rsidRDefault="00A11EF4" w:rsidP="00A11EF4">
      <w:pPr>
        <w:pStyle w:val="2"/>
        <w:spacing w:after="0" w:line="640" w:lineRule="exact"/>
        <w:ind w:leftChars="0" w:left="0" w:firstLineChars="200" w:firstLine="640"/>
        <w:jc w:val="left"/>
        <w:rPr>
          <w:rFonts w:ascii="仿宋" w:eastAsia="仿宋" w:hAnsi="仿宋" w:cs="黑体"/>
          <w:color w:val="000000"/>
          <w:sz w:val="32"/>
          <w:szCs w:val="32"/>
        </w:rPr>
      </w:pPr>
      <w:r w:rsidRPr="00A11EF4">
        <w:rPr>
          <w:rFonts w:ascii="仿宋" w:eastAsia="仿宋" w:hAnsi="仿宋" w:cs="黑体"/>
          <w:color w:val="000000"/>
          <w:sz w:val="32"/>
          <w:szCs w:val="32"/>
        </w:rPr>
        <w:t>5、与按照批准的城市规划进行的城建施工发生矛盾且难以进行技术处理的工程。</w:t>
      </w:r>
    </w:p>
    <w:p w:rsidR="00A11EF4" w:rsidRDefault="00A11EF4" w:rsidP="00A11EF4">
      <w:pPr>
        <w:pStyle w:val="2"/>
        <w:spacing w:after="0" w:line="640" w:lineRule="exact"/>
        <w:ind w:leftChars="0" w:left="0" w:firstLineChars="200" w:firstLine="640"/>
        <w:jc w:val="left"/>
        <w:rPr>
          <w:rFonts w:ascii="黑体" w:eastAsia="黑体" w:hAnsi="黑体" w:cs="黑体"/>
          <w:sz w:val="32"/>
          <w:szCs w:val="32"/>
        </w:rPr>
      </w:pPr>
      <w:r w:rsidRPr="00AD36C4">
        <w:rPr>
          <w:rFonts w:ascii="黑体" w:eastAsia="黑体" w:hAnsi="黑体" w:cs="黑体" w:hint="eastAsia"/>
          <w:sz w:val="32"/>
          <w:szCs w:val="32"/>
        </w:rPr>
        <w:t>五、申请材料名称、来源、数量及介质要求：</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1、人防工程拆除报废申请表（纸质，原件1份）；</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2、工程现状描述、工程位置示意图、平面图（纸质，</w:t>
      </w:r>
      <w:r w:rsidRPr="00A11EF4">
        <w:rPr>
          <w:rFonts w:ascii="仿宋_GB2312" w:eastAsia="仿宋_GB2312" w:hAnsi="仿宋_GB2312" w:cs="仿宋_GB2312"/>
          <w:sz w:val="32"/>
          <w:szCs w:val="32"/>
        </w:rPr>
        <w:lastRenderedPageBreak/>
        <w:t>原件1份）；</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3、补建（或补偿）协议书（纸质，原件1份）；</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4、申请报废的，需安全评价检测报告（纸质，原件1份）。</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 xml:space="preserve">5、发生冲突的建设工程项目：规划主管部门批准的规 </w:t>
      </w:r>
    </w:p>
    <w:p w:rsidR="00A11EF4" w:rsidRPr="00A11EF4" w:rsidRDefault="00A11EF4" w:rsidP="00A11EF4">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划设计方案（纸质</w:t>
      </w:r>
      <w:r w:rsidRPr="00A11EF4">
        <w:rPr>
          <w:rFonts w:ascii="仿宋_GB2312" w:eastAsia="仿宋_GB2312" w:hAnsi="仿宋_GB2312" w:cs="仿宋_GB2312" w:hint="eastAsia"/>
          <w:sz w:val="32"/>
          <w:szCs w:val="32"/>
        </w:rPr>
        <w:t>，原件</w:t>
      </w:r>
      <w:r w:rsidRPr="00A11EF4">
        <w:rPr>
          <w:rFonts w:ascii="仿宋_GB2312" w:eastAsia="仿宋_GB2312" w:hAnsi="仿宋_GB2312" w:cs="仿宋_GB2312"/>
          <w:sz w:val="32"/>
          <w:szCs w:val="32"/>
        </w:rPr>
        <w:t xml:space="preserve"> 1 份）；</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sz w:val="32"/>
          <w:szCs w:val="32"/>
        </w:rPr>
        <w:t>6、申请人主体资格证明材料（事业单位登记证书、</w:t>
      </w:r>
    </w:p>
    <w:p w:rsidR="00A11EF4" w:rsidRPr="00A11EF4" w:rsidRDefault="00A11EF4" w:rsidP="00A11EF4">
      <w:pPr>
        <w:ind w:firstLineChars="200" w:firstLine="640"/>
        <w:jc w:val="left"/>
        <w:rPr>
          <w:rFonts w:ascii="仿宋_GB2312" w:eastAsia="仿宋_GB2312" w:hAnsi="仿宋_GB2312" w:cs="仿宋_GB2312"/>
          <w:sz w:val="32"/>
          <w:szCs w:val="32"/>
        </w:rPr>
      </w:pPr>
      <w:r w:rsidRPr="00A11EF4">
        <w:rPr>
          <w:rFonts w:ascii="仿宋_GB2312" w:eastAsia="仿宋_GB2312" w:hAnsi="仿宋_GB2312" w:cs="仿宋_GB2312" w:hint="eastAsia"/>
          <w:sz w:val="32"/>
          <w:szCs w:val="32"/>
        </w:rPr>
        <w:t>营业执照）（纸质，复印件</w:t>
      </w:r>
      <w:r w:rsidRPr="00A11EF4">
        <w:rPr>
          <w:rFonts w:ascii="仿宋_GB2312" w:eastAsia="仿宋_GB2312" w:hAnsi="仿宋_GB2312" w:cs="仿宋_GB2312"/>
          <w:sz w:val="32"/>
          <w:szCs w:val="32"/>
        </w:rPr>
        <w:t xml:space="preserve"> 1 份）； </w:t>
      </w:r>
    </w:p>
    <w:p w:rsidR="00A11EF4" w:rsidRPr="00901B71" w:rsidRDefault="00A11EF4" w:rsidP="00A11EF4">
      <w:pPr>
        <w:ind w:firstLineChars="200" w:firstLine="640"/>
        <w:jc w:val="left"/>
        <w:rPr>
          <w:rFonts w:ascii="黑体" w:eastAsia="黑体" w:hAnsi="黑体" w:cs="Times New Roman"/>
          <w:sz w:val="32"/>
          <w:szCs w:val="32"/>
        </w:rPr>
      </w:pPr>
      <w:r w:rsidRPr="00901B71">
        <w:rPr>
          <w:rFonts w:ascii="黑体" w:eastAsia="黑体" w:hAnsi="黑体" w:cs="黑体" w:hint="eastAsia"/>
          <w:color w:val="000000"/>
          <w:sz w:val="32"/>
          <w:szCs w:val="32"/>
        </w:rPr>
        <w:t>六、办理程序：</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（一）申请</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申请人应当由本人或者其委托的代理人采取以下方式提交申请：</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1</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山东省投资项目在线审批监管平台”填报信息，并到滕州市政务服务中心工程建设项目审批综合服务窗口提交申报材料；</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2</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山东省投资项目在线审批监督平台”填报信息，邮寄申请材料至滕州市政务服务中心工程建设项目审批综合服务窗口；</w:t>
      </w:r>
    </w:p>
    <w:p w:rsidR="002C01F5" w:rsidRDefault="00A11EF4" w:rsidP="00A11EF4">
      <w:pPr>
        <w:ind w:firstLineChars="200" w:firstLine="640"/>
        <w:jc w:val="left"/>
        <w:rPr>
          <w:rFonts w:ascii="仿宋" w:eastAsia="仿宋" w:hAnsi="仿宋" w:cs="黑体"/>
          <w:sz w:val="32"/>
          <w:szCs w:val="32"/>
        </w:rPr>
      </w:pPr>
      <w:r w:rsidRPr="00901B71">
        <w:rPr>
          <w:rFonts w:ascii="仿宋" w:eastAsia="仿宋" w:hAnsi="仿宋" w:cs="黑体"/>
          <w:sz w:val="32"/>
          <w:szCs w:val="32"/>
        </w:rPr>
        <w:t>3</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山东省投资项目在线审批监督平台”填报信息，材料扫描，</w:t>
      </w:r>
      <w:hyperlink r:id="rId4" w:history="1">
        <w:r w:rsidR="002C01F5" w:rsidRPr="00522B81">
          <w:rPr>
            <w:rStyle w:val="a5"/>
            <w:rFonts w:ascii="仿宋" w:eastAsia="仿宋" w:hAnsi="仿宋" w:cs="黑体" w:hint="eastAsia"/>
            <w:sz w:val="32"/>
            <w:szCs w:val="32"/>
          </w:rPr>
          <w:t>发送电子邮件至</w:t>
        </w:r>
        <w:r w:rsidR="002C01F5" w:rsidRPr="00522B81">
          <w:rPr>
            <w:rStyle w:val="a5"/>
            <w:rFonts w:ascii="仿宋" w:eastAsia="仿宋" w:hAnsi="仿宋" w:cs="黑体"/>
            <w:sz w:val="32"/>
            <w:szCs w:val="32"/>
          </w:rPr>
          <w:t>tzspgcjs@163.com</w:t>
        </w:r>
      </w:hyperlink>
      <w:r w:rsidR="002C01F5">
        <w:rPr>
          <w:rFonts w:ascii="仿宋" w:eastAsia="仿宋" w:hAnsi="仿宋" w:cs="黑体" w:hint="eastAsia"/>
          <w:sz w:val="32"/>
          <w:szCs w:val="32"/>
        </w:rPr>
        <w:t>。</w:t>
      </w:r>
      <w:bookmarkStart w:id="0" w:name="_GoBack"/>
      <w:bookmarkEnd w:id="0"/>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通过传真、电子数据交换、电子邮件等方式提交申请</w:t>
      </w:r>
      <w:r w:rsidRPr="00901B71">
        <w:rPr>
          <w:rFonts w:ascii="仿宋" w:eastAsia="仿宋" w:hAnsi="仿宋" w:cs="黑体" w:hint="eastAsia"/>
          <w:sz w:val="32"/>
          <w:szCs w:val="32"/>
        </w:rPr>
        <w:lastRenderedPageBreak/>
        <w:t>的，应当提供申请人或者其代理人的联络方式及通讯地址。</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对正式受理的申请，申请人应当在领取证件时，提交与传真、电子数据交换、电子邮件内容一致并符合法定形式的申请材料。</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（二）受理</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（三）审查、审核</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审批机关对申请材料进行审查，审核。</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（四）决定</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滕州市行政审批服务局对申请作出决定，准予行政许可或不予行政许可。</w:t>
      </w:r>
    </w:p>
    <w:p w:rsidR="00A11EF4" w:rsidRPr="00901B71" w:rsidRDefault="00A11EF4" w:rsidP="00A11EF4">
      <w:pPr>
        <w:ind w:firstLineChars="200" w:firstLine="640"/>
        <w:jc w:val="left"/>
        <w:rPr>
          <w:rFonts w:ascii="仿宋" w:eastAsia="仿宋" w:hAnsi="仿宋" w:cs="Times New Roman"/>
          <w:sz w:val="32"/>
          <w:szCs w:val="32"/>
        </w:rPr>
      </w:pPr>
      <w:r w:rsidRPr="00901B71">
        <w:rPr>
          <w:rFonts w:ascii="黑体" w:eastAsia="黑体" w:hAnsi="黑体" w:cs="黑体" w:hint="eastAsia"/>
          <w:sz w:val="32"/>
          <w:szCs w:val="32"/>
        </w:rPr>
        <w:t>七、决定公开：</w:t>
      </w:r>
      <w:r w:rsidRPr="00901B71">
        <w:rPr>
          <w:rFonts w:ascii="仿宋" w:eastAsia="仿宋" w:hAnsi="仿宋" w:cs="黑体" w:hint="eastAsia"/>
          <w:sz w:val="32"/>
          <w:szCs w:val="32"/>
        </w:rPr>
        <w:t>审批决定（审批结果）在山东政务服务网上公开展示。</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八、办理方式</w:t>
      </w:r>
      <w:r w:rsidRPr="00901B71">
        <w:rPr>
          <w:rFonts w:ascii="仿宋" w:eastAsia="仿宋" w:hAnsi="仿宋" w:cs="黑体" w:hint="eastAsia"/>
          <w:color w:val="000000"/>
          <w:sz w:val="32"/>
          <w:szCs w:val="32"/>
        </w:rPr>
        <w:t>：滕州市政务服务中心</w:t>
      </w:r>
      <w:r w:rsidRPr="00901B71">
        <w:rPr>
          <w:rFonts w:ascii="仿宋" w:eastAsia="仿宋" w:hAnsi="仿宋" w:cs="黑体" w:hint="eastAsia"/>
          <w:sz w:val="32"/>
          <w:szCs w:val="32"/>
        </w:rPr>
        <w:t>三楼</w:t>
      </w:r>
      <w:r w:rsidRPr="00901B71">
        <w:rPr>
          <w:rFonts w:ascii="仿宋" w:eastAsia="仿宋" w:hAnsi="仿宋" w:cs="黑体"/>
          <w:sz w:val="32"/>
          <w:szCs w:val="32"/>
        </w:rPr>
        <w:t>H301-H304</w:t>
      </w:r>
      <w:r w:rsidRPr="00901B71">
        <w:rPr>
          <w:rFonts w:ascii="仿宋" w:eastAsia="仿宋" w:hAnsi="仿宋" w:cs="黑体" w:hint="eastAsia"/>
          <w:sz w:val="32"/>
          <w:szCs w:val="32"/>
        </w:rPr>
        <w:t>工程建设综合窗口</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九、法定期限</w:t>
      </w:r>
      <w:r w:rsidRPr="00901B71">
        <w:rPr>
          <w:rFonts w:ascii="仿宋" w:eastAsia="仿宋" w:hAnsi="仿宋" w:cs="黑体" w:hint="eastAsia"/>
          <w:color w:val="000000"/>
          <w:sz w:val="32"/>
          <w:szCs w:val="32"/>
        </w:rPr>
        <w:t>：20个工作日</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十、承诺期限</w:t>
      </w:r>
      <w:r w:rsidRPr="00901B71">
        <w:rPr>
          <w:rFonts w:ascii="仿宋" w:eastAsia="仿宋" w:hAnsi="仿宋" w:cs="黑体" w:hint="eastAsia"/>
          <w:color w:val="000000"/>
          <w:sz w:val="32"/>
          <w:szCs w:val="32"/>
        </w:rPr>
        <w:t>：即办件</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十一、收费依据及标准</w:t>
      </w:r>
      <w:r w:rsidRPr="00901B71">
        <w:rPr>
          <w:rFonts w:ascii="仿宋" w:eastAsia="仿宋" w:hAnsi="仿宋" w:cs="黑体" w:hint="eastAsia"/>
          <w:color w:val="000000"/>
          <w:sz w:val="32"/>
          <w:szCs w:val="32"/>
        </w:rPr>
        <w:t>：不收费</w:t>
      </w:r>
    </w:p>
    <w:p w:rsidR="00A11EF4" w:rsidRPr="00901B71" w:rsidRDefault="00A11EF4" w:rsidP="00A11EF4">
      <w:pPr>
        <w:pStyle w:val="2"/>
        <w:spacing w:after="0" w:line="320" w:lineRule="exact"/>
        <w:ind w:leftChars="0" w:left="0" w:firstLineChars="200" w:firstLine="640"/>
        <w:jc w:val="left"/>
        <w:rPr>
          <w:rFonts w:ascii="黑体" w:eastAsia="黑体" w:hAnsi="黑体"/>
          <w:color w:val="000000"/>
          <w:sz w:val="32"/>
          <w:szCs w:val="32"/>
        </w:rPr>
      </w:pPr>
      <w:r w:rsidRPr="00901B71">
        <w:rPr>
          <w:rFonts w:ascii="黑体" w:eastAsia="黑体" w:hAnsi="黑体" w:cs="黑体" w:hint="eastAsia"/>
          <w:color w:val="000000"/>
          <w:sz w:val="32"/>
          <w:szCs w:val="32"/>
        </w:rPr>
        <w:t>十二、咨询服务电话：</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办理窗口：</w:t>
      </w:r>
      <w:r w:rsidRPr="00901B71">
        <w:rPr>
          <w:rFonts w:ascii="仿宋" w:eastAsia="仿宋" w:hAnsi="仿宋" w:cs="黑体"/>
          <w:sz w:val="32"/>
          <w:szCs w:val="32"/>
        </w:rPr>
        <w:t>0632-5081729</w:t>
      </w:r>
    </w:p>
    <w:p w:rsidR="00A11EF4" w:rsidRPr="00901B71" w:rsidRDefault="00A11EF4" w:rsidP="00A11EF4">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监督投诉</w:t>
      </w:r>
      <w:r w:rsidRPr="00901B71">
        <w:rPr>
          <w:rFonts w:ascii="仿宋" w:eastAsia="仿宋" w:hAnsi="仿宋" w:cs="黑体" w:hint="eastAsia"/>
          <w:color w:val="000000"/>
          <w:sz w:val="32"/>
          <w:szCs w:val="32"/>
        </w:rPr>
        <w:t>：</w:t>
      </w:r>
      <w:r w:rsidRPr="00901B71">
        <w:rPr>
          <w:rFonts w:ascii="仿宋" w:eastAsia="仿宋" w:hAnsi="仿宋" w:cs="黑体"/>
          <w:sz w:val="32"/>
          <w:szCs w:val="32"/>
        </w:rPr>
        <w:t>0632-5081890</w:t>
      </w:r>
    </w:p>
    <w:p w:rsidR="00A11EF4" w:rsidRPr="00901B71" w:rsidRDefault="00A11EF4" w:rsidP="00A11EF4">
      <w:pPr>
        <w:ind w:firstLineChars="100" w:firstLine="320"/>
        <w:rPr>
          <w:rFonts w:ascii="仿宋" w:eastAsia="仿宋" w:hAnsi="仿宋" w:cs="Times New Roman"/>
          <w:sz w:val="32"/>
          <w:szCs w:val="32"/>
        </w:rPr>
      </w:pPr>
    </w:p>
    <w:p w:rsidR="00A11EF4" w:rsidRPr="00901B71" w:rsidRDefault="00A11EF4" w:rsidP="00A11EF4">
      <w:pPr>
        <w:rPr>
          <w:rFonts w:ascii="仿宋" w:eastAsia="仿宋" w:hAnsi="仿宋" w:cs="Times New Roman"/>
          <w:sz w:val="32"/>
          <w:szCs w:val="32"/>
        </w:rPr>
      </w:pPr>
    </w:p>
    <w:p w:rsidR="00A11EF4" w:rsidRPr="00901B71" w:rsidRDefault="00A11EF4" w:rsidP="00A11EF4">
      <w:pPr>
        <w:spacing w:line="560" w:lineRule="exact"/>
        <w:rPr>
          <w:rFonts w:ascii="仿宋" w:eastAsia="仿宋" w:hAnsi="仿宋" w:cs="Helvetica"/>
          <w:color w:val="444444"/>
          <w:sz w:val="32"/>
          <w:szCs w:val="32"/>
          <w:shd w:val="clear" w:color="auto" w:fill="FFFFFF"/>
        </w:rPr>
      </w:pPr>
    </w:p>
    <w:p w:rsidR="00A11EF4" w:rsidRDefault="00A11EF4" w:rsidP="00A11EF4"/>
    <w:p w:rsidR="00D97B09" w:rsidRDefault="00D97B09"/>
    <w:sectPr w:rsidR="00D97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67"/>
    <w:rsid w:val="002C01F5"/>
    <w:rsid w:val="00736C16"/>
    <w:rsid w:val="007D6867"/>
    <w:rsid w:val="00A11EF4"/>
    <w:rsid w:val="00D9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8315"/>
  <w15:chartTrackingRefBased/>
  <w15:docId w15:val="{F5409299-8DFD-4C75-920E-F00FBED6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11EF4"/>
    <w:pPr>
      <w:widowControl w:val="0"/>
      <w:jc w:val="both"/>
    </w:pPr>
    <w:rPr>
      <w:szCs w:val="24"/>
    </w:rPr>
  </w:style>
  <w:style w:type="paragraph" w:styleId="3">
    <w:name w:val="heading 3"/>
    <w:basedOn w:val="a"/>
    <w:next w:val="a"/>
    <w:link w:val="30"/>
    <w:unhideWhenUsed/>
    <w:qFormat/>
    <w:rsid w:val="00A11EF4"/>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rsid w:val="00A11EF4"/>
    <w:rPr>
      <w:rFonts w:ascii="宋体" w:eastAsia="宋体" w:hAnsi="宋体" w:cs="Times New Roman"/>
      <w:b/>
      <w:bCs/>
      <w:kern w:val="0"/>
      <w:sz w:val="27"/>
      <w:szCs w:val="27"/>
    </w:rPr>
  </w:style>
  <w:style w:type="paragraph" w:styleId="a0">
    <w:name w:val="Body Text"/>
    <w:basedOn w:val="a"/>
    <w:link w:val="a4"/>
    <w:uiPriority w:val="99"/>
    <w:unhideWhenUsed/>
    <w:qFormat/>
    <w:rsid w:val="00A11EF4"/>
    <w:pPr>
      <w:spacing w:after="120"/>
    </w:pPr>
  </w:style>
  <w:style w:type="character" w:customStyle="1" w:styleId="a4">
    <w:name w:val="正文文本 字符"/>
    <w:basedOn w:val="a1"/>
    <w:link w:val="a0"/>
    <w:uiPriority w:val="99"/>
    <w:rsid w:val="00A11EF4"/>
    <w:rPr>
      <w:szCs w:val="24"/>
    </w:rPr>
  </w:style>
  <w:style w:type="paragraph" w:styleId="2">
    <w:name w:val="Body Text Indent 2"/>
    <w:basedOn w:val="a"/>
    <w:link w:val="20"/>
    <w:rsid w:val="00A11EF4"/>
    <w:pPr>
      <w:spacing w:after="120" w:line="480" w:lineRule="auto"/>
      <w:ind w:leftChars="200" w:left="420"/>
    </w:pPr>
  </w:style>
  <w:style w:type="character" w:customStyle="1" w:styleId="20">
    <w:name w:val="正文文本缩进 2 字符"/>
    <w:basedOn w:val="a1"/>
    <w:link w:val="2"/>
    <w:rsid w:val="00A11EF4"/>
    <w:rPr>
      <w:szCs w:val="24"/>
    </w:rPr>
  </w:style>
  <w:style w:type="character" w:styleId="a5">
    <w:name w:val="Hyperlink"/>
    <w:basedOn w:val="a1"/>
    <w:uiPriority w:val="99"/>
    <w:unhideWhenUsed/>
    <w:rsid w:val="002C0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457;&#36865;&#30005;&#23376;&#37038;&#20214;&#33267;tzspgcj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2022-08-10T02:20:00Z</dcterms:created>
  <dcterms:modified xsi:type="dcterms:W3CDTF">2022-08-10T05:38:00Z</dcterms:modified>
</cp:coreProperties>
</file>