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42" w:rsidRPr="00502046" w:rsidRDefault="00934611" w:rsidP="00EA3E42">
      <w:pPr>
        <w:pStyle w:val="a3"/>
        <w:spacing w:line="440" w:lineRule="exact"/>
        <w:rPr>
          <w:rFonts w:ascii="宋体" w:eastAsia="宋体" w:hAnsi="宋体"/>
          <w:b/>
          <w:bCs/>
          <w:szCs w:val="44"/>
        </w:rPr>
      </w:pPr>
      <w:r>
        <w:rPr>
          <w:rFonts w:ascii="宋体" w:eastAsia="宋体" w:hAnsi="宋体" w:hint="eastAsia"/>
          <w:b/>
          <w:bCs/>
          <w:szCs w:val="44"/>
        </w:rPr>
        <w:t>供水单位卫生许可</w:t>
      </w:r>
      <w:r w:rsidR="00EA3E42" w:rsidRPr="00D3253F">
        <w:rPr>
          <w:rFonts w:asciiTheme="majorEastAsia" w:eastAsiaTheme="majorEastAsia" w:hAnsiTheme="majorEastAsia" w:hint="eastAsia"/>
          <w:b/>
          <w:szCs w:val="44"/>
        </w:rPr>
        <w:t>服务指南</w:t>
      </w:r>
    </w:p>
    <w:p w:rsidR="00EA3E42" w:rsidRPr="006F5696" w:rsidRDefault="00EA3E42" w:rsidP="00EA3E42">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E00A2F" w:rsidRDefault="00E00A2F" w:rsidP="00EA3E42">
      <w:pPr>
        <w:pStyle w:val="a3"/>
        <w:spacing w:line="440" w:lineRule="exact"/>
        <w:rPr>
          <w:rFonts w:ascii="黑体" w:eastAsia="黑体"/>
          <w:bCs/>
          <w:sz w:val="30"/>
          <w:szCs w:val="30"/>
        </w:rPr>
      </w:pPr>
    </w:p>
    <w:p w:rsidR="00E00A2F" w:rsidRDefault="00934611">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供水单位卫生许可</w:t>
      </w:r>
    </w:p>
    <w:p w:rsidR="00E00A2F" w:rsidRDefault="00934611">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本行政区域从事生活饮用水生产或者供应的单位。</w:t>
      </w:r>
    </w:p>
    <w:p w:rsidR="00E00A2F" w:rsidRDefault="00934611">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供水单位从事生产或者供应活动必须符合《中华人民共和国传染病防治法》、《生活饮用水卫生监督管理办法》，《生活饮用水卫生标准》(GB 5749-2006)等法律、法规以及国家标准的规定，具体要求如下：</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1.供水单位机关报建、改建、扩建的饮用水供水工程项目，应当符合卫生要求；</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2.供水单位应建立饮用水卫生管理规章制度，配备专职或兼职人员，负责饮用水卫生管理工作；</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3.集中式供水单位必须有水质净化消毒设施及必要的水质检验仪器、设备和人员，对水质进行日常性检验；</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4.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5.饮用水水源地必须设置水源保护区。保护区内严禁修建任何可能危害水源水质卫生的设施及一切有碍水源水质卫生的行为；</w:t>
      </w:r>
    </w:p>
    <w:p w:rsidR="00E00A2F" w:rsidRDefault="00934611">
      <w:pPr>
        <w:spacing w:line="400" w:lineRule="exact"/>
        <w:rPr>
          <w:rFonts w:ascii="Arial" w:hAnsi="Arial" w:cs="Arial"/>
          <w:color w:val="333333"/>
          <w:szCs w:val="21"/>
        </w:rPr>
      </w:pPr>
      <w:r>
        <w:rPr>
          <w:rFonts w:asciiTheme="minorEastAsia" w:hAnsiTheme="minorEastAsia" w:cstheme="minorEastAsia" w:hint="eastAsia"/>
          <w:szCs w:val="21"/>
        </w:rPr>
        <w:t>6.二次供水设施选址、设计、施工及所用材料，应保证不使饮用水水质受到污染，并有利于清洗和消毒。各类蓄水设施要加强卫生防护，定期清洗和消毒。</w:t>
      </w:r>
    </w:p>
    <w:p w:rsidR="00E00A2F" w:rsidRDefault="00934611">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E00A2F" w:rsidRDefault="00934611">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A.首次申请、延续申请提交材料：</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1.卫生许可证申请书；</w:t>
      </w:r>
      <w:r>
        <w:rPr>
          <w:rFonts w:asciiTheme="minorEastAsia" w:hAnsiTheme="minorEastAsia" w:cstheme="minorEastAsia" w:hint="eastAsia"/>
          <w:szCs w:val="21"/>
        </w:rPr>
        <w:br/>
        <w:t>2.法定代表人或者负责人资格证明 ；</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3.直接从事供、管水人员健康查体证明（由卫生行政部门审查批准的医疗卫生机构出具）；</w:t>
      </w:r>
      <w:r>
        <w:rPr>
          <w:rFonts w:asciiTheme="minorEastAsia" w:hAnsiTheme="minorEastAsia" w:cstheme="minorEastAsia" w:hint="eastAsia"/>
          <w:szCs w:val="21"/>
        </w:rPr>
        <w:br/>
        <w:t>4.直接从事供、管水人员卫生知识培训合格证明（需加盖培训单位公章）；</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5.专、兼职的卫生管理人员及卫生管理制度；</w:t>
      </w:r>
      <w:r>
        <w:rPr>
          <w:rFonts w:asciiTheme="minorEastAsia" w:hAnsiTheme="minorEastAsia" w:cstheme="minorEastAsia" w:hint="eastAsia"/>
          <w:szCs w:val="21"/>
        </w:rPr>
        <w:br/>
        <w:t>6.生产场地布局、工艺流程图 ；</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7.近期水质检测报告（由具有资质认定的检验机构提供）：集中供水单位出具出厂水的水质合格检测报告，二次供水单位出具二次供水水质合格检测报告 ；</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8.延续申请的还应提交原卫生许可证正副本。</w:t>
      </w:r>
    </w:p>
    <w:p w:rsidR="00E00A2F" w:rsidRDefault="00934611">
      <w:pPr>
        <w:spacing w:line="400" w:lineRule="exact"/>
        <w:rPr>
          <w:rFonts w:ascii="宋体" w:hAnsi="宋体" w:cs="宋体"/>
          <w:b/>
          <w:bCs/>
          <w:kern w:val="0"/>
          <w:szCs w:val="21"/>
        </w:rPr>
      </w:pPr>
      <w:r>
        <w:rPr>
          <w:rFonts w:ascii="宋体" w:hAnsi="宋体" w:cs="宋体" w:hint="eastAsia"/>
          <w:b/>
          <w:bCs/>
          <w:kern w:val="0"/>
          <w:szCs w:val="21"/>
        </w:rPr>
        <w:t>B.变更、注销申请提交材料：</w:t>
      </w:r>
      <w:bookmarkStart w:id="0" w:name="_GoBack"/>
      <w:bookmarkEnd w:id="0"/>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lastRenderedPageBreak/>
        <w:t>1.卫生许可证变更、注销申请书；</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2.变更后的法定代表人身份证明；</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3.变更后的营业执照；</w:t>
      </w:r>
    </w:p>
    <w:p w:rsidR="00E00A2F" w:rsidRDefault="00934611">
      <w:pPr>
        <w:spacing w:line="400" w:lineRule="exact"/>
        <w:rPr>
          <w:rFonts w:asciiTheme="minorEastAsia" w:hAnsiTheme="minorEastAsia" w:cs="Times New Roman"/>
          <w:b/>
          <w:bCs/>
          <w:szCs w:val="21"/>
        </w:rPr>
      </w:pPr>
      <w:r>
        <w:rPr>
          <w:rFonts w:asciiTheme="minorEastAsia" w:hAnsiTheme="minorEastAsia" w:cstheme="minorEastAsia" w:hint="eastAsia"/>
          <w:szCs w:val="21"/>
        </w:rPr>
        <w:t>4.原卫生许可证正、副本原件</w:t>
      </w:r>
      <w:r>
        <w:rPr>
          <w:rFonts w:ascii="宋体" w:hAnsi="宋体" w:cs="宋体"/>
          <w:kern w:val="0"/>
          <w:szCs w:val="21"/>
        </w:rPr>
        <w:br/>
      </w: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1.《中华人民共和国传染病防治法》；</w:t>
      </w:r>
    </w:p>
    <w:p w:rsidR="00E00A2F" w:rsidRDefault="00934611">
      <w:pPr>
        <w:spacing w:line="400" w:lineRule="exact"/>
        <w:rPr>
          <w:rFonts w:asciiTheme="minorEastAsia" w:hAnsiTheme="minorEastAsia" w:cstheme="minorEastAsia"/>
          <w:szCs w:val="21"/>
        </w:rPr>
      </w:pPr>
      <w:r>
        <w:rPr>
          <w:rFonts w:asciiTheme="minorEastAsia" w:hAnsiTheme="minorEastAsia" w:cstheme="minorEastAsia" w:hint="eastAsia"/>
          <w:szCs w:val="21"/>
        </w:rPr>
        <w:t>2.《生活饮用水卫生监督管理办法》；</w:t>
      </w:r>
    </w:p>
    <w:p w:rsidR="00E00A2F" w:rsidRDefault="00934611">
      <w:pPr>
        <w:spacing w:line="40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受理→审核→批准→办结</w:t>
      </w:r>
    </w:p>
    <w:p w:rsidR="00E00A2F" w:rsidRDefault="00934611">
      <w:pPr>
        <w:spacing w:line="400" w:lineRule="exact"/>
        <w:rPr>
          <w:rFonts w:asciiTheme="minorEastAsia" w:hAnsiTheme="minorEastAsia" w:cstheme="minorEastAsia"/>
          <w:szCs w:val="21"/>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Theme="minorEastAsia" w:hAnsiTheme="minorEastAsia" w:cstheme="minorEastAsia" w:hint="eastAsia"/>
          <w:szCs w:val="21"/>
        </w:rPr>
        <w:t>20个工作日</w:t>
      </w:r>
    </w:p>
    <w:p w:rsidR="00E00A2F" w:rsidRDefault="00934611">
      <w:pPr>
        <w:spacing w:line="400" w:lineRule="exact"/>
        <w:rPr>
          <w:rFonts w:asciiTheme="minorEastAsia" w:hAnsiTheme="minorEastAsia" w:cs="Times New Roman"/>
          <w:szCs w:val="21"/>
        </w:rPr>
      </w:pPr>
      <w:r>
        <w:rPr>
          <w:rFonts w:asciiTheme="minorEastAsia" w:hAnsiTheme="minorEastAsia" w:cs="Times New Roman" w:hint="eastAsia"/>
          <w:b/>
          <w:bCs/>
          <w:szCs w:val="21"/>
        </w:rPr>
        <w:t>八.承诺许可期限:</w:t>
      </w:r>
      <w:r w:rsidR="00886C2D" w:rsidRPr="00886C2D">
        <w:rPr>
          <w:rFonts w:asciiTheme="minorEastAsia" w:hAnsiTheme="minorEastAsia" w:cs="Times New Roman" w:hint="eastAsia"/>
          <w:szCs w:val="21"/>
        </w:rPr>
        <w:t>1</w:t>
      </w:r>
      <w:r>
        <w:rPr>
          <w:rFonts w:asciiTheme="minorEastAsia" w:hAnsiTheme="minorEastAsia" w:cs="Times New Roman" w:hint="eastAsia"/>
          <w:szCs w:val="21"/>
        </w:rPr>
        <w:t>个工作日</w:t>
      </w:r>
    </w:p>
    <w:p w:rsidR="00E00A2F" w:rsidRDefault="00934611">
      <w:pPr>
        <w:spacing w:line="400" w:lineRule="exact"/>
      </w:pPr>
      <w:r>
        <w:rPr>
          <w:rFonts w:asciiTheme="minorEastAsia" w:hAnsiTheme="minorEastAsia" w:cs="Times New Roman" w:hint="eastAsia"/>
          <w:b/>
          <w:bCs/>
          <w:szCs w:val="21"/>
        </w:rPr>
        <w:t>九.决定书类型:</w:t>
      </w:r>
      <w:r>
        <w:rPr>
          <w:rFonts w:hint="eastAsia"/>
        </w:rPr>
        <w:t>《</w:t>
      </w:r>
      <w:r>
        <w:rPr>
          <w:rFonts w:asciiTheme="minorEastAsia" w:hAnsiTheme="minorEastAsia" w:hint="eastAsia"/>
          <w:bCs/>
          <w:szCs w:val="21"/>
        </w:rPr>
        <w:t>生活饮用水卫生许可证</w:t>
      </w:r>
      <w:r>
        <w:rPr>
          <w:rFonts w:hint="eastAsia"/>
        </w:rPr>
        <w:t>》，有效期</w:t>
      </w:r>
      <w:r>
        <w:rPr>
          <w:rFonts w:hint="eastAsia"/>
        </w:rPr>
        <w:t>5</w:t>
      </w:r>
      <w:r>
        <w:rPr>
          <w:rFonts w:hint="eastAsia"/>
        </w:rPr>
        <w:t>年</w:t>
      </w:r>
    </w:p>
    <w:p w:rsidR="00E00A2F" w:rsidRDefault="00934611">
      <w:pPr>
        <w:spacing w:line="40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E00A2F" w:rsidRDefault="00934611">
      <w:pPr>
        <w:spacing w:line="40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E00A2F" w:rsidRDefault="00E00A2F">
      <w:pPr>
        <w:spacing w:line="400" w:lineRule="exact"/>
      </w:pPr>
    </w:p>
    <w:p w:rsidR="00EA3E42" w:rsidRPr="003F164D" w:rsidRDefault="00EA3E42" w:rsidP="00EA3E42">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EA3E42" w:rsidRPr="003F164D" w:rsidRDefault="00EA3E42" w:rsidP="00EA3E42">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EA3E42" w:rsidRPr="003F164D" w:rsidRDefault="00EA3E42" w:rsidP="00EA3E42">
      <w:pPr>
        <w:spacing w:line="400" w:lineRule="exact"/>
        <w:rPr>
          <w:szCs w:val="21"/>
        </w:rPr>
      </w:pPr>
      <w:r w:rsidRPr="003F164D">
        <w:rPr>
          <w:rFonts w:hint="eastAsia"/>
          <w:szCs w:val="21"/>
        </w:rPr>
        <w:t>监督投诉：</w:t>
      </w:r>
      <w:r w:rsidRPr="003F164D">
        <w:rPr>
          <w:rFonts w:hint="eastAsia"/>
          <w:szCs w:val="21"/>
        </w:rPr>
        <w:t>0632-5081890</w:t>
      </w:r>
    </w:p>
    <w:p w:rsidR="00EA3E42" w:rsidRPr="003A6CCA" w:rsidRDefault="00EA3E42" w:rsidP="00EA3E42"/>
    <w:p w:rsidR="00E00A2F" w:rsidRPr="00EA3E42" w:rsidRDefault="00E00A2F">
      <w:pPr>
        <w:spacing w:line="400" w:lineRule="exact"/>
      </w:pPr>
    </w:p>
    <w:sectPr w:rsidR="00E00A2F" w:rsidRPr="00EA3E42" w:rsidSect="00E00A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71D" w:rsidRDefault="00B7671D" w:rsidP="00EA3E42">
      <w:r>
        <w:separator/>
      </w:r>
    </w:p>
  </w:endnote>
  <w:endnote w:type="continuationSeparator" w:id="1">
    <w:p w:rsidR="00B7671D" w:rsidRDefault="00B7671D" w:rsidP="00EA3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71D" w:rsidRDefault="00B7671D" w:rsidP="00EA3E42">
      <w:r>
        <w:separator/>
      </w:r>
    </w:p>
  </w:footnote>
  <w:footnote w:type="continuationSeparator" w:id="1">
    <w:p w:rsidR="00B7671D" w:rsidRDefault="00B7671D" w:rsidP="00EA3E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929E1"/>
    <w:rsid w:val="000C76B9"/>
    <w:rsid w:val="00335D15"/>
    <w:rsid w:val="003C0BF0"/>
    <w:rsid w:val="00470467"/>
    <w:rsid w:val="004844E5"/>
    <w:rsid w:val="004B59CA"/>
    <w:rsid w:val="0051705E"/>
    <w:rsid w:val="005B48A1"/>
    <w:rsid w:val="00755C1D"/>
    <w:rsid w:val="00865108"/>
    <w:rsid w:val="00886C2D"/>
    <w:rsid w:val="008A7E12"/>
    <w:rsid w:val="008E5C0B"/>
    <w:rsid w:val="00934611"/>
    <w:rsid w:val="00A023E0"/>
    <w:rsid w:val="00B4644D"/>
    <w:rsid w:val="00B7671D"/>
    <w:rsid w:val="00C75E6F"/>
    <w:rsid w:val="00D212B5"/>
    <w:rsid w:val="00E00A2F"/>
    <w:rsid w:val="00E1119B"/>
    <w:rsid w:val="00E93C3C"/>
    <w:rsid w:val="00EA3E42"/>
    <w:rsid w:val="00EA5ECC"/>
    <w:rsid w:val="00F72FE3"/>
    <w:rsid w:val="00F875C2"/>
    <w:rsid w:val="00FC095A"/>
    <w:rsid w:val="00FD0D4C"/>
    <w:rsid w:val="06FE33A1"/>
    <w:rsid w:val="0ABB29CA"/>
    <w:rsid w:val="0B5F260A"/>
    <w:rsid w:val="0C570350"/>
    <w:rsid w:val="0E0F68F0"/>
    <w:rsid w:val="10777619"/>
    <w:rsid w:val="12B7376F"/>
    <w:rsid w:val="163D65AF"/>
    <w:rsid w:val="1BCE5ADE"/>
    <w:rsid w:val="1CF862F6"/>
    <w:rsid w:val="1D8665F1"/>
    <w:rsid w:val="1D90788D"/>
    <w:rsid w:val="21E525D1"/>
    <w:rsid w:val="252A171B"/>
    <w:rsid w:val="27AF779E"/>
    <w:rsid w:val="2B605FC8"/>
    <w:rsid w:val="2C247D5C"/>
    <w:rsid w:val="2F9655E0"/>
    <w:rsid w:val="31331A93"/>
    <w:rsid w:val="322F29E4"/>
    <w:rsid w:val="375436EC"/>
    <w:rsid w:val="396A57E3"/>
    <w:rsid w:val="3D5C1350"/>
    <w:rsid w:val="3E0D4614"/>
    <w:rsid w:val="3F8E3F91"/>
    <w:rsid w:val="455B0D8E"/>
    <w:rsid w:val="48300EA7"/>
    <w:rsid w:val="4A216E08"/>
    <w:rsid w:val="4C021630"/>
    <w:rsid w:val="4DE80842"/>
    <w:rsid w:val="55650C69"/>
    <w:rsid w:val="598F710C"/>
    <w:rsid w:val="5B0E169E"/>
    <w:rsid w:val="5D1664E7"/>
    <w:rsid w:val="62046EA0"/>
    <w:rsid w:val="62727F00"/>
    <w:rsid w:val="62A80444"/>
    <w:rsid w:val="62F9389B"/>
    <w:rsid w:val="65FD412F"/>
    <w:rsid w:val="67573145"/>
    <w:rsid w:val="69C62E36"/>
    <w:rsid w:val="6F0F45DF"/>
    <w:rsid w:val="724D6786"/>
    <w:rsid w:val="74123B42"/>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A2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E00A2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00A2F"/>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E00A2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00A2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E00A2F"/>
    <w:pPr>
      <w:spacing w:beforeAutospacing="1" w:afterAutospacing="1"/>
      <w:jc w:val="left"/>
    </w:pPr>
    <w:rPr>
      <w:rFonts w:cs="Times New Roman"/>
      <w:kern w:val="0"/>
      <w:sz w:val="24"/>
    </w:rPr>
  </w:style>
  <w:style w:type="character" w:styleId="a7">
    <w:name w:val="Strong"/>
    <w:basedOn w:val="a0"/>
    <w:qFormat/>
    <w:rsid w:val="00E00A2F"/>
    <w:rPr>
      <w:b/>
      <w:bCs/>
    </w:rPr>
  </w:style>
  <w:style w:type="character" w:styleId="a8">
    <w:name w:val="Hyperlink"/>
    <w:basedOn w:val="a0"/>
    <w:uiPriority w:val="99"/>
    <w:semiHidden/>
    <w:unhideWhenUsed/>
    <w:qFormat/>
    <w:rsid w:val="00E00A2F"/>
    <w:rPr>
      <w:color w:val="0000FF"/>
      <w:u w:val="single"/>
    </w:rPr>
  </w:style>
  <w:style w:type="character" w:customStyle="1" w:styleId="Char">
    <w:name w:val="正文文本 Char"/>
    <w:basedOn w:val="a0"/>
    <w:link w:val="a3"/>
    <w:qFormat/>
    <w:rsid w:val="00E00A2F"/>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E00A2F"/>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E00A2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980</Characters>
  <Application>Microsoft Office Word</Application>
  <DocSecurity>0</DocSecurity>
  <Lines>8</Lines>
  <Paragraphs>2</Paragraphs>
  <ScaleCrop>false</ScaleCrop>
  <Company>微软中国</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cp:lastPrinted>2020-01-06T02:23:00Z</cp:lastPrinted>
  <dcterms:created xsi:type="dcterms:W3CDTF">2019-07-13T02:29:00Z</dcterms:created>
  <dcterms:modified xsi:type="dcterms:W3CDTF">2020-12-07T06:08:00Z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