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AA25" w14:textId="77777777" w:rsidR="00CA414F" w:rsidRDefault="005C660B">
      <w:pPr>
        <w:pStyle w:val="a3"/>
        <w:spacing w:line="52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非药品类易制毒化学品经营备案</w:t>
      </w:r>
    </w:p>
    <w:p w14:paraId="37721F0A" w14:textId="77777777" w:rsidR="00CA414F" w:rsidRDefault="005C660B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/>
          <w:b/>
          <w:bCs/>
          <w:szCs w:val="44"/>
        </w:rPr>
        <w:t xml:space="preserve"> </w:t>
      </w:r>
      <w:r>
        <w:rPr>
          <w:rFonts w:ascii="宋体" w:eastAsia="宋体" w:hAnsi="宋体" w:hint="eastAsia"/>
          <w:b/>
          <w:bCs/>
          <w:szCs w:val="44"/>
        </w:rPr>
        <w:t>“一次办好”告知书</w:t>
      </w:r>
    </w:p>
    <w:p w14:paraId="301D950E" w14:textId="77777777" w:rsidR="00CA414F" w:rsidRDefault="00CA414F">
      <w:pPr>
        <w:pStyle w:val="a3"/>
        <w:spacing w:line="440" w:lineRule="exact"/>
        <w:ind w:firstLineChars="200" w:firstLine="600"/>
        <w:jc w:val="both"/>
        <w:rPr>
          <w:rFonts w:ascii="黑体" w:eastAsia="黑体"/>
          <w:bCs/>
          <w:sz w:val="30"/>
          <w:szCs w:val="30"/>
        </w:rPr>
      </w:pPr>
    </w:p>
    <w:p w14:paraId="79EC0C6E" w14:textId="77777777" w:rsidR="00CA414F" w:rsidRDefault="005C660B">
      <w:pPr>
        <w:pStyle w:val="a3"/>
        <w:spacing w:line="520" w:lineRule="exact"/>
        <w:jc w:val="both"/>
        <w:rPr>
          <w:rFonts w:ascii="宋体" w:eastAsia="宋体" w:hAnsi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hint="eastAsia"/>
          <w:b/>
          <w:bCs/>
          <w:sz w:val="21"/>
          <w:szCs w:val="21"/>
        </w:rPr>
        <w:t>一</w:t>
      </w:r>
      <w:proofErr w:type="gramEnd"/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color w:val="000000"/>
          <w:sz w:val="21"/>
          <w:szCs w:val="21"/>
        </w:rPr>
        <w:t>非药品类易制毒化学品经营备案</w:t>
      </w:r>
    </w:p>
    <w:p w14:paraId="6FA5C9B3" w14:textId="77777777" w:rsidR="00CA414F" w:rsidRDefault="005C660B">
      <w:p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申请条件：</w:t>
      </w:r>
    </w:p>
    <w:p w14:paraId="4637CE0A" w14:textId="77777777" w:rsidR="00CA414F" w:rsidRDefault="005C660B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经营第三类非药品类易制毒化学品的，应当</w:t>
      </w:r>
      <w:proofErr w:type="gramStart"/>
      <w:r>
        <w:rPr>
          <w:rFonts w:ascii="宋体" w:hAnsi="宋体" w:hint="eastAsia"/>
          <w:szCs w:val="21"/>
        </w:rPr>
        <w:t>自经营</w:t>
      </w:r>
      <w:proofErr w:type="gramEnd"/>
      <w:r>
        <w:rPr>
          <w:rFonts w:ascii="宋体" w:hAnsi="宋体" w:hint="eastAsia"/>
          <w:szCs w:val="21"/>
        </w:rPr>
        <w:t>之日起30个工作日内，将经营的品种、数量、主要流向等情况备案。</w:t>
      </w:r>
    </w:p>
    <w:p w14:paraId="65E832C4" w14:textId="77777777" w:rsidR="00CA414F" w:rsidRDefault="005C660B"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14:paraId="17F080F1" w14:textId="77777777" w:rsidR="00CA414F" w:rsidRDefault="005C660B">
      <w:pPr>
        <w:spacing w:line="400" w:lineRule="exact"/>
      </w:pPr>
      <w:r>
        <w:t>1.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szCs w:val="21"/>
        </w:rPr>
        <w:t>非药品类易制毒化学品销售品种、销售量、主要流向等情况的备案申请书；</w:t>
      </w:r>
    </w:p>
    <w:p w14:paraId="008F5B12" w14:textId="77777777" w:rsidR="00CA414F" w:rsidRDefault="005C660B">
      <w:pPr>
        <w:spacing w:line="400" w:lineRule="exact"/>
      </w:pPr>
      <w:r>
        <w:t>2.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易制毒化学品管理制度；</w:t>
      </w:r>
      <w:r>
        <w:t xml:space="preserve"> </w:t>
      </w:r>
    </w:p>
    <w:p w14:paraId="16A579E3" w14:textId="77777777" w:rsidR="00CA414F" w:rsidRDefault="005C660B">
      <w:pPr>
        <w:spacing w:line="400" w:lineRule="exact"/>
        <w:rPr>
          <w:rFonts w:ascii="宋体"/>
          <w:color w:val="000000"/>
          <w:szCs w:val="21"/>
        </w:rPr>
      </w:pPr>
      <w:r>
        <w:t>3.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产品包装说明和使用说明书；</w:t>
      </w:r>
    </w:p>
    <w:p w14:paraId="6541C3B8" w14:textId="77777777" w:rsidR="00CA414F" w:rsidRDefault="005C660B">
      <w:pPr>
        <w:spacing w:line="400" w:lineRule="exact"/>
        <w:rPr>
          <w:rFonts w:ascii="宋体"/>
          <w:color w:val="000000"/>
          <w:szCs w:val="21"/>
        </w:rPr>
      </w:pPr>
      <w:r>
        <w:rPr>
          <w:rFonts w:hint="eastAsia"/>
        </w:rPr>
        <w:t>4</w:t>
      </w:r>
      <w:r>
        <w:t>.</w:t>
      </w:r>
      <w:r>
        <w:rPr>
          <w:rFonts w:ascii="宋体" w:hAnsi="宋体" w:hint="eastAsia"/>
          <w:color w:val="000000"/>
          <w:szCs w:val="21"/>
        </w:rPr>
        <w:t>《非药品类易制毒化学品经营备案证明》正副本原件（重新办理需提供）</w:t>
      </w:r>
    </w:p>
    <w:p w14:paraId="26FE4F69" w14:textId="77777777" w:rsidR="00CA414F" w:rsidRDefault="005C660B">
      <w:pPr>
        <w:spacing w:line="400" w:lineRule="exact"/>
        <w:ind w:firstLineChars="196" w:firstLine="413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提交材料时，请携带告知书中所要求的所有证件原件用于审查。</w:t>
      </w:r>
    </w:p>
    <w:p w14:paraId="05393DF9" w14:textId="77777777" w:rsidR="00CA414F" w:rsidRDefault="005C660B"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14:paraId="000B303C" w14:textId="77777777" w:rsidR="00CA414F" w:rsidRDefault="005C660B">
      <w:pPr>
        <w:pStyle w:val="a3"/>
        <w:spacing w:line="240" w:lineRule="atLeas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1.</w:t>
      </w:r>
      <w:r>
        <w:rPr>
          <w:rFonts w:ascii="宋体" w:eastAsia="宋体" w:hAnsi="宋体" w:hint="eastAsia"/>
          <w:sz w:val="21"/>
          <w:szCs w:val="21"/>
        </w:rPr>
        <w:t>《易制毒化学品管理条例》（国务院令第</w:t>
      </w:r>
      <w:r>
        <w:rPr>
          <w:rFonts w:ascii="宋体" w:eastAsia="宋体" w:hAnsi="宋体"/>
          <w:sz w:val="21"/>
          <w:szCs w:val="21"/>
        </w:rPr>
        <w:t>445</w:t>
      </w:r>
      <w:r>
        <w:rPr>
          <w:rFonts w:ascii="宋体" w:eastAsia="宋体" w:hAnsi="宋体" w:hint="eastAsia"/>
          <w:sz w:val="21"/>
          <w:szCs w:val="21"/>
        </w:rPr>
        <w:t>号）；</w:t>
      </w:r>
    </w:p>
    <w:p w14:paraId="484618CE" w14:textId="77777777" w:rsidR="00CA414F" w:rsidRDefault="005C660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《非药品类易制毒化学品生产、经营许可办法》（国家安监总局令第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号）；</w:t>
      </w:r>
    </w:p>
    <w:p w14:paraId="44327AB8" w14:textId="77777777" w:rsidR="00CA414F" w:rsidRDefault="005C660B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受理→办结</w:t>
      </w:r>
    </w:p>
    <w:p w14:paraId="5F9AAAD3" w14:textId="7B5F5FAE" w:rsidR="00CA414F" w:rsidRDefault="005C660B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tab/>
      </w:r>
      <w:r>
        <w:rPr>
          <w:rFonts w:ascii="宋体" w:hAnsi="宋体"/>
          <w:b/>
          <w:bCs/>
          <w:szCs w:val="21"/>
        </w:rPr>
        <w:t>:</w:t>
      </w:r>
      <w:r w:rsidR="00C2338E">
        <w:rPr>
          <w:rFonts w:ascii="宋体" w:hAnsi="宋体" w:hint="eastAsia"/>
          <w:szCs w:val="21"/>
        </w:rPr>
        <w:t>即时办理</w:t>
      </w:r>
      <w:r>
        <w:rPr>
          <w:rFonts w:ascii="宋体" w:hAnsi="宋体" w:hint="eastAsia"/>
          <w:szCs w:val="21"/>
        </w:rPr>
        <w:t>。</w:t>
      </w:r>
    </w:p>
    <w:p w14:paraId="4B985384" w14:textId="64AF6C88" w:rsidR="00CA414F" w:rsidRDefault="005C660B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 xml:space="preserve">: </w:t>
      </w:r>
      <w:r w:rsidR="00C2338E">
        <w:rPr>
          <w:rFonts w:hint="eastAsia"/>
        </w:rPr>
        <w:t>即时办理</w:t>
      </w:r>
      <w:r>
        <w:rPr>
          <w:rFonts w:hint="eastAsia"/>
        </w:rPr>
        <w:t>。</w:t>
      </w:r>
    </w:p>
    <w:p w14:paraId="2DC8DA40" w14:textId="77777777" w:rsidR="00CA414F" w:rsidRDefault="005C660B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</w:t>
      </w:r>
      <w:proofErr w:type="gramStart"/>
      <w:r>
        <w:rPr>
          <w:rFonts w:ascii="宋体" w:hAnsi="宋体" w:hint="eastAsia"/>
          <w:b/>
          <w:bCs/>
          <w:szCs w:val="21"/>
        </w:rPr>
        <w:t>书类型</w:t>
      </w:r>
      <w:proofErr w:type="gramEnd"/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szCs w:val="21"/>
        </w:rPr>
        <w:t>《非药品类易制毒化学品经营备案证明》，有效期为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szCs w:val="21"/>
        </w:rPr>
        <w:t>。有效期满后需继续生产、经营的，应当在备案证明有效期满前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个月内重新办理备案手续。</w:t>
      </w:r>
      <w:r>
        <w:rPr>
          <w:rFonts w:ascii="宋体"/>
          <w:szCs w:val="21"/>
        </w:rPr>
        <w:br/>
      </w:r>
      <w:r>
        <w:rPr>
          <w:rFonts w:ascii="宋体" w:hAns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邮寄或窗口自取</w:t>
      </w:r>
    </w:p>
    <w:p w14:paraId="0D69A74A" w14:textId="77777777" w:rsidR="00CA414F" w:rsidRDefault="005C660B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不收费</w:t>
      </w:r>
    </w:p>
    <w:p w14:paraId="294373C9" w14:textId="5A1DB893" w:rsidR="00CA414F" w:rsidRDefault="005C660B">
      <w:pPr>
        <w:spacing w:line="340" w:lineRule="exact"/>
      </w:pPr>
      <w:r w:rsidRPr="00E1313F">
        <w:rPr>
          <w:rFonts w:ascii="宋体" w:hAnsi="宋体" w:hint="eastAsia"/>
          <w:b/>
          <w:bCs/>
          <w:szCs w:val="21"/>
        </w:rPr>
        <w:t>十一.相关材料下载邮箱:</w:t>
      </w:r>
      <w:r w:rsidRPr="00E1313F">
        <w:rPr>
          <w:rFonts w:ascii="宋体" w:hAnsi="宋体" w:hint="eastAsia"/>
          <w:b/>
          <w:bCs/>
          <w:szCs w:val="21"/>
        </w:rPr>
        <w:tab/>
      </w:r>
      <w:hyperlink r:id="rId7" w:history="1">
        <w:r w:rsidR="007E7A7E" w:rsidRPr="005634E5">
          <w:rPr>
            <w:rStyle w:val="a7"/>
          </w:rPr>
          <w:t>tz</w:t>
        </w:r>
        <w:r w:rsidR="007E7A7E" w:rsidRPr="005634E5">
          <w:rPr>
            <w:rStyle w:val="a7"/>
            <w:rFonts w:hint="eastAsia"/>
          </w:rPr>
          <w:t>shsw@163.com</w:t>
        </w:r>
      </w:hyperlink>
      <w:r w:rsidRPr="00E1313F">
        <w:rPr>
          <w:rFonts w:ascii="宋体" w:hAnsi="宋体" w:hint="eastAsia"/>
          <w:b/>
          <w:bCs/>
          <w:szCs w:val="21"/>
        </w:rPr>
        <w:t xml:space="preserve">   密码：tz123456</w:t>
      </w:r>
    </w:p>
    <w:p w14:paraId="1BBDBED0" w14:textId="77777777" w:rsidR="00CA414F" w:rsidRPr="0063583E" w:rsidRDefault="00CA414F">
      <w:pPr>
        <w:spacing w:line="400" w:lineRule="exact"/>
      </w:pPr>
    </w:p>
    <w:p w14:paraId="594DEE67" w14:textId="77777777" w:rsidR="00CA414F" w:rsidRDefault="00CA414F">
      <w:pPr>
        <w:spacing w:line="340" w:lineRule="exact"/>
        <w:rPr>
          <w:szCs w:val="21"/>
        </w:rPr>
      </w:pPr>
    </w:p>
    <w:p w14:paraId="1DBFD224" w14:textId="0346490E" w:rsidR="00CA414F" w:rsidRDefault="005C660B">
      <w:pPr>
        <w:spacing w:line="340" w:lineRule="exact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滕州市行政审批服务局社会</w:t>
      </w:r>
      <w:r w:rsidR="000E413A">
        <w:rPr>
          <w:rFonts w:ascii="宋体" w:hAnsi="宋体" w:hint="eastAsia"/>
          <w:szCs w:val="21"/>
        </w:rPr>
        <w:t>事务</w:t>
      </w:r>
      <w:r w:rsidR="009C1766">
        <w:rPr>
          <w:rFonts w:ascii="宋体" w:hAnsi="宋体" w:hint="eastAsia"/>
          <w:szCs w:val="21"/>
        </w:rPr>
        <w:t>二</w:t>
      </w:r>
      <w:r>
        <w:rPr>
          <w:rFonts w:ascii="宋体" w:hAnsi="宋体" w:hint="eastAsia"/>
          <w:szCs w:val="21"/>
        </w:rPr>
        <w:t>科（A</w:t>
      </w:r>
      <w:r w:rsidR="0063583E">
        <w:rPr>
          <w:rFonts w:ascii="宋体" w:hAnsi="宋体"/>
          <w:szCs w:val="21"/>
        </w:rPr>
        <w:t>117</w:t>
      </w:r>
      <w:r>
        <w:rPr>
          <w:rFonts w:ascii="宋体" w:hAnsi="宋体" w:hint="eastAsia"/>
          <w:szCs w:val="21"/>
        </w:rPr>
        <w:t xml:space="preserve">窗口）  </w:t>
      </w:r>
    </w:p>
    <w:p w14:paraId="62ED780E" w14:textId="00A4FE33" w:rsidR="00CA414F" w:rsidRDefault="005C660B">
      <w:pPr>
        <w:spacing w:line="340" w:lineRule="exact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 w:rsidR="007E7A7E">
        <w:rPr>
          <w:rFonts w:ascii="宋体" w:hAnsi="宋体"/>
          <w:szCs w:val="21"/>
        </w:rPr>
        <w:t>5081812</w:t>
      </w:r>
      <w:r w:rsidR="007E7A7E">
        <w:rPr>
          <w:rFonts w:ascii="宋体" w:hAnsi="宋体" w:hint="eastAsia"/>
          <w:szCs w:val="21"/>
        </w:rPr>
        <w:t>、5</w:t>
      </w:r>
      <w:r w:rsidR="007E7A7E">
        <w:rPr>
          <w:rFonts w:ascii="宋体" w:hAnsi="宋体"/>
          <w:szCs w:val="21"/>
        </w:rPr>
        <w:t>081997</w:t>
      </w:r>
    </w:p>
    <w:p w14:paraId="4B23AE24" w14:textId="77777777" w:rsidR="00CA414F" w:rsidRDefault="00CA414F">
      <w:pPr>
        <w:spacing w:line="340" w:lineRule="exact"/>
        <w:jc w:val="left"/>
        <w:rPr>
          <w:rFonts w:ascii="宋体" w:hAnsi="宋体"/>
          <w:szCs w:val="21"/>
        </w:rPr>
      </w:pPr>
    </w:p>
    <w:p w14:paraId="32DC7AFD" w14:textId="77777777" w:rsidR="00CA414F" w:rsidRDefault="00CA414F">
      <w:pPr>
        <w:spacing w:line="400" w:lineRule="exact"/>
      </w:pPr>
    </w:p>
    <w:p w14:paraId="4F670291" w14:textId="77777777" w:rsidR="00CA414F" w:rsidRDefault="00CA414F"/>
    <w:sectPr w:rsidR="00CA414F" w:rsidSect="00CA414F">
      <w:footerReference w:type="default" r:id="rId8"/>
      <w:pgSz w:w="11906" w:h="16838"/>
      <w:pgMar w:top="1701" w:right="1134" w:bottom="1134" w:left="1701" w:header="851" w:footer="680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5305" w14:textId="77777777" w:rsidR="00290F97" w:rsidRDefault="00290F97" w:rsidP="00CA414F">
      <w:r>
        <w:separator/>
      </w:r>
    </w:p>
  </w:endnote>
  <w:endnote w:type="continuationSeparator" w:id="0">
    <w:p w14:paraId="6FE0B564" w14:textId="77777777" w:rsidR="00290F97" w:rsidRDefault="00290F97" w:rsidP="00C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79B8" w14:textId="77777777" w:rsidR="00CA414F" w:rsidRDefault="00290F97">
    <w:pPr>
      <w:pStyle w:val="a5"/>
      <w:ind w:right="360" w:firstLine="360"/>
    </w:pPr>
    <w:r>
      <w:pict w14:anchorId="01F62A1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86.4pt;margin-top:0;width:2in;height:2in;z-index:2;mso-wrap-style:none;mso-position-horizontal:outside;mso-position-horizontal-relative:margin" filled="f" stroked="f">
          <v:textbox style="mso-fit-shape-to-text:t" inset="0,0,0,0">
            <w:txbxContent>
              <w:p w14:paraId="575464A4" w14:textId="77777777" w:rsidR="00CA414F" w:rsidRDefault="00CE6555">
                <w:pPr>
                  <w:pStyle w:val="a5"/>
                  <w:rPr>
                    <w:rStyle w:val="a6"/>
                  </w:rPr>
                </w:pPr>
                <w:r>
                  <w:fldChar w:fldCharType="begin"/>
                </w:r>
                <w:r w:rsidR="005C660B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5C660B">
                  <w:rPr>
                    <w:rStyle w:val="a6"/>
                  </w:rPr>
                  <w:t>- 21 -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pict w14:anchorId="5BB8B068">
        <v:shape id="_x0000_s3074" type="#_x0000_t202" style="position:absolute;left:0;text-align:left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14:paraId="042D32B0" w14:textId="77777777" w:rsidR="00CA414F" w:rsidRDefault="00CA414F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627D" w14:textId="77777777" w:rsidR="00290F97" w:rsidRDefault="00290F97" w:rsidP="00CA414F">
      <w:r>
        <w:separator/>
      </w:r>
    </w:p>
  </w:footnote>
  <w:footnote w:type="continuationSeparator" w:id="0">
    <w:p w14:paraId="0D903355" w14:textId="77777777" w:rsidR="00290F97" w:rsidRDefault="00290F97" w:rsidP="00CA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9E1"/>
    <w:rsid w:val="00012021"/>
    <w:rsid w:val="00023041"/>
    <w:rsid w:val="00063E99"/>
    <w:rsid w:val="000929E1"/>
    <w:rsid w:val="000B1152"/>
    <w:rsid w:val="000B5EC0"/>
    <w:rsid w:val="000C76B9"/>
    <w:rsid w:val="000E413A"/>
    <w:rsid w:val="0011229B"/>
    <w:rsid w:val="001521AB"/>
    <w:rsid w:val="001A57B1"/>
    <w:rsid w:val="002437EA"/>
    <w:rsid w:val="002505F4"/>
    <w:rsid w:val="00263530"/>
    <w:rsid w:val="00290F97"/>
    <w:rsid w:val="00297A45"/>
    <w:rsid w:val="002B1E40"/>
    <w:rsid w:val="002F1DED"/>
    <w:rsid w:val="00366EBE"/>
    <w:rsid w:val="00380C3C"/>
    <w:rsid w:val="0039736E"/>
    <w:rsid w:val="003F3C9D"/>
    <w:rsid w:val="00416ED7"/>
    <w:rsid w:val="00482825"/>
    <w:rsid w:val="00511702"/>
    <w:rsid w:val="005C660B"/>
    <w:rsid w:val="005D2351"/>
    <w:rsid w:val="006353B7"/>
    <w:rsid w:val="0063583E"/>
    <w:rsid w:val="0071473A"/>
    <w:rsid w:val="00775C73"/>
    <w:rsid w:val="007877FE"/>
    <w:rsid w:val="007E7A7E"/>
    <w:rsid w:val="007F30F0"/>
    <w:rsid w:val="0085446B"/>
    <w:rsid w:val="00865108"/>
    <w:rsid w:val="008B6AFD"/>
    <w:rsid w:val="0098591D"/>
    <w:rsid w:val="009C1766"/>
    <w:rsid w:val="00A40075"/>
    <w:rsid w:val="00B63556"/>
    <w:rsid w:val="00BE1CBF"/>
    <w:rsid w:val="00C06064"/>
    <w:rsid w:val="00C2338E"/>
    <w:rsid w:val="00CA414F"/>
    <w:rsid w:val="00CD53C3"/>
    <w:rsid w:val="00CE14AE"/>
    <w:rsid w:val="00CE6555"/>
    <w:rsid w:val="00CF656E"/>
    <w:rsid w:val="00D93CA1"/>
    <w:rsid w:val="00DB1070"/>
    <w:rsid w:val="00DE71A1"/>
    <w:rsid w:val="00E1119B"/>
    <w:rsid w:val="00E1313F"/>
    <w:rsid w:val="00EC1EA3"/>
    <w:rsid w:val="00EF1CBE"/>
    <w:rsid w:val="00F16166"/>
    <w:rsid w:val="00F35F02"/>
    <w:rsid w:val="00F36641"/>
    <w:rsid w:val="00F66605"/>
    <w:rsid w:val="00F8764D"/>
    <w:rsid w:val="00FA5B5D"/>
    <w:rsid w:val="07101DD4"/>
    <w:rsid w:val="0F2B33D9"/>
    <w:rsid w:val="14E57375"/>
    <w:rsid w:val="1B117587"/>
    <w:rsid w:val="236C36E2"/>
    <w:rsid w:val="291D0335"/>
    <w:rsid w:val="29333E4A"/>
    <w:rsid w:val="296E7502"/>
    <w:rsid w:val="2A2775ED"/>
    <w:rsid w:val="2E1B255C"/>
    <w:rsid w:val="3199410E"/>
    <w:rsid w:val="349D7715"/>
    <w:rsid w:val="36B42B3C"/>
    <w:rsid w:val="39247329"/>
    <w:rsid w:val="392E5D28"/>
    <w:rsid w:val="3CB80310"/>
    <w:rsid w:val="41646696"/>
    <w:rsid w:val="43E3716C"/>
    <w:rsid w:val="46567B0A"/>
    <w:rsid w:val="46AF4B7E"/>
    <w:rsid w:val="477F30A6"/>
    <w:rsid w:val="4C8E6E10"/>
    <w:rsid w:val="511C6350"/>
    <w:rsid w:val="51A70802"/>
    <w:rsid w:val="571664CB"/>
    <w:rsid w:val="5D770BAD"/>
    <w:rsid w:val="6F0F527A"/>
    <w:rsid w:val="74536E15"/>
    <w:rsid w:val="75A459AA"/>
    <w:rsid w:val="77127579"/>
    <w:rsid w:val="77874A72"/>
    <w:rsid w:val="7A1C1536"/>
    <w:rsid w:val="7A923544"/>
    <w:rsid w:val="7D8E2DFB"/>
    <w:rsid w:val="7F9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2B6D1567"/>
  <w15:docId w15:val="{8BCA4FDF-58FC-4028-8E96-77CB7AE2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1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A414F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5">
    <w:name w:val="footer"/>
    <w:basedOn w:val="a"/>
    <w:qFormat/>
    <w:rsid w:val="00CA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  <w:rsid w:val="00CA414F"/>
  </w:style>
  <w:style w:type="character" w:customStyle="1" w:styleId="a4">
    <w:name w:val="正文文本 字符"/>
    <w:link w:val="a3"/>
    <w:uiPriority w:val="99"/>
    <w:qFormat/>
    <w:locked/>
    <w:rsid w:val="00CA414F"/>
    <w:rPr>
      <w:rFonts w:ascii="Times New Roman" w:eastAsia="华文中宋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63583E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63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zshsw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首次申请、延期申请、重新办理</dc:title>
  <dc:creator>微软用户</dc:creator>
  <cp:lastModifiedBy>dell</cp:lastModifiedBy>
  <cp:revision>16</cp:revision>
  <cp:lastPrinted>2021-08-23T06:11:00Z</cp:lastPrinted>
  <dcterms:created xsi:type="dcterms:W3CDTF">2018-08-24T10:14:00Z</dcterms:created>
  <dcterms:modified xsi:type="dcterms:W3CDTF">2021-08-23T06:11:00Z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