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9B" w:rsidRDefault="005B0E9B" w:rsidP="005B0E9B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5B0E9B" w:rsidRDefault="005B0E9B" w:rsidP="005B0E9B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5B0E9B">
        <w:rPr>
          <w:rFonts w:ascii="楷体_GB2312" w:eastAsia="楷体_GB2312" w:hAnsi="楷体_GB2312" w:cs="楷体_GB2312"/>
          <w:bCs/>
          <w:sz w:val="32"/>
          <w:szCs w:val="32"/>
        </w:rPr>
        <w:t>370115026000</w:t>
      </w:r>
    </w:p>
    <w:p w:rsidR="005B0E9B" w:rsidRDefault="005B0E9B" w:rsidP="005B0E9B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5B0E9B" w:rsidRDefault="005B0E9B" w:rsidP="005B0E9B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EA0448" w:rsidRDefault="005B0E9B" w:rsidP="005B0E9B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5B0E9B">
        <w:rPr>
          <w:rFonts w:ascii="黑体" w:eastAsia="黑体" w:hAnsi="黑体" w:cs="黑体" w:hint="eastAsia"/>
          <w:bCs/>
          <w:sz w:val="36"/>
          <w:szCs w:val="36"/>
          <w:u w:val="single"/>
        </w:rPr>
        <w:t>农村集体经济组织兴办企业使用集体建设用地审核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EA0448" w:rsidRPr="005B0E9B" w:rsidRDefault="00EA0448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EA0448" w:rsidRDefault="00E04A3E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农村集体经济组织兴办企业使用集体建设用地审核</w:t>
      </w:r>
    </w:p>
    <w:p w:rsidR="00EA0448" w:rsidRDefault="00E04A3E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农村集体经济组织兴办企业，需使用集体建设用地的</w:t>
      </w:r>
    </w:p>
    <w:p w:rsidR="00EA0448" w:rsidRDefault="00E04A3E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、用地单位是农村集体经济组织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、拟用土地属本农村集体经济组织所有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、符合镇土地利用规划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、必须是兴办企业或者与其他单位、个人以土地使用权入股、联营等形式共同举办企业</w:t>
      </w:r>
      <w:r>
        <w:rPr>
          <w:rFonts w:ascii="仿宋_GB2312" w:eastAsia="仿宋_GB2312" w:hAnsi="Calibri"/>
          <w:sz w:val="32"/>
          <w:szCs w:val="32"/>
        </w:rPr>
        <w:t>;</w:t>
      </w:r>
    </w:p>
    <w:p w:rsidR="00EA0448" w:rsidRDefault="00E04A3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、符合规定的用地标准。</w:t>
      </w:r>
    </w:p>
    <w:p w:rsidR="00EA0448" w:rsidRDefault="00E04A3E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、用地申请（原件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、集体建设用地使用权证或批复文件</w:t>
      </w:r>
      <w:r>
        <w:rPr>
          <w:rFonts w:ascii="仿宋_GB2312" w:eastAsia="仿宋_GB2312" w:hint="eastAsia"/>
          <w:sz w:val="32"/>
          <w:szCs w:val="32"/>
        </w:rPr>
        <w:t>或市自然资源局出具的拟用土地属该集体组织建设用地的意见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含附图，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、建设项目立项批准文件（复印件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、乡村建设规划许可证（实行告知承诺制）（复印件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、环境评价批复意见（复印件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标明用地范围的</w:t>
      </w:r>
      <w:r>
        <w:rPr>
          <w:rFonts w:ascii="仿宋_GB2312" w:eastAsia="仿宋_GB2312" w:hint="eastAsia"/>
          <w:sz w:val="32"/>
          <w:szCs w:val="32"/>
        </w:rPr>
        <w:t>土地利用现状图、土地利用总体规划图（原件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、集体土地使用协议（复印件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份）；</w:t>
      </w:r>
    </w:p>
    <w:p w:rsidR="00EA0448" w:rsidRDefault="00E04A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、勘测定界图（</w:t>
      </w:r>
      <w:r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电子版，原件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EA0448" w:rsidRDefault="00E04A3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《中华人民共和国土地管理法》、《山东省实施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土地管理法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办法》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集体建设用地审核意见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EA0448" w:rsidRDefault="00E04A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EA0448" w:rsidRDefault="00E04A3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EA0448" w:rsidRDefault="00E04A3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5B0E9B">
        <w:rPr>
          <w:rFonts w:ascii="仿宋_GB2312" w:eastAsia="仿宋_GB2312" w:hAnsi="仿宋_GB2312" w:cs="仿宋_GB2312" w:hint="eastAsia"/>
          <w:sz w:val="32"/>
          <w:szCs w:val="32"/>
        </w:rPr>
        <w:t xml:space="preserve">019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5B0E9B">
        <w:rPr>
          <w:rFonts w:hint="eastAsia"/>
          <w:sz w:val="32"/>
          <w:szCs w:val="32"/>
        </w:rPr>
        <w:t>tzjsfwk@163.com</w:t>
      </w:r>
    </w:p>
    <w:p w:rsidR="00EA0448" w:rsidRDefault="00EA044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A0448" w:rsidSect="00EA04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3E" w:rsidRDefault="00E04A3E" w:rsidP="00EA0448">
      <w:r>
        <w:separator/>
      </w:r>
    </w:p>
  </w:endnote>
  <w:endnote w:type="continuationSeparator" w:id="0">
    <w:p w:rsidR="00E04A3E" w:rsidRDefault="00E04A3E" w:rsidP="00EA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8" w:rsidRDefault="00EA044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A0448" w:rsidRDefault="00EA0448">
                <w:pPr>
                  <w:pStyle w:val="a4"/>
                </w:pPr>
                <w:r>
                  <w:fldChar w:fldCharType="begin"/>
                </w:r>
                <w:r w:rsidR="00E04A3E">
                  <w:instrText xml:space="preserve"> PAGE  \* MERGEFORMAT </w:instrText>
                </w:r>
                <w:r>
                  <w:fldChar w:fldCharType="separate"/>
                </w:r>
                <w:r w:rsidR="005B0E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3E" w:rsidRDefault="00E04A3E" w:rsidP="00EA0448">
      <w:r>
        <w:separator/>
      </w:r>
    </w:p>
  </w:footnote>
  <w:footnote w:type="continuationSeparator" w:id="0">
    <w:p w:rsidR="00E04A3E" w:rsidRDefault="00E04A3E" w:rsidP="00EA0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929E1"/>
    <w:rsid w:val="000C76B9"/>
    <w:rsid w:val="00191FA8"/>
    <w:rsid w:val="00202018"/>
    <w:rsid w:val="002205EA"/>
    <w:rsid w:val="003C0BF0"/>
    <w:rsid w:val="004E5AB5"/>
    <w:rsid w:val="005B0E9B"/>
    <w:rsid w:val="005E1E84"/>
    <w:rsid w:val="007B6ED7"/>
    <w:rsid w:val="00865108"/>
    <w:rsid w:val="00B433DD"/>
    <w:rsid w:val="00C33982"/>
    <w:rsid w:val="00CB19F0"/>
    <w:rsid w:val="00E04A3E"/>
    <w:rsid w:val="00E1119B"/>
    <w:rsid w:val="00EA0448"/>
    <w:rsid w:val="00F5188B"/>
    <w:rsid w:val="0154347A"/>
    <w:rsid w:val="09D251A8"/>
    <w:rsid w:val="0A9E7BEB"/>
    <w:rsid w:val="0C570350"/>
    <w:rsid w:val="0E0F68F0"/>
    <w:rsid w:val="0E780B9E"/>
    <w:rsid w:val="10777619"/>
    <w:rsid w:val="12B7376F"/>
    <w:rsid w:val="12FA3C88"/>
    <w:rsid w:val="13225A5E"/>
    <w:rsid w:val="1BCE5ADE"/>
    <w:rsid w:val="1C196443"/>
    <w:rsid w:val="1CF862F6"/>
    <w:rsid w:val="1D8665F1"/>
    <w:rsid w:val="1D90788D"/>
    <w:rsid w:val="1EAE49FC"/>
    <w:rsid w:val="21E525D1"/>
    <w:rsid w:val="21F903D6"/>
    <w:rsid w:val="252A171B"/>
    <w:rsid w:val="25CD7939"/>
    <w:rsid w:val="27AF779E"/>
    <w:rsid w:val="2C247D5C"/>
    <w:rsid w:val="2FBA1628"/>
    <w:rsid w:val="322F29E4"/>
    <w:rsid w:val="32CA62A6"/>
    <w:rsid w:val="375436EC"/>
    <w:rsid w:val="396A57E3"/>
    <w:rsid w:val="3D5C1350"/>
    <w:rsid w:val="40030AE2"/>
    <w:rsid w:val="455B0D8E"/>
    <w:rsid w:val="48300EA7"/>
    <w:rsid w:val="49A940DA"/>
    <w:rsid w:val="4A216E08"/>
    <w:rsid w:val="4C021630"/>
    <w:rsid w:val="4C5D55C6"/>
    <w:rsid w:val="4DE80842"/>
    <w:rsid w:val="55650C69"/>
    <w:rsid w:val="55983344"/>
    <w:rsid w:val="598F710C"/>
    <w:rsid w:val="5C5012F9"/>
    <w:rsid w:val="5D1664E7"/>
    <w:rsid w:val="5F0F7D50"/>
    <w:rsid w:val="62727F00"/>
    <w:rsid w:val="62A80444"/>
    <w:rsid w:val="65FD412F"/>
    <w:rsid w:val="6A454301"/>
    <w:rsid w:val="6A8D1E29"/>
    <w:rsid w:val="70A55A85"/>
    <w:rsid w:val="724D6786"/>
    <w:rsid w:val="74123B42"/>
    <w:rsid w:val="74740511"/>
    <w:rsid w:val="75DC6664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uiPriority="0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A0448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A0448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EA04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EA04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EA0448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EA0448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EA0448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EA0448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EA0448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sid w:val="00EA0448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A0448"/>
    <w:rPr>
      <w:rFonts w:ascii="Calibri" w:hAnsi="Calibri"/>
      <w:sz w:val="18"/>
      <w:szCs w:val="18"/>
    </w:rPr>
  </w:style>
  <w:style w:type="paragraph" w:styleId="2">
    <w:name w:val="Body Text Indent 2"/>
    <w:basedOn w:val="a"/>
    <w:link w:val="2Char"/>
    <w:rsid w:val="005B0E9B"/>
    <w:pPr>
      <w:spacing w:after="120" w:line="480" w:lineRule="auto"/>
      <w:ind w:leftChars="200" w:left="420"/>
    </w:pPr>
    <w:rPr>
      <w:szCs w:val="24"/>
    </w:rPr>
  </w:style>
  <w:style w:type="character" w:customStyle="1" w:styleId="2Char">
    <w:name w:val="正文文本缩进 2 Char"/>
    <w:basedOn w:val="a0"/>
    <w:link w:val="2"/>
    <w:rsid w:val="005B0E9B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9</cp:revision>
  <cp:lastPrinted>2019-06-21T06:44:00Z</cp:lastPrinted>
  <dcterms:created xsi:type="dcterms:W3CDTF">2018-08-24T07:14:00Z</dcterms:created>
  <dcterms:modified xsi:type="dcterms:W3CDTF">2022-08-08T08:58:00Z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