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向无疫区输入（过境）易感动物或动物产品审批服务指南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事项名称：向无疫区输入（过境）易感动物或动物产品审批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《动物防疫法》（1997年7月3日中华人民共和国主席令第87号，2015年4月24日第三次修订）第四十五条；《动物检疫管理办法》（2010年1月21日农业部令第6号）第八条第三项、第三十二条、第三十三条　、第三十四条。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1.来自非封锁区或者未发生相关动物疫情的饲养场；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2.按照国家规定进行了强制免疫，并在有效保护期内；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3.临床检查健康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4.农业部规定需要进行实验室疫病检测的，检测结果符合要求；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5.养殖档案相关记录和畜禽标识符合农业部规定。乳用、种用动物和宠物，还应当符合农业部规定的健康标准。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办理向无疫区输入（过境）易感动物或动物产品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1、检疫申报单 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eastAsia="zh-CN"/>
        </w:rPr>
        <w:t>2、申请时需提供个人基本信息（有效身份证件等）； 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3、调运批次易感动物、动物产品规定动物疫病病原学检测报告(偶蹄动物:口蹄疫，禽类:高致病性禽流感)； 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4、输出地动物检疫合格证明原件；</w:t>
      </w:r>
      <w:r>
        <w:rPr>
          <w:rFonts w:hint="eastAsia" w:ascii="仿宋_GB2312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5、输出地动物养殖场的《动物防疫条件合格证》。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机构，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必要时进行实验室送检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</w:t>
      </w:r>
      <w:r>
        <w:rPr>
          <w:rFonts w:hint="eastAsia" w:ascii="仿宋_GB2312" w:eastAsia="仿宋_GB2312" w:cs="仿宋_GB2312"/>
          <w:sz w:val="32"/>
          <w:szCs w:val="40"/>
          <w:lang w:val="en-US" w:eastAsia="zh-CN"/>
        </w:rPr>
        <w:t>实验室检测</w:t>
      </w:r>
      <w:r>
        <w:rPr>
          <w:rFonts w:hint="eastAsia" w:ascii="仿宋_GB2312" w:eastAsia="仿宋_GB2312" w:cs="仿宋_GB2312"/>
          <w:sz w:val="32"/>
          <w:szCs w:val="40"/>
        </w:rPr>
        <w:t>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1615"/>
    <w:rsid w:val="7DE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2020-12-07T09:13:00Z</dcterms:created>
  <dc:creator>孟想的世界</dc:creator>
  <cp:lastModifiedBy>孟想的世界</cp:lastModifiedBy>
  <dcterms:modified xsi:type="dcterms:W3CDTF">2020-12-07T09:23:13Z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