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食用菌菌种生产经营许可服务指南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事项名称：食用菌菌种生产经营许可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事项编号：3700000120053。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ab/>
      </w:r>
      <w:r>
        <w:rPr>
          <w:rFonts w:hint="eastAsia" w:ascii="仿宋_GB2312" w:eastAsia="仿宋_GB2312" w:cs="仿宋_GB2312"/>
          <w:sz w:val="32"/>
          <w:szCs w:val="40"/>
        </w:rPr>
        <w:t>1.《种子法》（2000年7月通过，2015年11月修订）第九十三条，草种、烟草种、中药材种、食用菌菌种的种质资源管理和选育、生产经营、管理等活动，参照本法执行。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2.《食用菌菌种管理办法》（2006年3月27日农业部令第62号公布，2015年4月29日农业部令2015年第1号修订）第十三条，从事菌种生产经营的单位和个人，应当取得《食用菌菌种生产经营许可证》。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1.申请母种和原种《食用菌菌种生产经营许可证》的单位和个人，应当具备下列条件：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（1）生产经营母种注册资本100万元以上，生产经营原种注册资本50万元以上；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（2）省级人民政府农业行政主管部门考核合格的检验人员1名以上、生产技术人员2名以上；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（3）有相应的灭菌、接种、培养、贮存等设备和场所，有相应的质量检验仪器和设施。生产母种还应当有做出菇试验所需的设备和场所。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（4）生产场地环境卫生及其他条件符合农业部《食用菌菌种生产技术规程》要求。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2.申请栽培种《食用菌菌种生产经营许可证》的单位和个人，应当具备下列条件：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（1）注册资本10万元以上；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（2）省级人民政府农业行政主管部门考核合格的检验人员1名以上、生产技术人员1名以上；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（3）有必要的灭菌、接种、培养、贮存等设备和场所，有必要的质量检验仪器和设施；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（4）栽培种生产场地的环境卫生及其他条件符合农业部《食用菌菌种生产技术规程》要求。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食用菌菌种生产经营许可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的，应当向县级以上地方审批部门提交以下材料：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1.食用菌菌种生产经营许可证申请表；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材料样式：纸质原件4份，扫描件电子版1份。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2.菌种检验人员、生产技术人员资格证明；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材料样式：复印件1份，扫描件电子版1份。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3.仪器设备和设施清单及产权证明，主要仪器设备的照片；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材料样式：复印件1份，扫描件电子版1份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4.菌种生产经营场所布局及照片；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材料样式：复印件1份，扫描件电子版1份。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5.菌种生产经营质量保证制度；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材料样式：复印件1份，扫描件电子版1份。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6.品种特性介绍。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材料样式：复印件1份，扫描件电子版1份。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备注：申请母种生产经营许可证的品种为授权品种的，还应当提供品种权人（品种选育人）授权的书面证明。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对决定受理的申请，组织相关技术人员进对材料及现场技术审核并出具审核意见。对符合要求的上报审核意见，作出不予上报决定的，应当出具《驳回通知书》，注明不予上报的理由。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滕州市政务服务中心三楼西农业农村窗口（H325、H326、H327），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2A08"/>
    <w:rsid w:val="5A7E5358"/>
    <w:rsid w:val="667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2020-12-07T06:01:00Z</dcterms:created>
  <dc:creator>孟想的世界</dc:creator>
  <cp:lastModifiedBy>孟想的世界</cp:lastModifiedBy>
  <dcterms:modified xsi:type="dcterms:W3CDTF">2020-12-07T06:41:17Z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