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宋体" w:hAnsi="宋体" w:eastAsia="宋体" w:cs="宋体"/>
          <w:sz w:val="44"/>
          <w:szCs w:val="44"/>
          <w:lang w:val="en-US" w:eastAsia="zh-CN"/>
        </w:rPr>
      </w:pPr>
      <w:r>
        <w:rPr>
          <w:rFonts w:hint="eastAsia" w:ascii="宋体" w:hAnsi="宋体" w:cs="宋体"/>
          <w:sz w:val="44"/>
          <w:szCs w:val="44"/>
          <w:lang w:val="en-US" w:eastAsia="zh-CN"/>
        </w:rPr>
        <w:t>建设项目使用林地审批服务指南</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_GB2312" w:hAnsi="黑体" w:eastAsia="仿宋_GB2312"/>
          <w:sz w:val="32"/>
          <w:szCs w:val="32"/>
        </w:rPr>
      </w:pPr>
    </w:p>
    <w:p>
      <w:pPr>
        <w:keepNext w:val="0"/>
        <w:keepLines w:val="0"/>
        <w:pageBreakBefore w:val="0"/>
        <w:widowControl w:val="0"/>
        <w:overflowPunct/>
        <w:topLinePunct w:val="0"/>
        <w:autoSpaceDE/>
        <w:autoSpaceDN/>
        <w:bidi w:val="0"/>
        <w:adjustRightInd w:val="0"/>
        <w:snapToGrid w:val="0"/>
        <w:spacing w:line="520" w:lineRule="exact"/>
        <w:ind w:firstLine="640" w:firstLineChars="200"/>
        <w:jc w:val="left"/>
        <w:outlineLvl w:val="9"/>
        <w:rPr>
          <w:rFonts w:hint="eastAsia" w:ascii="黑体" w:hAnsi="黑体" w:eastAsia="黑体"/>
          <w:sz w:val="32"/>
          <w:szCs w:val="32"/>
          <w:lang w:eastAsia="zh-CN"/>
        </w:rPr>
      </w:pPr>
      <w:r>
        <w:rPr>
          <w:rFonts w:ascii="黑体" w:hAnsi="黑体" w:eastAsia="黑体"/>
          <w:sz w:val="32"/>
          <w:szCs w:val="32"/>
        </w:rPr>
        <w:t>一、事项名称</w:t>
      </w:r>
      <w:r>
        <w:rPr>
          <w:rFonts w:hint="eastAsia" w:ascii="黑体" w:hAnsi="黑体" w:eastAsia="黑体"/>
          <w:sz w:val="32"/>
          <w:szCs w:val="32"/>
          <w:lang w:eastAsia="zh-CN"/>
        </w:rPr>
        <w:t>、类别、编号及设定层级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事项名称：</w:t>
      </w:r>
      <w:r>
        <w:rPr>
          <w:rFonts w:hint="eastAsia" w:ascii="仿宋_GB2312" w:hAnsi="宋体" w:eastAsia="仿宋_GB2312" w:cs="宋体"/>
          <w:kern w:val="0"/>
          <w:sz w:val="32"/>
          <w:szCs w:val="32"/>
          <w:lang w:val="en-US" w:eastAsia="zh-CN"/>
        </w:rPr>
        <w:t>建设项目使用林地审批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事项类别： 行政许可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事项编号：3700000115032。</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二、办理依据及条款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1、《中华人民共和国森林法》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2、《中华人民共和国森林法实施条例》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3、《山东省森林资源条例》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4、《占用征用林地审核审批管理规范》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5、《建设项目使用林地审核审批管理办法》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ascii="黑体" w:hAnsi="黑体" w:eastAsia="黑体"/>
          <w:sz w:val="32"/>
          <w:szCs w:val="32"/>
        </w:rPr>
        <w:t>三、</w:t>
      </w:r>
      <w:r>
        <w:rPr>
          <w:rFonts w:hint="eastAsia" w:ascii="黑体" w:hAnsi="黑体" w:eastAsia="黑体"/>
          <w:sz w:val="32"/>
          <w:szCs w:val="32"/>
          <w:lang w:eastAsia="zh-CN"/>
        </w:rPr>
        <w:t>申请主体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宋体" w:eastAsia="仿宋_GB2312" w:cs="宋体"/>
          <w:color w:val="0C0C0C"/>
          <w:kern w:val="0"/>
          <w:sz w:val="32"/>
          <w:szCs w:val="32"/>
          <w:lang w:eastAsia="zh-CN"/>
        </w:rPr>
      </w:pPr>
      <w:r>
        <w:rPr>
          <w:rFonts w:ascii="仿宋_GB2312" w:hAnsi="黑体" w:eastAsia="仿宋_GB2312"/>
          <w:sz w:val="32"/>
          <w:szCs w:val="32"/>
        </w:rPr>
        <w:t>公民、法人或者其他组织</w:t>
      </w:r>
      <w:r>
        <w:rPr>
          <w:rFonts w:hint="eastAsia" w:ascii="仿宋_GB2312" w:hAnsi="黑体"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四、办理条件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有符合国家林业局《占用征用林地审核审批管理办法》规定的建设项目批件；2、临时：征占用林地时间不能超过2年，且不得修筑永久性设施；3、属非国家禁止征占用范围；4、应当符合林地保护利用规划，合理和节约集约利用林地；5、符合占用征用林地的建设项目应当遵守林地分级管理的规定；6、符合国家供地政策，对生态环境不会造成重大影响。</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申请办理</w:t>
      </w:r>
      <w:r>
        <w:rPr>
          <w:rFonts w:hint="eastAsia" w:ascii="仿宋_GB2312" w:hAnsi="宋体" w:eastAsia="仿宋_GB2312" w:cs="宋体"/>
          <w:kern w:val="0"/>
          <w:sz w:val="32"/>
          <w:szCs w:val="32"/>
          <w:lang w:val="en-US" w:eastAsia="zh-CN"/>
        </w:rPr>
        <w:t>建设项目使用林地审批</w:t>
      </w:r>
      <w:r>
        <w:rPr>
          <w:rFonts w:hint="eastAsia" w:ascii="仿宋" w:hAnsi="仿宋" w:eastAsia="仿宋" w:cs="仿宋"/>
          <w:color w:val="3D3D3D"/>
          <w:sz w:val="32"/>
          <w:szCs w:val="32"/>
          <w:lang w:val="en-US" w:eastAsia="zh-CN"/>
        </w:rPr>
        <w:t>，应当提交下列材料：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（1）占用征用林地申请表；</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（2）企业法人营业执照副本、事业单位法人证书或统一社会信用代码证书；</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3）建设项目有关批准文件。可行性研究报告批复、核准批复、备案确认文件。勘查、开采矿藏项目提供矿产资源勘查、开采许可证。批次用地项目，提供经有关人民政府同意的批次用地说明书。宗教、殡葬设施等建设项目提供有关行政主管部门的批准文件。需审批初步设计的建设项目提供项目初步设计批复。建设项目因设计变更等原因需要增加、减少使用林地面积或者改变使用林地位置的提供变更设计的批复文件。；</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（4）使用林地现场查验表；</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（5）建设项目选址意见书或建设用地规划许可证，乡村建设项目提交乡村建设规划许可证；</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（6）建设项目使用林地可行性报告或者林地现状调查表；</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（7）县级及设区市人民政府林业主管部门审查意见；</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（8）公示材料；</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val="en-US" w:eastAsia="zh-CN"/>
        </w:rPr>
        <w:t>（9）</w:t>
      </w:r>
      <w:r>
        <w:rPr>
          <w:rFonts w:hint="eastAsia" w:ascii="仿宋" w:hAnsi="仿宋" w:eastAsia="仿宋" w:cs="仿宋"/>
          <w:color w:val="3D3D3D"/>
          <w:sz w:val="32"/>
          <w:szCs w:val="32"/>
          <w:lang w:eastAsia="zh-CN"/>
        </w:rPr>
        <w:t>申请材料真实性、合法性声明。</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六、数量信息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仿宋"/>
          <w:sz w:val="32"/>
          <w:szCs w:val="32"/>
          <w:lang w:eastAsia="zh-CN"/>
        </w:rPr>
      </w:pPr>
      <w:r>
        <w:rPr>
          <w:rFonts w:hint="eastAsia" w:ascii="仿宋" w:hAnsi="仿宋" w:eastAsia="仿宋" w:cs="仿宋"/>
          <w:color w:val="3D3D3D"/>
          <w:sz w:val="32"/>
          <w:szCs w:val="32"/>
        </w:rPr>
        <w:t>无数量限制</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七、禁止性要求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无禁止性要求</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八、中介机构和特殊环节</w:t>
      </w:r>
    </w:p>
    <w:p>
      <w:pPr>
        <w:keepNext w:val="0"/>
        <w:keepLines w:val="0"/>
        <w:pageBreakBefore w:val="0"/>
        <w:widowControl w:val="0"/>
        <w:kinsoku/>
        <w:wordWrap/>
        <w:overflowPunct/>
        <w:topLinePunct w:val="0"/>
        <w:autoSpaceDE/>
        <w:autoSpaceDN/>
        <w:bidi w:val="0"/>
        <w:adjustRightInd w:val="0"/>
        <w:snapToGrid w:val="0"/>
        <w:spacing w:line="460" w:lineRule="exact"/>
        <w:ind w:left="638" w:leftChars="304" w:firstLine="0" w:firstLineChars="0"/>
        <w:jc w:val="left"/>
        <w:textAlignment w:val="auto"/>
        <w:outlineLvl w:val="9"/>
        <w:rPr>
          <w:rFonts w:ascii="黑体" w:hAnsi="黑体" w:eastAsia="黑体"/>
          <w:sz w:val="32"/>
          <w:szCs w:val="32"/>
        </w:rPr>
      </w:pPr>
      <w:r>
        <w:rPr>
          <w:rFonts w:hint="eastAsia" w:ascii="仿宋" w:hAnsi="仿宋" w:eastAsia="仿宋" w:cs="仿宋"/>
          <w:color w:val="3D3D3D"/>
          <w:sz w:val="32"/>
          <w:szCs w:val="32"/>
          <w:lang w:eastAsia="zh-CN"/>
        </w:rPr>
        <w:t>无</w:t>
      </w:r>
      <w:r>
        <w:rPr>
          <w:rFonts w:hint="eastAsia" w:ascii="仿宋" w:hAnsi="仿宋" w:eastAsia="仿宋" w:cs="仿宋"/>
          <w:color w:val="3D3D3D"/>
          <w:sz w:val="32"/>
          <w:szCs w:val="32"/>
        </w:rPr>
        <w:t>中介</w:t>
      </w:r>
      <w:r>
        <w:rPr>
          <w:rFonts w:hint="eastAsia" w:ascii="仿宋" w:hAnsi="仿宋" w:eastAsia="仿宋" w:cs="仿宋"/>
          <w:color w:val="3D3D3D"/>
          <w:sz w:val="32"/>
          <w:szCs w:val="32"/>
          <w:lang w:eastAsia="zh-CN"/>
        </w:rPr>
        <w:t>机构和特殊环节。</w:t>
      </w:r>
      <w:r>
        <w:rPr>
          <w:rFonts w:hint="eastAsia" w:ascii="仿宋" w:hAnsi="仿宋" w:eastAsia="仿宋" w:cs="仿宋"/>
          <w:color w:val="3D3D3D"/>
          <w:sz w:val="32"/>
          <w:szCs w:val="32"/>
        </w:rPr>
        <w:br w:type="textWrapping"/>
      </w:r>
      <w:r>
        <w:rPr>
          <w:rFonts w:hint="eastAsia" w:ascii="黑体" w:hAnsi="黑体" w:eastAsia="黑体"/>
          <w:sz w:val="32"/>
          <w:szCs w:val="32"/>
          <w:lang w:eastAsia="zh-CN"/>
        </w:rPr>
        <w:t>九、办理</w:t>
      </w:r>
      <w:r>
        <w:rPr>
          <w:rFonts w:ascii="黑体" w:hAnsi="黑体" w:eastAsia="黑体"/>
          <w:sz w:val="32"/>
          <w:szCs w:val="32"/>
        </w:rPr>
        <w:t>流程</w:t>
      </w:r>
    </w:p>
    <w:p>
      <w:pPr>
        <w:keepNext w:val="0"/>
        <w:keepLines w:val="0"/>
        <w:pageBreakBefore w:val="0"/>
        <w:widowControl w:val="0"/>
        <w:numPr>
          <w:ilvl w:val="0"/>
          <w:numId w:val="1"/>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rPr>
        <w:t>提交申请材料并受理</w:t>
      </w:r>
      <w:r>
        <w:rPr>
          <w:rFonts w:hint="eastAsia" w:ascii="仿宋" w:hAnsi="仿宋" w:eastAsia="仿宋" w:cs="仿宋"/>
          <w:color w:val="3D3D3D"/>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由符合条件的企业自愿网上或现场申请，报送申请材料。材料初审合格后，予以受理</w:t>
      </w:r>
      <w:r>
        <w:rPr>
          <w:rFonts w:hint="eastAsia" w:ascii="仿宋" w:hAnsi="仿宋" w:eastAsia="仿宋" w:cs="仿宋"/>
          <w:color w:val="3D3D3D"/>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eastAsia="zh-CN"/>
        </w:rPr>
        <w:t>（二）现场审核</w:t>
      </w:r>
      <w:r>
        <w:rPr>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对决定受理的申请，组织相关技术人员进对材料及现场技术审核并出具审核意见。对符合要求的上报审核意见，作出不予上报决定的，应当出具《驳回通知书》，注明不予上报的理由。</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仿宋" w:hAnsi="仿宋" w:eastAsia="仿宋" w:cs="仿宋"/>
          <w:color w:val="3D3D3D"/>
          <w:sz w:val="32"/>
          <w:szCs w:val="32"/>
          <w:lang w:val="en-US" w:eastAsia="zh-CN"/>
        </w:rPr>
      </w:pPr>
      <w:r>
        <w:rPr>
          <w:rFonts w:hint="eastAsia" w:ascii="仿宋" w:hAnsi="仿宋" w:eastAsia="仿宋" w:cs="仿宋"/>
          <w:color w:val="3D3D3D"/>
          <w:sz w:val="32"/>
          <w:szCs w:val="32"/>
          <w:lang w:eastAsia="zh-CN"/>
        </w:rPr>
        <w:t>（三）办结并送达办理结果</w:t>
      </w:r>
      <w:r>
        <w:rPr>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300"/>
        <w:jc w:val="left"/>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lang w:val="en-US" w:eastAsia="zh-CN"/>
        </w:rPr>
        <w:t>通知申请人领取批准文件，不能领取的邮寄送达。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办理方式</w:t>
      </w:r>
    </w:p>
    <w:p>
      <w:pPr>
        <w:keepNext w:val="0"/>
        <w:keepLines w:val="0"/>
        <w:pageBreakBefore w:val="0"/>
        <w:kinsoku/>
        <w:wordWrap/>
        <w:overflowPunct/>
        <w:topLinePunct w:val="0"/>
        <w:autoSpaceDE/>
        <w:autoSpaceDN/>
        <w:bidi w:val="0"/>
        <w:adjustRightInd w:val="0"/>
        <w:snapToGrid w:val="0"/>
        <w:spacing w:line="460" w:lineRule="exact"/>
        <w:ind w:left="638" w:leftChars="304" w:firstLine="0" w:firstLineChars="0"/>
        <w:jc w:val="both"/>
        <w:textAlignment w:val="auto"/>
        <w:rPr>
          <w:rFonts w:ascii="仿宋_GB2312" w:hAnsi="黑体" w:eastAsia="仿宋_GB2312"/>
          <w:sz w:val="32"/>
          <w:szCs w:val="32"/>
        </w:rPr>
      </w:pPr>
      <w:r>
        <w:rPr>
          <w:rFonts w:ascii="仿宋_GB2312" w:hAnsi="黑体" w:eastAsia="仿宋_GB2312"/>
          <w:sz w:val="32"/>
          <w:szCs w:val="32"/>
        </w:rPr>
        <w:t>自办件</w:t>
      </w:r>
    </w:p>
    <w:p>
      <w:pPr>
        <w:keepNext w:val="0"/>
        <w:keepLines w:val="0"/>
        <w:pageBreakBefore w:val="0"/>
        <w:widowControl w:val="0"/>
        <w:numPr>
          <w:ilvl w:val="0"/>
          <w:numId w:val="0"/>
        </w:numPr>
        <w:tabs>
          <w:tab w:val="left" w:pos="781"/>
        </w:tabs>
        <w:kinsoku/>
        <w:wordWrap/>
        <w:overflowPunct/>
        <w:topLinePunct w:val="0"/>
        <w:autoSpaceDE/>
        <w:autoSpaceDN/>
        <w:bidi w:val="0"/>
        <w:adjustRightInd w:val="0"/>
        <w:snapToGrid w:val="0"/>
        <w:spacing w:line="460" w:lineRule="exact"/>
        <w:ind w:firstLine="640" w:firstLineChars="200"/>
        <w:jc w:val="left"/>
        <w:textAlignment w:val="auto"/>
        <w:outlineLvl w:val="9"/>
        <w:rPr>
          <w:rFonts w:hint="eastAsia" w:ascii="黑体" w:hAnsi="黑体" w:eastAsia="黑体"/>
          <w:sz w:val="32"/>
          <w:szCs w:val="32"/>
          <w:lang w:eastAsia="zh-CN"/>
        </w:rPr>
      </w:pPr>
      <w:r>
        <w:rPr>
          <w:rFonts w:hint="eastAsia" w:ascii="黑体" w:hAnsi="黑体" w:eastAsia="黑体"/>
          <w:sz w:val="32"/>
          <w:szCs w:val="32"/>
          <w:lang w:eastAsia="zh-CN"/>
        </w:rPr>
        <w:t>十一、</w:t>
      </w:r>
      <w:r>
        <w:rPr>
          <w:rFonts w:ascii="黑体" w:hAnsi="黑体" w:eastAsia="黑体"/>
          <w:sz w:val="32"/>
          <w:szCs w:val="32"/>
        </w:rPr>
        <w:t>受理</w:t>
      </w:r>
      <w:r>
        <w:rPr>
          <w:rFonts w:hint="eastAsia" w:ascii="黑体" w:hAnsi="黑体" w:eastAsia="黑体"/>
          <w:sz w:val="32"/>
          <w:szCs w:val="32"/>
          <w:lang w:eastAsia="zh-CN"/>
        </w:rPr>
        <w:t>窗口及电话</w:t>
      </w:r>
    </w:p>
    <w:p>
      <w:pPr>
        <w:pStyle w:val="3"/>
        <w:keepNext w:val="0"/>
        <w:keepLines w:val="0"/>
        <w:pageBreakBefore w:val="0"/>
        <w:widowControl/>
        <w:suppressLineNumbers w:val="0"/>
        <w:kinsoku/>
        <w:wordWrap/>
        <w:overflowPunct/>
        <w:topLinePunct w:val="0"/>
        <w:autoSpaceDE/>
        <w:autoSpaceDN/>
        <w:bidi w:val="0"/>
        <w:spacing w:line="460" w:lineRule="exact"/>
        <w:ind w:firstLine="640" w:firstLineChars="200"/>
        <w:textAlignment w:val="auto"/>
        <w:rPr>
          <w:rFonts w:ascii="仿宋_GB2312" w:hAnsi="黑体" w:eastAsia="仿宋_GB2312"/>
          <w:sz w:val="32"/>
          <w:szCs w:val="32"/>
        </w:rPr>
      </w:pP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w:t>
      </w:r>
      <w:r>
        <w:rPr>
          <w:rFonts w:hint="eastAsia" w:ascii="仿宋" w:hAnsi="仿宋" w:eastAsia="仿宋" w:cs="仿宋"/>
          <w:color w:val="3D3D3D"/>
          <w:kern w:val="2"/>
          <w:sz w:val="32"/>
          <w:szCs w:val="32"/>
          <w:lang w:val="en-US" w:eastAsia="zh-CN" w:bidi="ar-SA"/>
        </w:rPr>
        <w:t>涉农事务</w:t>
      </w:r>
      <w:r>
        <w:rPr>
          <w:rFonts w:hint="eastAsia" w:ascii="仿宋_GB2312" w:hAnsi="黑体" w:eastAsia="仿宋_GB2312" w:cs="Times New Roman"/>
          <w:kern w:val="2"/>
          <w:sz w:val="32"/>
          <w:szCs w:val="32"/>
          <w:lang w:val="en-US" w:eastAsia="zh-CN" w:bidi="ar-SA"/>
        </w:rPr>
        <w:t>窗口（H325、H326、H327），</w:t>
      </w:r>
      <w:r>
        <w:rPr>
          <w:rFonts w:ascii="仿宋_GB2312" w:hAnsi="黑体" w:eastAsia="仿宋_GB2312"/>
          <w:sz w:val="32"/>
          <w:szCs w:val="32"/>
        </w:rPr>
        <w:t>电话</w:t>
      </w:r>
      <w:r>
        <w:rPr>
          <w:rFonts w:hint="eastAsia" w:ascii="仿宋_GB2312" w:hAnsi="黑体" w:eastAsia="仿宋_GB2312"/>
          <w:sz w:val="32"/>
          <w:szCs w:val="32"/>
          <w:lang w:eastAsia="zh-CN"/>
        </w:rPr>
        <w:t>：</w:t>
      </w:r>
      <w:r>
        <w:rPr>
          <w:rFonts w:hint="eastAsia" w:ascii="仿宋_GB2312" w:hAnsi="黑体" w:eastAsia="仿宋_GB2312" w:cs="Times New Roman"/>
          <w:kern w:val="2"/>
          <w:sz w:val="32"/>
          <w:szCs w:val="32"/>
          <w:lang w:val="en-US" w:eastAsia="zh-CN" w:bidi="ar-SA"/>
        </w:rPr>
        <w:t>0632-5081895。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十二、受理窗口工作时间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正常工作日上午8</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2:0</w:t>
      </w:r>
      <w:r>
        <w:rPr>
          <w:rFonts w:hint="eastAsia" w:ascii="仿宋" w:hAnsi="仿宋" w:eastAsia="仿宋" w:cs="仿宋"/>
          <w:color w:val="3D3D3D"/>
          <w:sz w:val="32"/>
          <w:szCs w:val="32"/>
        </w:rPr>
        <w:t>0，下午13</w:t>
      </w:r>
      <w:r>
        <w:rPr>
          <w:rFonts w:hint="eastAsia" w:ascii="仿宋" w:hAnsi="仿宋" w:eastAsia="仿宋" w:cs="仿宋"/>
          <w:color w:val="3D3D3D"/>
          <w:sz w:val="32"/>
          <w:szCs w:val="32"/>
          <w:lang w:val="en-US" w:eastAsia="zh-CN"/>
        </w:rPr>
        <w:t>:3</w:t>
      </w:r>
      <w:r>
        <w:rPr>
          <w:rFonts w:hint="eastAsia" w:ascii="仿宋" w:hAnsi="仿宋" w:eastAsia="仿宋" w:cs="仿宋"/>
          <w:color w:val="3D3D3D"/>
          <w:sz w:val="32"/>
          <w:szCs w:val="32"/>
        </w:rPr>
        <w:t>0-1</w:t>
      </w:r>
      <w:r>
        <w:rPr>
          <w:rFonts w:hint="eastAsia" w:ascii="仿宋" w:hAnsi="仿宋" w:eastAsia="仿宋" w:cs="仿宋"/>
          <w:color w:val="3D3D3D"/>
          <w:sz w:val="32"/>
          <w:szCs w:val="32"/>
          <w:lang w:val="en-US" w:eastAsia="zh-CN"/>
        </w:rPr>
        <w:t>7:0</w:t>
      </w:r>
      <w:r>
        <w:rPr>
          <w:rFonts w:hint="eastAsia" w:ascii="仿宋" w:hAnsi="仿宋" w:eastAsia="仿宋" w:cs="仿宋"/>
          <w:color w:val="3D3D3D"/>
          <w:sz w:val="32"/>
          <w:szCs w:val="32"/>
        </w:rPr>
        <w:t>0</w:t>
      </w:r>
      <w:r>
        <w:rPr>
          <w:rFonts w:hint="eastAsia" w:ascii="仿宋" w:hAnsi="仿宋" w:eastAsia="仿宋" w:cs="仿宋"/>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十三、办件类型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b w:val="0"/>
          <w:sz w:val="32"/>
          <w:szCs w:val="32"/>
          <w:lang w:val="en-US" w:eastAsia="zh-CN"/>
        </w:rPr>
        <w:t>承诺</w:t>
      </w:r>
      <w:r>
        <w:rPr>
          <w:rFonts w:hint="eastAsia" w:ascii="仿宋" w:hAnsi="仿宋" w:eastAsia="仿宋" w:cs="仿宋"/>
          <w:b w:val="0"/>
          <w:color w:val="3D3D3D"/>
          <w:sz w:val="32"/>
          <w:szCs w:val="32"/>
        </w:rPr>
        <w:t>件</w:t>
      </w:r>
      <w:r>
        <w:rPr>
          <w:rFonts w:hint="eastAsia" w:ascii="仿宋" w:hAnsi="仿宋" w:eastAsia="仿宋" w:cs="仿宋"/>
          <w:b w:val="0"/>
          <w:color w:val="3D3D3D"/>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十四、法定期限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640" w:firstLineChars="200"/>
        <w:textAlignment w:val="auto"/>
        <w:outlineLvl w:val="9"/>
        <w:rPr>
          <w:rFonts w:hint="eastAsia" w:ascii="仿宋" w:hAnsi="仿宋" w:eastAsia="仿宋" w:cs="仿宋"/>
          <w:b w:val="0"/>
          <w:color w:val="3D3D3D"/>
          <w:sz w:val="32"/>
          <w:szCs w:val="32"/>
          <w:lang w:eastAsia="zh-CN"/>
        </w:rPr>
      </w:pPr>
      <w:r>
        <w:rPr>
          <w:rFonts w:hint="eastAsia" w:ascii="仿宋" w:hAnsi="仿宋" w:eastAsia="仿宋" w:cs="仿宋"/>
          <w:color w:val="3D3D3D"/>
          <w:sz w:val="32"/>
          <w:szCs w:val="32"/>
          <w:lang w:val="en-US" w:eastAsia="zh-CN"/>
        </w:rPr>
        <w:t>20个工作日。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十五、承诺期限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40" w:firstLineChars="2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2个工作日</w:t>
      </w:r>
      <w:r>
        <w:rPr>
          <w:rFonts w:hint="eastAsia" w:ascii="仿宋_GB2312" w:eastAsia="仿宋_GB2312" w:cs="仿宋_GB2312"/>
          <w:sz w:val="32"/>
          <w:szCs w:val="40"/>
        </w:rPr>
        <w:t>（不包含实地核查时间）</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是否收费</w:t>
      </w:r>
    </w:p>
    <w:p>
      <w:pPr>
        <w:pStyle w:val="2"/>
        <w:keepNext w:val="0"/>
        <w:keepLines w:val="0"/>
        <w:pageBreakBefore w:val="0"/>
        <w:widowControl w:val="0"/>
        <w:kinsoku/>
        <w:wordWrap/>
        <w:overflowPunct/>
        <w:topLinePunct w:val="0"/>
        <w:autoSpaceDE/>
        <w:autoSpaceDN/>
        <w:bidi w:val="0"/>
        <w:adjustRightInd/>
        <w:snapToGrid/>
        <w:spacing w:after="0" w:line="460" w:lineRule="exact"/>
        <w:ind w:firstLine="640" w:firstLineChars="2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十七、收费依据及标准</w:t>
      </w:r>
    </w:p>
    <w:p>
      <w:pPr>
        <w:pStyle w:val="2"/>
        <w:keepNext w:val="0"/>
        <w:keepLines w:val="0"/>
        <w:pageBreakBefore w:val="0"/>
        <w:widowControl w:val="0"/>
        <w:kinsoku/>
        <w:wordWrap/>
        <w:overflowPunct/>
        <w:topLinePunct w:val="0"/>
        <w:autoSpaceDE/>
        <w:autoSpaceDN/>
        <w:bidi w:val="0"/>
        <w:adjustRightInd/>
        <w:snapToGrid/>
        <w:spacing w:after="0" w:line="460" w:lineRule="exact"/>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森林植被恢复费 收费依据：《山东省财政厅 山东省林业厅(关于调整森林植被恢复费征收标准引导节约集约利用林地的通知) (鲁财综[2016]33号)》 收费标准：</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（1）郁闭度0.2以上的乔木林地（含采伐迹地，火烧迹地）。竹林地、苗圃地、每平方米10元；灌木林地、疏林地、未成林造林地，每平方米6元；宜林地，每平方米3元。 </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（2）国家和省级公益林林地，郁闭度0.2以上的乔木林地（含采伐迹地、火烧迹地）、竹林地、苗圃地，每平方米20元；灌木林地、疏林地、未成林造林地，每平方米12元；宜林地每平方米6元。 </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val="en-US" w:eastAsia="zh-CN"/>
        </w:rPr>
      </w:pPr>
      <w:r>
        <w:rPr>
          <w:rFonts w:hint="eastAsia" w:ascii="仿宋_GB2312" w:hAnsi="黑体" w:eastAsia="仿宋_GB2312"/>
          <w:sz w:val="32"/>
          <w:szCs w:val="32"/>
          <w:lang w:val="en-US" w:eastAsia="zh-CN"/>
        </w:rPr>
        <w:t>（3）对城市规划区的林地，按照以下标准征收： 郁闭度0.2以上的乔木林（含采伐迹地、火烧迹地）、竹林地、苗圃地，每平方米20元；灌木林地、疏林地、未成林造林地，每平方米12元；宜林地每平方米6元。 国家和省级公益林林地，郁闭度0.2以上的乔木林地（含采伐迹地、火烧迹地）、竹林地、苗圃地，每平方米40元；灌木林地、疏林地、未成林造林地，每平方米24元；宜林地每平方米12元。</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十八、办理进程和结果查询</w:t>
      </w:r>
    </w:p>
    <w:p>
      <w:pPr>
        <w:pStyle w:val="2"/>
        <w:keepNext w:val="0"/>
        <w:keepLines w:val="0"/>
        <w:pageBreakBefore w:val="0"/>
        <w:widowControl w:val="0"/>
        <w:kinsoku/>
        <w:wordWrap/>
        <w:overflowPunct/>
        <w:topLinePunct w:val="0"/>
        <w:autoSpaceDE/>
        <w:autoSpaceDN/>
        <w:bidi w:val="0"/>
        <w:adjustRightInd/>
        <w:snapToGrid/>
        <w:spacing w:after="0" w:line="460" w:lineRule="exact"/>
        <w:ind w:left="739" w:leftChars="352" w:firstLine="0" w:firstLineChars="0"/>
        <w:jc w:val="left"/>
        <w:textAlignment w:val="auto"/>
        <w:outlineLvl w:val="9"/>
        <w:rPr>
          <w:rFonts w:hint="eastAsia" w:ascii="仿宋" w:hAnsi="仿宋" w:eastAsia="仿宋" w:cs="仿宋"/>
          <w:color w:val="3D3D3D"/>
          <w:spacing w:val="-6"/>
          <w:sz w:val="32"/>
          <w:szCs w:val="32"/>
        </w:rPr>
      </w:pPr>
      <w:r>
        <w:rPr>
          <w:rFonts w:hint="eastAsia" w:ascii="仿宋" w:hAnsi="仿宋" w:eastAsia="仿宋" w:cs="仿宋"/>
          <w:color w:val="3D3D3D"/>
          <w:sz w:val="32"/>
          <w:szCs w:val="32"/>
        </w:rPr>
        <w:t>山东政务服务网</w:t>
      </w:r>
      <w:r>
        <w:rPr>
          <w:rFonts w:hint="eastAsia" w:ascii="仿宋" w:hAnsi="仿宋" w:eastAsia="仿宋" w:cs="仿宋"/>
          <w:color w:val="3D3D3D"/>
          <w:spacing w:val="-6"/>
          <w:sz w:val="32"/>
          <w:szCs w:val="32"/>
        </w:rPr>
        <w:t>http://zztzzwfw.sd.gov.cn/tz/public/index</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outlineLvl w:val="9"/>
        <w:rPr>
          <w:rFonts w:ascii="黑体" w:hAnsi="黑体" w:eastAsia="黑体"/>
          <w:sz w:val="32"/>
          <w:szCs w:val="32"/>
        </w:rPr>
      </w:pPr>
      <w:r>
        <w:rPr>
          <w:rFonts w:hint="eastAsia" w:ascii="黑体" w:hAnsi="黑体" w:eastAsia="黑体" w:cs="Times New Roman"/>
          <w:kern w:val="2"/>
          <w:sz w:val="32"/>
          <w:szCs w:val="32"/>
          <w:lang w:val="en-US" w:eastAsia="zh-CN" w:bidi="ar-SA"/>
        </w:rPr>
        <w:t>十九、</w:t>
      </w:r>
      <w:r>
        <w:rPr>
          <w:rFonts w:hint="eastAsia" w:ascii="黑体" w:hAnsi="黑体" w:eastAsia="黑体"/>
          <w:sz w:val="32"/>
          <w:szCs w:val="32"/>
          <w:lang w:eastAsia="zh-CN"/>
        </w:rPr>
        <w:t>业务科室咨询地点和电话</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滕州市行政审批服务局涉农事务科</w:t>
      </w:r>
      <w:r>
        <w:rPr>
          <w:rFonts w:hint="eastAsia" w:ascii="仿宋_GB2312" w:hAnsi="黑体" w:eastAsia="仿宋_GB2312"/>
          <w:sz w:val="32"/>
          <w:szCs w:val="32"/>
          <w:lang w:eastAsia="zh-CN"/>
        </w:rPr>
        <w:t>，</w:t>
      </w:r>
      <w:r>
        <w:rPr>
          <w:rFonts w:hint="default" w:ascii="仿宋_GB2312" w:hAnsi="黑体" w:eastAsia="仿宋_GB2312" w:cs="Times New Roman"/>
          <w:kern w:val="2"/>
          <w:sz w:val="32"/>
          <w:szCs w:val="32"/>
          <w:lang w:val="en-US" w:eastAsia="zh-CN" w:bidi="ar-SA"/>
        </w:rPr>
        <w:t>山东省</w:t>
      </w:r>
      <w:r>
        <w:rPr>
          <w:rFonts w:hint="eastAsia" w:ascii="仿宋_GB2312" w:hAnsi="黑体" w:eastAsia="仿宋_GB2312" w:cs="Times New Roman"/>
          <w:kern w:val="2"/>
          <w:sz w:val="32"/>
          <w:szCs w:val="32"/>
          <w:lang w:val="en-US" w:eastAsia="zh-CN" w:bidi="ar-SA"/>
        </w:rPr>
        <w:t>滕州市北辛</w:t>
      </w:r>
      <w:r>
        <w:rPr>
          <w:rFonts w:hint="default" w:ascii="仿宋_GB2312" w:hAnsi="黑体" w:eastAsia="仿宋_GB2312" w:cs="Times New Roman"/>
          <w:kern w:val="2"/>
          <w:sz w:val="32"/>
          <w:szCs w:val="32"/>
          <w:lang w:val="en-US" w:eastAsia="zh-CN" w:bidi="ar-SA"/>
        </w:rPr>
        <w:t>路</w:t>
      </w:r>
      <w:r>
        <w:rPr>
          <w:rFonts w:hint="eastAsia" w:ascii="仿宋_GB2312" w:hAnsi="黑体" w:eastAsia="仿宋_GB2312" w:cs="Times New Roman"/>
          <w:kern w:val="2"/>
          <w:sz w:val="32"/>
          <w:szCs w:val="32"/>
          <w:lang w:val="en-US" w:eastAsia="zh-CN" w:bidi="ar-SA"/>
        </w:rPr>
        <w:t>2600</w:t>
      </w:r>
      <w:r>
        <w:rPr>
          <w:rFonts w:hint="default" w:ascii="仿宋_GB2312" w:hAnsi="黑体" w:eastAsia="仿宋_GB2312" w:cs="Times New Roman"/>
          <w:kern w:val="2"/>
          <w:sz w:val="32"/>
          <w:szCs w:val="32"/>
          <w:lang w:val="en-US" w:eastAsia="zh-CN" w:bidi="ar-SA"/>
        </w:rPr>
        <w:t>号</w:t>
      </w:r>
      <w:r>
        <w:rPr>
          <w:rFonts w:hint="eastAsia" w:ascii="仿宋_GB2312" w:hAnsi="黑体" w:eastAsia="仿宋_GB2312" w:cs="Times New Roman"/>
          <w:kern w:val="2"/>
          <w:sz w:val="32"/>
          <w:szCs w:val="32"/>
          <w:lang w:val="en-US" w:eastAsia="zh-CN" w:bidi="ar-SA"/>
        </w:rPr>
        <w:t>滕州市政务服务中心三楼西338、337房间</w:t>
      </w:r>
      <w:r>
        <w:rPr>
          <w:rFonts w:hint="eastAsia" w:ascii="仿宋_GB2312" w:hAnsi="黑体" w:eastAsia="仿宋_GB2312"/>
          <w:sz w:val="32"/>
          <w:szCs w:val="32"/>
          <w:lang w:val="en-US" w:eastAsia="zh-CN"/>
        </w:rPr>
        <w:t>，</w:t>
      </w:r>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0632-5081896</w:t>
      </w:r>
      <w:r>
        <w:rPr>
          <w:rFonts w:ascii="仿宋_GB2312" w:hAnsi="黑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黑体"/>
          <w:b w:val="0"/>
          <w:sz w:val="32"/>
          <w:szCs w:val="32"/>
        </w:rPr>
        <w:t>二十</w:t>
      </w:r>
      <w:r>
        <w:rPr>
          <w:rFonts w:hint="eastAsia" w:ascii="黑体" w:hAnsi="黑体" w:eastAsia="黑体" w:cs="黑体"/>
          <w:b w:val="0"/>
          <w:sz w:val="32"/>
          <w:szCs w:val="32"/>
          <w:lang w:eastAsia="zh-CN"/>
        </w:rPr>
        <w:t>、</w:t>
      </w:r>
      <w:r>
        <w:rPr>
          <w:rFonts w:hint="eastAsia" w:ascii="黑体" w:hAnsi="黑体" w:eastAsia="黑体" w:cs="Times New Roman"/>
          <w:kern w:val="2"/>
          <w:sz w:val="32"/>
          <w:szCs w:val="32"/>
          <w:lang w:val="en-US" w:eastAsia="zh-CN" w:bidi="ar-SA"/>
        </w:rPr>
        <w:t>监督部门联系电话</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200" w:firstLine="320" w:firstLineChars="100"/>
        <w:jc w:val="left"/>
        <w:textAlignment w:val="auto"/>
        <w:outlineLvl w:val="9"/>
        <w:rPr>
          <w:rFonts w:hint="default" w:ascii="仿宋" w:hAnsi="仿宋" w:eastAsia="仿宋" w:cs="仿宋"/>
          <w:color w:val="3D3D3D"/>
          <w:sz w:val="32"/>
          <w:szCs w:val="32"/>
          <w:lang w:val="en-US" w:eastAsia="zh-CN"/>
        </w:rPr>
      </w:pPr>
      <w:r>
        <w:rPr>
          <w:rFonts w:hint="eastAsia" w:ascii="仿宋" w:hAnsi="仿宋" w:eastAsia="仿宋" w:cs="仿宋"/>
          <w:color w:val="3D3D3D"/>
          <w:sz w:val="32"/>
          <w:szCs w:val="32"/>
          <w:lang w:val="en-US" w:eastAsia="zh-CN"/>
        </w:rPr>
        <w:t>滕州市行政审批服务局政策</w:t>
      </w:r>
      <w:r>
        <w:rPr>
          <w:rFonts w:hint="eastAsia" w:ascii="仿宋" w:hAnsi="仿宋" w:eastAsia="仿宋" w:cs="仿宋"/>
          <w:color w:val="3D3D3D"/>
          <w:sz w:val="32"/>
          <w:szCs w:val="32"/>
          <w:lang w:eastAsia="zh-CN"/>
        </w:rPr>
        <w:t>法规科，</w:t>
      </w:r>
      <w:r>
        <w:rPr>
          <w:rFonts w:ascii="仿宋_GB2312" w:hAnsi="黑体" w:eastAsia="仿宋_GB2312"/>
          <w:sz w:val="32"/>
          <w:szCs w:val="32"/>
        </w:rPr>
        <w:t>电话</w:t>
      </w:r>
      <w:r>
        <w:rPr>
          <w:rFonts w:hint="eastAsia" w:ascii="仿宋" w:hAnsi="仿宋" w:eastAsia="仿宋" w:cs="仿宋"/>
          <w:color w:val="3D3D3D"/>
          <w:sz w:val="32"/>
          <w:szCs w:val="32"/>
        </w:rPr>
        <w:t>0632-</w:t>
      </w:r>
      <w:r>
        <w:rPr>
          <w:rFonts w:hint="eastAsia" w:ascii="仿宋" w:hAnsi="仿宋" w:eastAsia="仿宋" w:cs="仿宋"/>
          <w:color w:val="3D3D3D"/>
          <w:sz w:val="32"/>
          <w:szCs w:val="32"/>
          <w:lang w:val="en-US" w:eastAsia="zh-CN"/>
        </w:rPr>
        <w:t>5081890。</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lang w:eastAsia="zh-CN"/>
        </w:rPr>
        <w:t>二十一、</w:t>
      </w:r>
      <w:r>
        <w:rPr>
          <w:rFonts w:hint="eastAsia" w:ascii="黑体" w:hAnsi="黑体" w:eastAsia="黑体" w:cs="黑体"/>
          <w:b w:val="0"/>
          <w:sz w:val="32"/>
          <w:szCs w:val="32"/>
        </w:rPr>
        <w:t>空表、样表下载网址</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640" w:firstLineChars="200"/>
        <w:textAlignment w:val="auto"/>
        <w:outlineLvl w:val="9"/>
        <w:rPr>
          <w:rFonts w:hint="eastAsia" w:ascii="仿宋" w:hAnsi="仿宋" w:eastAsia="仿宋" w:cs="仿宋"/>
          <w:color w:val="3D3D3D"/>
          <w:sz w:val="32"/>
          <w:szCs w:val="32"/>
          <w:lang w:eastAsia="zh-CN"/>
        </w:rPr>
      </w:pPr>
      <w:r>
        <w:rPr>
          <w:rFonts w:hint="eastAsia" w:ascii="仿宋" w:hAnsi="仿宋" w:eastAsia="仿宋" w:cs="仿宋"/>
          <w:color w:val="3D3D3D"/>
          <w:sz w:val="32"/>
          <w:szCs w:val="32"/>
        </w:rPr>
        <w:t>山东政务服务网</w:t>
      </w:r>
      <w:r>
        <w:rPr>
          <w:rFonts w:hint="eastAsia" w:ascii="仿宋" w:hAnsi="仿宋" w:eastAsia="仿宋" w:cs="仿宋"/>
          <w:color w:val="3D3D3D"/>
          <w:sz w:val="32"/>
          <w:szCs w:val="32"/>
          <w:lang w:eastAsia="zh-CN"/>
        </w:rPr>
        <w:t>：</w:t>
      </w:r>
    </w:p>
    <w:p>
      <w:pPr>
        <w:ind w:firstLine="616" w:firstLineChars="200"/>
      </w:pPr>
      <w:r>
        <w:rPr>
          <w:rFonts w:hint="eastAsia" w:ascii="仿宋" w:hAnsi="仿宋" w:eastAsia="仿宋" w:cs="仿宋"/>
          <w:color w:val="3D3D3D"/>
          <w:spacing w:val="-6"/>
          <w:sz w:val="32"/>
          <w:szCs w:val="32"/>
        </w:rPr>
        <w:t>http://zztzzwfw.sd.gov.cn/tz/icity/project/index</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66311"/>
    <w:multiLevelType w:val="singleLevel"/>
    <w:tmpl w:val="9F866311"/>
    <w:lvl w:ilvl="0" w:tentative="0">
      <w:start w:val="1"/>
      <w:numFmt w:val="chineseCounting"/>
      <w:suff w:val="nothing"/>
      <w:lvlText w:val="（%1）"/>
      <w:lvlJc w:val="left"/>
      <w:rPr>
        <w:rFonts w:hint="eastAsia"/>
      </w:rPr>
    </w:lvl>
  </w:abstractNum>
  <w:abstractNum w:abstractNumId="1">
    <w:nsid w:val="FDFD1B95"/>
    <w:multiLevelType w:val="singleLevel"/>
    <w:tmpl w:val="FDFD1B95"/>
    <w:lvl w:ilvl="0" w:tentative="0">
      <w:start w:val="1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E3775"/>
    <w:rsid w:val="04904960"/>
    <w:rsid w:val="0F4342C8"/>
    <w:rsid w:val="15662C1D"/>
    <w:rsid w:val="369E3775"/>
    <w:rsid w:val="5799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2020-12-07T06:37:00Z</dcterms:created>
  <dc:creator>孟想的世界</dc:creator>
  <cp:lastModifiedBy>dell</cp:lastModifiedBy>
  <dcterms:modified xsi:type="dcterms:W3CDTF">2021-04-21T02:48:00Z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43CA4E76B59440F7B83C58490FFF05D4</vt:lpwstr>
  </property>
</Properties>
</file>