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粮食收购资格认定服务指南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事项名称：粮食收购资格认定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事项编号：3700000159001。</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《粮食流通管理条例》、《山东省粮食收购资格许可办法》、《山东省粮食收购管理办法》。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ascii="黑体" w:hAnsi="黑体" w:eastAsia="黑体"/>
          <w:sz w:val="32"/>
          <w:szCs w:val="32"/>
        </w:rPr>
        <w:t>三、</w:t>
      </w:r>
      <w:r>
        <w:rPr>
          <w:rFonts w:hint="eastAsia" w:ascii="黑体" w:hAnsi="黑体" w:eastAsia="黑体"/>
          <w:sz w:val="32"/>
          <w:szCs w:val="32"/>
          <w:lang w:eastAsia="zh-CN"/>
        </w:rPr>
        <w:t>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申请粮食收购资格许可，应当具备下列条件：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1.拥有或者通过租借具有200吨以上的粮食仓储设施；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2.具备一定的经营资金筹措能力，自有资金达到20万元以上；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3.具有水分测定仪、容重器、天平、磅秤等检验化验仪器和计量器具；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4.具有相应的粮食检验化验技术人员和保管人员。</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申请粮食收购资格许可，应当向许可机关提交下列材料：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1.《山东省粮食收购资格申请（延续）表》；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2.开户银行出具的自有资金证明；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3.仓储设施的产权证明或者有效租赁合同原件；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4.县级以上人民政府质量技术监督部门出具的检验化验仪器和计量器具合格的证明材料原件；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5.《检验化验保管人员基本情况表》。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rPr>
        <w:t>提交申请材料并受理</w:t>
      </w:r>
      <w:r>
        <w:rPr>
          <w:rFonts w:hint="eastAsia" w:ascii="仿宋" w:hAnsi="仿宋" w:eastAsia="仿宋" w:cs="仿宋"/>
          <w:color w:val="3D3D3D"/>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rPr>
      </w:pPr>
      <w:r>
        <w:rPr>
          <w:rFonts w:hint="eastAsia" w:ascii="仿宋" w:hAnsi="仿宋" w:eastAsia="仿宋" w:cs="仿宋"/>
          <w:color w:val="3D3D3D"/>
          <w:sz w:val="32"/>
          <w:szCs w:val="32"/>
        </w:rPr>
        <w:t>由符合条件的企业自愿网上或现场申请，报送申请材料。材料初审合格后，予以受理</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（二）现场审核</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对决定受理的申请，组织相关技术人员进对材料及现场技术审核并出具审核意见。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（三）办结并送达办理结果</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0" w:firstLineChars="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640" w:firstLineChars="200"/>
        <w:textAlignment w:val="auto"/>
        <w:rPr>
          <w:rFonts w:ascii="仿宋_GB2312" w:hAnsi="黑体" w:eastAsia="仿宋_GB2312"/>
          <w:sz w:val="32"/>
          <w:szCs w:val="32"/>
        </w:rPr>
      </w:pP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w:t>
      </w:r>
      <w:r>
        <w:rPr>
          <w:rFonts w:hint="eastAsia" w:ascii="仿宋" w:hAnsi="仿宋" w:eastAsia="仿宋" w:cs="仿宋"/>
          <w:color w:val="3D3D3D"/>
          <w:kern w:val="2"/>
          <w:sz w:val="32"/>
          <w:szCs w:val="32"/>
          <w:lang w:val="en-US" w:eastAsia="zh-CN" w:bidi="ar-SA"/>
        </w:rPr>
        <w:t>涉农事务</w:t>
      </w:r>
      <w:r>
        <w:rPr>
          <w:rFonts w:hint="eastAsia" w:ascii="仿宋_GB2312" w:hAnsi="黑体" w:eastAsia="仿宋_GB2312" w:cs="Times New Roman"/>
          <w:kern w:val="2"/>
          <w:sz w:val="32"/>
          <w:szCs w:val="32"/>
          <w:lang w:val="en-US" w:eastAsia="zh-CN" w:bidi="ar-SA"/>
        </w:rPr>
        <w:t>窗口（H325、H326、H327），</w:t>
      </w:r>
      <w:r>
        <w:rPr>
          <w:rFonts w:ascii="仿宋_GB2312" w:hAnsi="黑体" w:eastAsia="仿宋_GB2312"/>
          <w:sz w:val="32"/>
          <w:szCs w:val="32"/>
        </w:rPr>
        <w:t>电话</w:t>
      </w:r>
      <w:r>
        <w:rPr>
          <w:rFonts w:hint="eastAsia" w:ascii="仿宋_GB2312" w:hAnsi="黑体" w:eastAsia="仿宋_GB2312"/>
          <w:sz w:val="32"/>
          <w:szCs w:val="32"/>
          <w:lang w:eastAsia="zh-CN"/>
        </w:rPr>
        <w:t>：</w:t>
      </w:r>
      <w:r>
        <w:rPr>
          <w:rFonts w:hint="eastAsia" w:ascii="仿宋_GB2312" w:hAnsi="黑体" w:eastAsia="仿宋_GB2312" w:cs="Times New Roman"/>
          <w:kern w:val="2"/>
          <w:sz w:val="32"/>
          <w:szCs w:val="32"/>
          <w:lang w:val="en-US" w:eastAsia="zh-CN" w:bidi="ar-SA"/>
        </w:rPr>
        <w:t>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20个工作日。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66311"/>
    <w:multiLevelType w:val="singleLevel"/>
    <w:tmpl w:val="9F8663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47A70"/>
    <w:rsid w:val="3C047A70"/>
    <w:rsid w:val="5302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2020-12-07T03:27:00Z</dcterms:created>
  <dc:creator>孟想的世界</dc:creator>
  <cp:lastModifiedBy>孟想的世界</cp:lastModifiedBy>
  <dcterms:modified xsi:type="dcterms:W3CDTF">2020-12-08T02:00:47Z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