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sz w:val="44"/>
          <w:szCs w:val="44"/>
          <w:lang w:val="en-US" w:eastAsia="zh-CN"/>
        </w:rPr>
        <w:t>动物、动物产品检疫服务指南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事项名称：向无疫区输入（过境）易感动物或动物产品审批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《动物防疫法》（1997年7月3日中华人民共和国主席令第87号，2015年4月24日第三次修订）第四十五条；《动物检疫管理办法》（2010年1月21日农业部令第6号）第二章 检疫申报 第八条。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1.来自非封锁区或者未发生相关动物疫情的饲养场 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2.按照国家规定进行了强制免疫，并在有效保护期内 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3.临床检查健康 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4.农业部规定需要进行实验室疫病检测的，检测结果符合要求 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5.养殖档案相关记录和畜禽标识符合农业部规定。乳用、种用动物和宠物，还应当符合农业部规定的健康标准。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办理动物、动物产品检疫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1、检疫申报单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2、提供动物及动物产品的运载方式、运载工具号码、承运人及联系方式，还需提供运载工具的消毒方式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3、免疫证号或牲畜耳标号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机构，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必要时进行实验室送检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</w:t>
      </w:r>
      <w:r>
        <w:rPr>
          <w:rFonts w:hint="eastAsia" w:ascii="仿宋_GB2312" w:eastAsia="仿宋_GB2312" w:cs="仿宋_GB2312"/>
          <w:sz w:val="32"/>
          <w:szCs w:val="40"/>
          <w:lang w:val="en-US" w:eastAsia="zh-CN"/>
        </w:rPr>
        <w:t>实验室检测</w:t>
      </w:r>
      <w:r>
        <w:rPr>
          <w:rFonts w:hint="eastAsia" w:ascii="仿宋_GB2312" w:eastAsia="仿宋_GB2312" w:cs="仿宋_GB2312"/>
          <w:sz w:val="32"/>
          <w:szCs w:val="40"/>
        </w:rPr>
        <w:t>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1730E"/>
    <w:rsid w:val="53A1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2020-12-07T09:23:00Z</dcterms:created>
  <dc:creator>孟想的世界</dc:creator>
  <cp:lastModifiedBy>孟想的世界</cp:lastModifiedBy>
  <dcterms:modified xsi:type="dcterms:W3CDTF">2020-12-07T09:28:27Z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