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采伐林木许可审批服务指南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事项名称：采伐林木许可</w:t>
      </w:r>
      <w:r>
        <w:rPr>
          <w:rFonts w:hint="eastAsia" w:ascii="仿宋_GB2312" w:hAnsi="宋体" w:eastAsia="仿宋_GB2312" w:cs="宋体"/>
          <w:kern w:val="0"/>
          <w:sz w:val="32"/>
          <w:szCs w:val="32"/>
          <w:lang w:val="en-US" w:eastAsia="zh-CN"/>
        </w:rPr>
        <w:t>审批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事项编号：3700000115036。</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1、《山东省森林资源条例》第三十六条</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2、《森林法》3、《森林法实施条例》。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1申请单位有年森林采伐限额指标；</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2上年度采伐后完成更新造林任务；</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3上年度发生重大滥伐案件、森林火灾或者大面积严重森林病虫害已采取预防和改进措施；</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4防护林和特种用途林进行抚育或更新性质的采伐，且不在封山育林期、育林区的；</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5、采伐林木权属清楚6、证件和有关材料齐全、真实、合法。</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_GB2312" w:hAnsi="宋体" w:eastAsia="仿宋_GB2312" w:cs="宋体"/>
          <w:kern w:val="0"/>
          <w:sz w:val="32"/>
          <w:szCs w:val="32"/>
          <w:lang w:val="en-US" w:eastAsia="zh-CN"/>
        </w:rPr>
        <w:t>办理</w:t>
      </w:r>
      <w:r>
        <w:rPr>
          <w:rFonts w:hint="eastAsia" w:ascii="仿宋_GB2312" w:hAnsi="宋体" w:eastAsia="仿宋_GB2312" w:cs="宋体"/>
          <w:kern w:val="0"/>
          <w:sz w:val="32"/>
          <w:szCs w:val="32"/>
          <w:lang w:eastAsia="zh-CN"/>
        </w:rPr>
        <w:t>采伐林木许可</w:t>
      </w:r>
      <w:r>
        <w:rPr>
          <w:rFonts w:hint="eastAsia" w:ascii="仿宋_GB2312" w:hAnsi="宋体" w:eastAsia="仿宋_GB2312" w:cs="宋体"/>
          <w:kern w:val="0"/>
          <w:sz w:val="32"/>
          <w:szCs w:val="32"/>
          <w:lang w:val="en-US" w:eastAsia="zh-CN"/>
        </w:rPr>
        <w:t>审批</w:t>
      </w:r>
      <w:r>
        <w:rPr>
          <w:rFonts w:hint="eastAsia" w:ascii="仿宋" w:hAnsi="仿宋" w:eastAsia="仿宋" w:cs="仿宋"/>
          <w:color w:val="3D3D3D"/>
          <w:sz w:val="32"/>
          <w:szCs w:val="32"/>
          <w:lang w:val="en-US" w:eastAsia="zh-CN"/>
        </w:rPr>
        <w:t>，应当提交下列材料：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1采伐林木申请书；</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2具有法律效力的林权证明材料；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3上年度采伐林木的更新证明；</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4.采伐作业设计书；</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5.国有林业企业事业单位还应当提交采伐区调查设计文件和上年度采伐更新验收证明；</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6.其他单位还应当提交包括采伐林木的目的、地点、林种、林况、面积、蓄积量、方式和更新措施等内容的文件；</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7. 个人还应当提交包括采伐林木的地点、面积、树种、株数、蓄积量、更新时间等内容的文件；</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lang w:eastAsia="zh-CN"/>
        </w:rPr>
        <w:t>申请材料真实性、合法性声明。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提交申请材料并受理</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由符合条件的企业自愿网上或现场申请，报送申请材料。材料初审合格后，予以受理</w:t>
      </w:r>
      <w:r>
        <w:rPr>
          <w:rFonts w:hint="eastAsia" w:ascii="仿宋_GB2312" w:eastAsia="仿宋_GB2312"/>
          <w:sz w:val="32"/>
          <w:szCs w:val="32"/>
          <w:lang w:eastAsia="zh-CN"/>
        </w:rPr>
        <w:t>。</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（二）现场审核</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对决定受理的申请，组织相关技术人员进对材料及现场技术审核并出具审核意见。</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（三）办结并送达办理结果</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320" w:firstLineChars="10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3"/>
        <w:keepNext w:val="0"/>
        <w:keepLines w:val="0"/>
        <w:pageBreakBefore w:val="0"/>
        <w:widowControl/>
        <w:suppressLineNumbers w:val="0"/>
        <w:kinsoku/>
        <w:wordWrap/>
        <w:overflowPunct/>
        <w:topLinePunct w:val="0"/>
        <w:autoSpaceDE/>
        <w:autoSpaceDN/>
        <w:bidi w:val="0"/>
        <w:spacing w:line="460" w:lineRule="exact"/>
        <w:ind w:firstLine="960" w:firstLineChars="300"/>
        <w:textAlignment w:val="auto"/>
        <w:rPr>
          <w:rFonts w:hint="eastAsia" w:ascii="仿宋" w:hAnsi="仿宋" w:eastAsia="仿宋" w:cs="仿宋"/>
          <w:color w:val="3D3D3D"/>
          <w:kern w:val="2"/>
          <w:sz w:val="32"/>
          <w:szCs w:val="32"/>
          <w:lang w:val="en-US" w:eastAsia="zh-CN" w:bidi="ar-SA"/>
        </w:rPr>
      </w:pPr>
      <w:r>
        <w:rPr>
          <w:rFonts w:hint="default" w:ascii="仿宋" w:hAnsi="仿宋" w:eastAsia="仿宋" w:cs="仿宋"/>
          <w:color w:val="3D3D3D"/>
          <w:kern w:val="2"/>
          <w:sz w:val="32"/>
          <w:szCs w:val="32"/>
          <w:lang w:val="en-US" w:eastAsia="zh-CN" w:bidi="ar-SA"/>
        </w:rPr>
        <w:t>山东省</w:t>
      </w:r>
      <w:r>
        <w:rPr>
          <w:rFonts w:hint="eastAsia" w:ascii="仿宋" w:hAnsi="仿宋" w:eastAsia="仿宋" w:cs="仿宋"/>
          <w:color w:val="3D3D3D"/>
          <w:kern w:val="2"/>
          <w:sz w:val="32"/>
          <w:szCs w:val="32"/>
          <w:lang w:val="en-US" w:eastAsia="zh-CN" w:bidi="ar-SA"/>
        </w:rPr>
        <w:t>滕州市北辛</w:t>
      </w:r>
      <w:r>
        <w:rPr>
          <w:rFonts w:hint="default" w:ascii="仿宋" w:hAnsi="仿宋" w:eastAsia="仿宋" w:cs="仿宋"/>
          <w:color w:val="3D3D3D"/>
          <w:kern w:val="2"/>
          <w:sz w:val="32"/>
          <w:szCs w:val="32"/>
          <w:lang w:val="en-US" w:eastAsia="zh-CN" w:bidi="ar-SA"/>
        </w:rPr>
        <w:t>路</w:t>
      </w:r>
      <w:r>
        <w:rPr>
          <w:rFonts w:hint="eastAsia" w:ascii="仿宋" w:hAnsi="仿宋" w:eastAsia="仿宋" w:cs="仿宋"/>
          <w:color w:val="3D3D3D"/>
          <w:kern w:val="2"/>
          <w:sz w:val="32"/>
          <w:szCs w:val="32"/>
          <w:lang w:val="en-US" w:eastAsia="zh-CN" w:bidi="ar-SA"/>
        </w:rPr>
        <w:t>2600</w:t>
      </w:r>
      <w:r>
        <w:rPr>
          <w:rFonts w:hint="default" w:ascii="仿宋" w:hAnsi="仿宋" w:eastAsia="仿宋" w:cs="仿宋"/>
          <w:color w:val="3D3D3D"/>
          <w:kern w:val="2"/>
          <w:sz w:val="32"/>
          <w:szCs w:val="32"/>
          <w:lang w:val="en-US" w:eastAsia="zh-CN" w:bidi="ar-SA"/>
        </w:rPr>
        <w:t>号</w:t>
      </w:r>
      <w:r>
        <w:rPr>
          <w:rFonts w:hint="eastAsia" w:ascii="仿宋" w:hAnsi="仿宋" w:eastAsia="仿宋" w:cs="仿宋"/>
          <w:color w:val="3D3D3D"/>
          <w:kern w:val="2"/>
          <w:sz w:val="32"/>
          <w:szCs w:val="32"/>
          <w:lang w:val="en-US" w:eastAsia="zh-CN" w:bidi="ar-SA"/>
        </w:rPr>
        <w:t>滕州市政务服务中心三楼西涉农事务</w:t>
      </w:r>
      <w:bookmarkStart w:id="0" w:name="_GoBack"/>
      <w:bookmarkEnd w:id="0"/>
      <w:r>
        <w:rPr>
          <w:rFonts w:hint="eastAsia" w:ascii="仿宋" w:hAnsi="仿宋" w:eastAsia="仿宋" w:cs="仿宋"/>
          <w:color w:val="3D3D3D"/>
          <w:kern w:val="2"/>
          <w:sz w:val="32"/>
          <w:szCs w:val="32"/>
          <w:lang w:val="en-US" w:eastAsia="zh-CN" w:bidi="ar-SA"/>
        </w:rPr>
        <w:t>窗口（H325、H326、H327），电话：0632-5081895。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2"/>
        <w:keepNext w:val="0"/>
        <w:keepLines w:val="0"/>
        <w:pageBreakBefore w:val="0"/>
        <w:widowControl w:val="0"/>
        <w:numPr>
          <w:ilvl w:val="0"/>
          <w:numId w:val="0"/>
        </w:numPr>
        <w:tabs>
          <w:tab w:val="left" w:pos="385"/>
        </w:tabs>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20个工作日。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1个工作日</w:t>
      </w:r>
      <w:r>
        <w:rPr>
          <w:rFonts w:hint="eastAsia" w:ascii="仿宋_GB2312" w:eastAsia="仿宋_GB2312" w:cs="仿宋_GB2312"/>
          <w:sz w:val="32"/>
          <w:szCs w:val="40"/>
        </w:rPr>
        <w:t>（不包含实地核查时间）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2"/>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7854"/>
    <w:rsid w:val="2A863B1F"/>
    <w:rsid w:val="5F74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2020-12-07T07:57:00Z</dcterms:created>
  <dc:creator>孟想的世界</dc:creator>
  <cp:lastModifiedBy>孟想的世界</cp:lastModifiedBy>
  <dcterms:modified xsi:type="dcterms:W3CDTF">2020-12-07T10:03:59Z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