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28"/>
          <w:szCs w:val="28"/>
        </w:rPr>
      </w:pPr>
      <w:bookmarkStart w:id="0" w:name="_GoBack"/>
      <w:bookmarkEnd w:id="0"/>
      <w:r>
        <w:rPr>
          <w:rFonts w:hint="eastAsia" w:asciiTheme="minorEastAsia" w:hAnsiTheme="minorEastAsia"/>
          <w:sz w:val="28"/>
          <w:szCs w:val="28"/>
        </w:rPr>
        <w:t>附件一</w:t>
      </w:r>
    </w:p>
    <w:tbl>
      <w:tblPr>
        <w:tblStyle w:val="5"/>
        <w:tblW w:w="9086" w:type="dxa"/>
        <w:tblInd w:w="94" w:type="dxa"/>
        <w:tblLayout w:type="fixed"/>
        <w:tblCellMar>
          <w:top w:w="0" w:type="dxa"/>
          <w:left w:w="108" w:type="dxa"/>
          <w:bottom w:w="0" w:type="dxa"/>
          <w:right w:w="108" w:type="dxa"/>
        </w:tblCellMar>
      </w:tblPr>
      <w:tblGrid>
        <w:gridCol w:w="1857"/>
        <w:gridCol w:w="1701"/>
        <w:gridCol w:w="5528"/>
      </w:tblGrid>
      <w:tr>
        <w:tblPrEx>
          <w:tblLayout w:type="fixed"/>
          <w:tblCellMar>
            <w:top w:w="0" w:type="dxa"/>
            <w:left w:w="108" w:type="dxa"/>
            <w:bottom w:w="0" w:type="dxa"/>
            <w:right w:w="108" w:type="dxa"/>
          </w:tblCellMar>
        </w:tblPrEx>
        <w:trPr>
          <w:trHeight w:val="720" w:hRule="atLeast"/>
        </w:trPr>
        <w:tc>
          <w:tcPr>
            <w:tcW w:w="9086" w:type="dxa"/>
            <w:gridSpan w:val="3"/>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枣庄市基本医疗保险特殊药品明细表</w:t>
            </w:r>
          </w:p>
        </w:tc>
      </w:tr>
      <w:tr>
        <w:tblPrEx>
          <w:tblLayout w:type="fixed"/>
          <w:tblCellMar>
            <w:top w:w="0" w:type="dxa"/>
            <w:left w:w="108" w:type="dxa"/>
            <w:bottom w:w="0" w:type="dxa"/>
            <w:right w:w="108" w:type="dxa"/>
          </w:tblCellMar>
        </w:tblPrEx>
        <w:trPr>
          <w:trHeight w:val="675" w:hRule="atLeast"/>
        </w:trPr>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剂型</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限定支付范围</w:t>
            </w:r>
          </w:p>
        </w:tc>
      </w:tr>
      <w:tr>
        <w:tblPrEx>
          <w:tblLayout w:type="fixed"/>
          <w:tblCellMar>
            <w:top w:w="0" w:type="dxa"/>
            <w:left w:w="108" w:type="dxa"/>
            <w:bottom w:w="0" w:type="dxa"/>
            <w:right w:w="108" w:type="dxa"/>
          </w:tblCellMar>
        </w:tblPrEx>
        <w:trPr>
          <w:trHeight w:val="657"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利拉鲁肽</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限二甲双胍等口服降糖药或胰岛素控制效果不佳的BMI≥25的患者，并需二级及以上医疗机构专科医师处方。</w:t>
            </w:r>
          </w:p>
        </w:tc>
      </w:tr>
      <w:tr>
        <w:tblPrEx>
          <w:tblLayout w:type="fixed"/>
          <w:tblCellMar>
            <w:top w:w="0" w:type="dxa"/>
            <w:left w:w="108" w:type="dxa"/>
            <w:bottom w:w="0" w:type="dxa"/>
            <w:right w:w="108" w:type="dxa"/>
          </w:tblCellMar>
        </w:tblPrEx>
        <w:trPr>
          <w:trHeight w:val="55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替格瑞洛</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限急性冠脉综合症患者，支付不超过12个月。</w:t>
            </w:r>
          </w:p>
        </w:tc>
      </w:tr>
      <w:tr>
        <w:tblPrEx>
          <w:tblLayout w:type="fixed"/>
          <w:tblCellMar>
            <w:top w:w="0" w:type="dxa"/>
            <w:left w:w="108" w:type="dxa"/>
            <w:bottom w:w="0" w:type="dxa"/>
            <w:right w:w="108" w:type="dxa"/>
          </w:tblCellMar>
        </w:tblPrEx>
        <w:trPr>
          <w:trHeight w:val="547"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重组人尿激酶原</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限急性心肌梗死发病12小时内使用。</w:t>
            </w:r>
          </w:p>
        </w:tc>
      </w:tr>
      <w:tr>
        <w:tblPrEx>
          <w:tblLayout w:type="fixed"/>
          <w:tblCellMar>
            <w:top w:w="0" w:type="dxa"/>
            <w:left w:w="108" w:type="dxa"/>
            <w:bottom w:w="0" w:type="dxa"/>
            <w:right w:w="108" w:type="dxa"/>
          </w:tblCellMar>
        </w:tblPrEx>
        <w:trPr>
          <w:trHeight w:val="141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重组人凝血因子Ⅶa</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以下情况方可支付：1、凝血因子Ⅷ或Ⅸ的抑制物&gt;5BU的先天性血友病患者。2、获得性血友病患者。3、先天性FVII缺乏症患者。4、具有GPIIb-IIIa和/或HLA抗体和既往或现在对血小板输注无效或不佳的血小板无力症患者。</w:t>
            </w:r>
          </w:p>
        </w:tc>
      </w:tr>
      <w:tr>
        <w:tblPrEx>
          <w:tblLayout w:type="fixed"/>
          <w:tblCellMar>
            <w:top w:w="0" w:type="dxa"/>
            <w:left w:w="108" w:type="dxa"/>
            <w:bottom w:w="0" w:type="dxa"/>
            <w:right w:w="108" w:type="dxa"/>
          </w:tblCellMar>
        </w:tblPrEx>
        <w:trPr>
          <w:trHeight w:val="831"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重组人脑利钠肽</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限二级及以上医疗机构用于规范治疗效果不佳的急性失代偿性心力衰竭短期治疗，单次住院支付不超过3天。</w:t>
            </w:r>
          </w:p>
        </w:tc>
      </w:tr>
      <w:tr>
        <w:tblPrEx>
          <w:tblLayout w:type="fixed"/>
          <w:tblCellMar>
            <w:top w:w="0" w:type="dxa"/>
            <w:left w:w="108" w:type="dxa"/>
            <w:bottom w:w="0" w:type="dxa"/>
            <w:right w:w="108" w:type="dxa"/>
          </w:tblCellMar>
        </w:tblPrEx>
        <w:trPr>
          <w:trHeight w:val="130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托伐普坦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限明显的高容量性和正常容量性低钠血症（血钠浓度&lt;125mEq/L，或低钠血症不明显但有症状且限液治疗效果不佳），包括伴有心力衰竭/肝硬化以及抗利尿剂激素分泌异常综合征的患者。</w:t>
            </w:r>
          </w:p>
        </w:tc>
      </w:tr>
      <w:tr>
        <w:tblPrEx>
          <w:tblLayout w:type="fixed"/>
          <w:tblCellMar>
            <w:top w:w="0" w:type="dxa"/>
            <w:left w:w="108" w:type="dxa"/>
            <w:bottom w:w="0" w:type="dxa"/>
            <w:right w:w="108" w:type="dxa"/>
          </w:tblCellMar>
        </w:tblPrEx>
        <w:trPr>
          <w:trHeight w:val="446"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阿利沙坦酯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8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吗啉硝唑氯化钠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限二线用药。</w:t>
            </w:r>
          </w:p>
        </w:tc>
      </w:tr>
      <w:tr>
        <w:tblPrEx>
          <w:tblLayout w:type="fixed"/>
          <w:tblCellMar>
            <w:top w:w="0" w:type="dxa"/>
            <w:left w:w="108" w:type="dxa"/>
            <w:bottom w:w="0" w:type="dxa"/>
            <w:right w:w="108" w:type="dxa"/>
          </w:tblCellMar>
        </w:tblPrEx>
        <w:trPr>
          <w:trHeight w:val="138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泊沙康唑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口服液体剂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限以下情况方可支付：1.预防移植后（干细胞及实体器官移植）及恶性肿瘤患者有重度粒细胞缺乏的侵袭性曲霉菌和念球菌感染。2.伊曲康唑或氟康唑难治性口咽念珠菌病。3.接合菌纲类感染。</w:t>
            </w:r>
          </w:p>
        </w:tc>
      </w:tr>
      <w:tr>
        <w:tblPrEx>
          <w:tblLayout w:type="fixed"/>
          <w:tblCellMar>
            <w:top w:w="0" w:type="dxa"/>
            <w:left w:w="108" w:type="dxa"/>
            <w:bottom w:w="0" w:type="dxa"/>
            <w:right w:w="108" w:type="dxa"/>
          </w:tblCellMar>
        </w:tblPrEx>
        <w:trPr>
          <w:trHeight w:val="99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曲妥珠单抗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限以下情况方可支付：1.HER2阳性的乳腺癌手术后患者，支付不超过12个月。2.HER2阳性的转移性乳腺癌。3.HER2阳性的晚期转移性胃癌。</w:t>
            </w:r>
          </w:p>
        </w:tc>
      </w:tr>
      <w:tr>
        <w:tblPrEx>
          <w:tblLayout w:type="fixed"/>
          <w:tblCellMar>
            <w:top w:w="0" w:type="dxa"/>
            <w:left w:w="108" w:type="dxa"/>
            <w:bottom w:w="0" w:type="dxa"/>
            <w:right w:w="108" w:type="dxa"/>
          </w:tblCellMar>
        </w:tblPrEx>
        <w:trPr>
          <w:trHeight w:val="50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贝伐珠单抗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限晚期转移性结直肠癌或晚期非鳞非小细胞肺癌。</w:t>
            </w:r>
          </w:p>
        </w:tc>
      </w:tr>
      <w:tr>
        <w:tblPrEx>
          <w:tblLayout w:type="fixed"/>
          <w:tblCellMar>
            <w:top w:w="0" w:type="dxa"/>
            <w:left w:w="108" w:type="dxa"/>
            <w:bottom w:w="0" w:type="dxa"/>
            <w:right w:w="108" w:type="dxa"/>
          </w:tblCellMar>
        </w:tblPrEx>
        <w:trPr>
          <w:trHeight w:val="72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尼妥珠单抗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限与放疗联合治疗表皮生长因子受体(EGFR)表达阳性的Ⅲ/Ⅳ期鼻咽癌。</w:t>
            </w:r>
          </w:p>
        </w:tc>
      </w:tr>
      <w:tr>
        <w:tblPrEx>
          <w:tblLayout w:type="fixed"/>
          <w:tblCellMar>
            <w:top w:w="0" w:type="dxa"/>
            <w:left w:w="108" w:type="dxa"/>
            <w:bottom w:w="0" w:type="dxa"/>
            <w:right w:w="108" w:type="dxa"/>
          </w:tblCellMar>
        </w:tblPrEx>
        <w:trPr>
          <w:trHeight w:val="1380" w:hRule="atLeast"/>
        </w:trPr>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利妥昔单抗</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限复发或耐药的滤泡性中央型淋巴瘤（国际工作分类B、C和D亚型的B细胞非霍奇金淋巴瘤），CD20阳性Ⅲ-Ⅳ期滤泡性非霍奇金淋巴瘤，CD20阳性弥漫大B细胞性非霍奇金淋巴瘤；最多支付8个疗程。</w:t>
            </w:r>
          </w:p>
        </w:tc>
      </w:tr>
      <w:tr>
        <w:tblPrEx>
          <w:tblLayout w:type="fixed"/>
          <w:tblCellMar>
            <w:top w:w="0" w:type="dxa"/>
            <w:left w:w="108" w:type="dxa"/>
            <w:bottom w:w="0" w:type="dxa"/>
            <w:right w:w="108" w:type="dxa"/>
          </w:tblCellMar>
        </w:tblPrEx>
        <w:trPr>
          <w:trHeight w:val="675" w:hRule="atLeast"/>
        </w:trPr>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厄洛替尼</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限EGFR基因敏感突变的晚期非小细胞肺癌。</w:t>
            </w:r>
          </w:p>
        </w:tc>
      </w:tr>
      <w:tr>
        <w:tblPrEx>
          <w:tblLayout w:type="fixed"/>
          <w:tblCellMar>
            <w:top w:w="0" w:type="dxa"/>
            <w:left w:w="108" w:type="dxa"/>
            <w:bottom w:w="0" w:type="dxa"/>
            <w:right w:w="108" w:type="dxa"/>
          </w:tblCellMar>
        </w:tblPrEx>
        <w:trPr>
          <w:trHeight w:val="105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索拉非尼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限以下情况方可支付：1.不能手术的肾细胞癌。2.不能手术或远处转移的肝细胞癌。3.放射性碘治疗无效的局部复发或转移性、分化型甲状腺癌。</w:t>
            </w:r>
          </w:p>
        </w:tc>
      </w:tr>
      <w:tr>
        <w:tblPrEx>
          <w:tblLayout w:type="fixed"/>
          <w:tblCellMar>
            <w:top w:w="0" w:type="dxa"/>
            <w:left w:w="108" w:type="dxa"/>
            <w:bottom w:w="0" w:type="dxa"/>
            <w:right w:w="108" w:type="dxa"/>
          </w:tblCellMar>
        </w:tblPrEx>
        <w:trPr>
          <w:trHeight w:val="91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拉帕替尼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限HER2过表达且既往接受过包括蒽环类、紫杉醇、曲妥珠单抗治疗的晚期或转移性乳腺癌。</w:t>
            </w:r>
          </w:p>
        </w:tc>
      </w:tr>
      <w:tr>
        <w:tblPrEx>
          <w:tblLayout w:type="fixed"/>
          <w:tblCellMar>
            <w:top w:w="0" w:type="dxa"/>
            <w:left w:w="108" w:type="dxa"/>
            <w:bottom w:w="0" w:type="dxa"/>
            <w:right w:w="108" w:type="dxa"/>
          </w:tblCellMar>
        </w:tblPrEx>
        <w:trPr>
          <w:trHeight w:val="78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阿帕替尼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限既往至少接受过2种系统化疗后进展或复发的晚期胃腺癌或胃-食管结合部腺癌患者。</w:t>
            </w:r>
          </w:p>
        </w:tc>
      </w:tr>
      <w:tr>
        <w:tblPrEx>
          <w:tblLayout w:type="fixed"/>
          <w:tblCellMar>
            <w:top w:w="0" w:type="dxa"/>
            <w:left w:w="108" w:type="dxa"/>
            <w:bottom w:w="0" w:type="dxa"/>
            <w:right w:w="108" w:type="dxa"/>
          </w:tblCellMar>
        </w:tblPrEx>
        <w:trPr>
          <w:trHeight w:val="141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硼替佐米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限多发性骨髓瘤、复发或难治性套细胞淋巴瘤患者，并满足以下条件：1、每2个疗程需提供治疗有效的证据后方可继续支付；2、由三级医院血液专科或血液专科医院医师处方；3、与来那度胺联合使用不予支付。</w:t>
            </w:r>
          </w:p>
        </w:tc>
      </w:tr>
      <w:tr>
        <w:tblPrEx>
          <w:tblLayout w:type="fixed"/>
          <w:tblCellMar>
            <w:top w:w="0" w:type="dxa"/>
            <w:left w:w="108" w:type="dxa"/>
            <w:bottom w:w="0" w:type="dxa"/>
            <w:right w:w="108" w:type="dxa"/>
          </w:tblCellMar>
        </w:tblPrEx>
        <w:trPr>
          <w:trHeight w:val="58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重组人血管内皮抑制素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限晚期非小细胞肺癌患者。</w:t>
            </w:r>
          </w:p>
        </w:tc>
      </w:tr>
      <w:tr>
        <w:tblPrEx>
          <w:tblLayout w:type="fixed"/>
          <w:tblCellMar>
            <w:top w:w="0" w:type="dxa"/>
            <w:left w:w="108" w:type="dxa"/>
            <w:bottom w:w="0" w:type="dxa"/>
            <w:right w:w="108" w:type="dxa"/>
          </w:tblCellMar>
        </w:tblPrEx>
        <w:trPr>
          <w:trHeight w:val="75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西达本胺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限既往至少接受过一次全身化疗的复发或难治的外周T细胞淋巴瘤（PTCL）患者。</w:t>
            </w:r>
          </w:p>
        </w:tc>
      </w:tr>
      <w:tr>
        <w:tblPrEx>
          <w:tblLayout w:type="fixed"/>
          <w:tblCellMar>
            <w:top w:w="0" w:type="dxa"/>
            <w:left w:w="108" w:type="dxa"/>
            <w:bottom w:w="0" w:type="dxa"/>
            <w:right w:w="108" w:type="dxa"/>
          </w:tblCellMar>
        </w:tblPrEx>
        <w:trPr>
          <w:trHeight w:val="57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阿比特龙</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限转移性去势抵抗性前列腺癌。</w:t>
            </w:r>
          </w:p>
        </w:tc>
      </w:tr>
      <w:tr>
        <w:tblPrEx>
          <w:tblLayout w:type="fixed"/>
          <w:tblCellMar>
            <w:top w:w="0" w:type="dxa"/>
            <w:left w:w="108" w:type="dxa"/>
            <w:bottom w:w="0" w:type="dxa"/>
            <w:right w:w="108" w:type="dxa"/>
          </w:tblCellMar>
        </w:tblPrEx>
        <w:trPr>
          <w:trHeight w:val="75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氟维司群</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限芳香化酶抑制剂治疗失败后的晚期、激素受体（ER/PR）阳性乳腺癌治疗。</w:t>
            </w:r>
          </w:p>
        </w:tc>
      </w:tr>
      <w:tr>
        <w:tblPrEx>
          <w:tblLayout w:type="fixed"/>
          <w:tblCellMar>
            <w:top w:w="0" w:type="dxa"/>
            <w:left w:w="108" w:type="dxa"/>
            <w:bottom w:w="0" w:type="dxa"/>
            <w:right w:w="108" w:type="dxa"/>
          </w:tblCellMar>
        </w:tblPrEx>
        <w:trPr>
          <w:trHeight w:val="57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重组人干扰素β-1b</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限常规治疗无效的多发性硬化患者。</w:t>
            </w:r>
          </w:p>
        </w:tc>
      </w:tr>
      <w:tr>
        <w:tblPrEx>
          <w:tblLayout w:type="fixed"/>
          <w:tblCellMar>
            <w:top w:w="0" w:type="dxa"/>
            <w:left w:w="108" w:type="dxa"/>
            <w:bottom w:w="0" w:type="dxa"/>
            <w:right w:w="108" w:type="dxa"/>
          </w:tblCellMar>
        </w:tblPrEx>
        <w:trPr>
          <w:trHeight w:val="175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依维莫司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限以下情况方可支付：1.接受舒尼替尼或索拉非尼治疗失败的晚期肾细胞癌成人患者。2.不可切除的、局部晚期或转移性的、分化良好的（中度分化或高度分化）进展期胰腺神经内分泌瘤成人患者。3.不需立即手术治疗的结节性硬化症相关的肾血管平滑肌脂肪瘤（TSC-AML)成人患者。</w:t>
            </w:r>
          </w:p>
        </w:tc>
      </w:tr>
      <w:tr>
        <w:tblPrEx>
          <w:tblLayout w:type="fixed"/>
          <w:tblCellMar>
            <w:top w:w="0" w:type="dxa"/>
            <w:left w:w="108" w:type="dxa"/>
            <w:bottom w:w="0" w:type="dxa"/>
            <w:right w:w="108" w:type="dxa"/>
          </w:tblCellMar>
        </w:tblPrEx>
        <w:trPr>
          <w:trHeight w:val="167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来那度胺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曾接受过至少一种疗法的多发性骨髓瘤的成年患者，并满足以下条件：1、每2个疗程需提供治疗有效的证据后方可继续支付；2、由三级医院血液专科或血液专科医院医师处方；3、与硼替佐米联合使用不予支付。</w:t>
            </w:r>
          </w:p>
        </w:tc>
      </w:tr>
      <w:tr>
        <w:tblPrEx>
          <w:tblLayout w:type="fixed"/>
          <w:tblCellMar>
            <w:top w:w="0" w:type="dxa"/>
            <w:left w:w="108" w:type="dxa"/>
            <w:bottom w:w="0" w:type="dxa"/>
            <w:right w:w="108" w:type="dxa"/>
          </w:tblCellMar>
        </w:tblPrEx>
        <w:trPr>
          <w:trHeight w:val="655" w:hRule="atLeast"/>
        </w:trPr>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喹硫平</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缓释控释剂型</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8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帕罗西汀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肠溶缓释片</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860" w:hRule="atLeast"/>
        </w:trPr>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康柏西普</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眼用注射液</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50岁以上湿性年龄相关性黄斑变性患者，并符合以下条件：1.需三级综合医院眼科或二级及以上眼科专科医院医师处方；2.病眼基线矫正视力0.05-0.5；3.事前审查后方可用，初次申请需有血管造影及OCT（全身情况不允许的患者可以提供OCT血管成像）证据；4.每眼累计最多支付9支，每个年度最多支付4支。</w:t>
            </w:r>
          </w:p>
        </w:tc>
      </w:tr>
      <w:tr>
        <w:tblPrEx>
          <w:tblLayout w:type="fixed"/>
          <w:tblCellMar>
            <w:top w:w="0" w:type="dxa"/>
            <w:left w:w="108" w:type="dxa"/>
            <w:bottom w:w="0" w:type="dxa"/>
            <w:right w:w="108" w:type="dxa"/>
          </w:tblCellMar>
        </w:tblPrEx>
        <w:trPr>
          <w:trHeight w:val="198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雷珠单抗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50岁以上湿性年龄相关性黄斑变性患者，并符合以下条件：1.需三级综合医院眼科或二级及以上眼科专科医院医师处方；2.病眼基线矫正视力0.05-0.5；3.事前审查后方可用，初次申请需有血管造影及OCT（全身情况不允许的患者可以提供OCT血管成像）证据；4. .每眼累计最多支付9支，每个年度最多支付4支。</w:t>
            </w:r>
          </w:p>
        </w:tc>
      </w:tr>
      <w:tr>
        <w:tblPrEx>
          <w:tblLayout w:type="fixed"/>
          <w:tblCellMar>
            <w:top w:w="0" w:type="dxa"/>
            <w:left w:w="108" w:type="dxa"/>
            <w:bottom w:w="0" w:type="dxa"/>
            <w:right w:w="108" w:type="dxa"/>
          </w:tblCellMar>
        </w:tblPrEx>
        <w:trPr>
          <w:trHeight w:val="57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司维拉姆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限透析患者高磷血症。</w:t>
            </w:r>
          </w:p>
        </w:tc>
      </w:tr>
      <w:tr>
        <w:tblPrEx>
          <w:tblLayout w:type="fixed"/>
          <w:tblCellMar>
            <w:top w:w="0" w:type="dxa"/>
            <w:left w:w="108" w:type="dxa"/>
            <w:bottom w:w="0" w:type="dxa"/>
            <w:right w:w="108" w:type="dxa"/>
          </w:tblCellMar>
        </w:tblPrEx>
        <w:trPr>
          <w:trHeight w:val="73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碳酸镧</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咀嚼片</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限透析患者高磷血症。</w:t>
            </w:r>
          </w:p>
        </w:tc>
      </w:tr>
      <w:tr>
        <w:tblPrEx>
          <w:tblLayout w:type="fixed"/>
          <w:tblCellMar>
            <w:top w:w="0" w:type="dxa"/>
            <w:left w:w="108" w:type="dxa"/>
            <w:bottom w:w="0" w:type="dxa"/>
            <w:right w:w="108" w:type="dxa"/>
          </w:tblCellMar>
        </w:tblPrEx>
        <w:trPr>
          <w:trHeight w:val="73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银杏二萜内酯葡胺注射液</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限二级及以上医疗机构脑梗死恢复期患者，单次住院最多支付14天。</w:t>
            </w:r>
          </w:p>
        </w:tc>
      </w:tr>
      <w:tr>
        <w:tblPrEx>
          <w:tblLayout w:type="fixed"/>
          <w:tblCellMar>
            <w:top w:w="0" w:type="dxa"/>
            <w:left w:w="108" w:type="dxa"/>
            <w:bottom w:w="0" w:type="dxa"/>
            <w:right w:w="108" w:type="dxa"/>
          </w:tblCellMar>
        </w:tblPrEx>
        <w:trPr>
          <w:trHeight w:val="78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银杏内酯注射液</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限二级及以上医疗机构脑梗死恢复期患者，单次住院最多支付14天。</w:t>
            </w:r>
          </w:p>
        </w:tc>
      </w:tr>
      <w:tr>
        <w:tblPrEx>
          <w:tblLayout w:type="fixed"/>
          <w:tblCellMar>
            <w:top w:w="0" w:type="dxa"/>
            <w:left w:w="108" w:type="dxa"/>
            <w:bottom w:w="0" w:type="dxa"/>
            <w:right w:w="108" w:type="dxa"/>
          </w:tblCellMar>
        </w:tblPrEx>
        <w:trPr>
          <w:trHeight w:val="63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复方黄黛片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限初治的急性早幼粒细胞白血病。</w:t>
            </w:r>
          </w:p>
        </w:tc>
      </w:tr>
      <w:tr>
        <w:tblPrEx>
          <w:tblLayout w:type="fixed"/>
          <w:tblCellMar>
            <w:top w:w="0" w:type="dxa"/>
            <w:left w:w="108" w:type="dxa"/>
            <w:bottom w:w="0" w:type="dxa"/>
            <w:right w:w="108" w:type="dxa"/>
          </w:tblCellMar>
        </w:tblPrEx>
        <w:trPr>
          <w:trHeight w:val="720"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注射用黄芪多糖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限二级及以上医疗机构肿瘤患者，单次住院最多支付14天。</w:t>
            </w:r>
          </w:p>
        </w:tc>
      </w:tr>
      <w:tr>
        <w:tblPrEx>
          <w:tblLayout w:type="fixed"/>
          <w:tblCellMar>
            <w:top w:w="0" w:type="dxa"/>
            <w:left w:w="108" w:type="dxa"/>
            <w:bottom w:w="0" w:type="dxa"/>
            <w:right w:w="108" w:type="dxa"/>
          </w:tblCellMar>
        </w:tblPrEx>
        <w:trPr>
          <w:trHeight w:val="70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参一胶囊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限原发性肺癌、肝癌化疗期间同步使用。</w:t>
            </w:r>
          </w:p>
        </w:tc>
      </w:tr>
      <w:tr>
        <w:tblPrEx>
          <w:tblLayout w:type="fixed"/>
          <w:tblCellMar>
            <w:top w:w="0" w:type="dxa"/>
            <w:left w:w="108" w:type="dxa"/>
            <w:bottom w:w="0" w:type="dxa"/>
            <w:right w:w="108" w:type="dxa"/>
          </w:tblCellMar>
        </w:tblPrEx>
        <w:trPr>
          <w:trHeight w:val="795" w:hRule="atLeast"/>
        </w:trPr>
        <w:tc>
          <w:tcPr>
            <w:tcW w:w="1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注射用地西他滨</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限高危的骨髓增生异常综合征患者</w:t>
            </w:r>
          </w:p>
        </w:tc>
      </w:tr>
      <w:tr>
        <w:tblPrEx>
          <w:tblLayout w:type="fixed"/>
          <w:tblCellMar>
            <w:top w:w="0" w:type="dxa"/>
            <w:left w:w="108" w:type="dxa"/>
            <w:bottom w:w="0" w:type="dxa"/>
            <w:right w:w="108" w:type="dxa"/>
          </w:tblCellMar>
        </w:tblPrEx>
        <w:trPr>
          <w:trHeight w:val="720" w:hRule="atLeast"/>
        </w:trPr>
        <w:tc>
          <w:tcPr>
            <w:tcW w:w="185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达沙替尼片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限对伊马替尼耐药或不耐受的慢性髓细胞白血病患者</w:t>
            </w:r>
          </w:p>
        </w:tc>
      </w:tr>
      <w:tr>
        <w:tblPrEx>
          <w:tblLayout w:type="fixed"/>
          <w:tblCellMar>
            <w:top w:w="0" w:type="dxa"/>
            <w:left w:w="108" w:type="dxa"/>
            <w:bottom w:w="0" w:type="dxa"/>
            <w:right w:w="108" w:type="dxa"/>
          </w:tblCellMar>
        </w:tblPrEx>
        <w:trPr>
          <w:trHeight w:val="720" w:hRule="atLeast"/>
        </w:trPr>
        <w:tc>
          <w:tcPr>
            <w:tcW w:w="185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吉非替尼片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限EGFR基因敏感突变的晚期非小细胞肺癌</w:t>
            </w:r>
          </w:p>
        </w:tc>
      </w:tr>
      <w:tr>
        <w:tblPrEx>
          <w:tblLayout w:type="fixed"/>
          <w:tblCellMar>
            <w:top w:w="0" w:type="dxa"/>
            <w:left w:w="108" w:type="dxa"/>
            <w:bottom w:w="0" w:type="dxa"/>
            <w:right w:w="108" w:type="dxa"/>
          </w:tblCellMar>
        </w:tblPrEx>
        <w:trPr>
          <w:trHeight w:val="735" w:hRule="atLeast"/>
        </w:trPr>
        <w:tc>
          <w:tcPr>
            <w:tcW w:w="185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盐酸埃克替尼片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限EGFR基因敏感突变的晚期非小细胞肺癌</w:t>
            </w:r>
          </w:p>
        </w:tc>
      </w:tr>
      <w:tr>
        <w:tblPrEx>
          <w:tblLayout w:type="fixed"/>
          <w:tblCellMar>
            <w:top w:w="0" w:type="dxa"/>
            <w:left w:w="108" w:type="dxa"/>
            <w:bottom w:w="0" w:type="dxa"/>
            <w:right w:w="108" w:type="dxa"/>
          </w:tblCellMar>
        </w:tblPrEx>
        <w:trPr>
          <w:trHeight w:val="750" w:hRule="atLeast"/>
        </w:trPr>
        <w:tc>
          <w:tcPr>
            <w:tcW w:w="185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注射用重组人凝血因子Ⅸ</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限儿童乙型血友病；成人乙型血友病限出血时使用</w:t>
            </w:r>
          </w:p>
        </w:tc>
      </w:tr>
      <w:tr>
        <w:tblPrEx>
          <w:tblLayout w:type="fixed"/>
          <w:tblCellMar>
            <w:top w:w="0" w:type="dxa"/>
            <w:left w:w="108" w:type="dxa"/>
            <w:bottom w:w="0" w:type="dxa"/>
            <w:right w:w="108" w:type="dxa"/>
          </w:tblCellMar>
        </w:tblPrEx>
        <w:trPr>
          <w:trHeight w:val="705" w:hRule="atLeast"/>
        </w:trPr>
        <w:tc>
          <w:tcPr>
            <w:tcW w:w="185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富马酸替诺福韦二吡呋酯片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限有活动性乙型肝炎的明确诊断及检验证据或母婴乙肝</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传播阻断</w:t>
            </w:r>
          </w:p>
        </w:tc>
      </w:tr>
    </w:tbl>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附件二</w:t>
      </w:r>
    </w:p>
    <w:tbl>
      <w:tblPr>
        <w:tblStyle w:val="5"/>
        <w:tblW w:w="8992" w:type="dxa"/>
        <w:tblInd w:w="94" w:type="dxa"/>
        <w:tblLayout w:type="fixed"/>
        <w:tblCellMar>
          <w:top w:w="0" w:type="dxa"/>
          <w:left w:w="108" w:type="dxa"/>
          <w:bottom w:w="0" w:type="dxa"/>
          <w:right w:w="108" w:type="dxa"/>
        </w:tblCellMar>
      </w:tblPr>
      <w:tblGrid>
        <w:gridCol w:w="2203"/>
        <w:gridCol w:w="505"/>
        <w:gridCol w:w="850"/>
        <w:gridCol w:w="797"/>
        <w:gridCol w:w="337"/>
        <w:gridCol w:w="1049"/>
        <w:gridCol w:w="85"/>
        <w:gridCol w:w="1134"/>
        <w:gridCol w:w="425"/>
        <w:gridCol w:w="1385"/>
        <w:gridCol w:w="222"/>
      </w:tblGrid>
      <w:tr>
        <w:tblPrEx>
          <w:tblLayout w:type="fixed"/>
          <w:tblCellMar>
            <w:top w:w="0" w:type="dxa"/>
            <w:left w:w="108" w:type="dxa"/>
            <w:bottom w:w="0" w:type="dxa"/>
            <w:right w:w="108" w:type="dxa"/>
          </w:tblCellMar>
        </w:tblPrEx>
        <w:trPr>
          <w:trHeight w:val="690" w:hRule="atLeast"/>
        </w:trPr>
        <w:tc>
          <w:tcPr>
            <w:tcW w:w="8992" w:type="dxa"/>
            <w:gridSpan w:val="11"/>
            <w:tcBorders>
              <w:top w:val="nil"/>
              <w:left w:val="nil"/>
              <w:bottom w:val="single" w:color="auto" w:sz="4" w:space="0"/>
              <w:right w:val="nil"/>
            </w:tcBorders>
            <w:shd w:val="clear" w:color="auto" w:fill="auto"/>
            <w:vAlign w:val="center"/>
          </w:tcPr>
          <w:p>
            <w:pPr>
              <w:widowControl/>
              <w:jc w:val="center"/>
              <w:rPr>
                <w:rFonts w:ascii="黑体" w:hAnsi="黑体" w:eastAsia="黑体" w:cs="宋体"/>
                <w:color w:val="000000"/>
                <w:kern w:val="0"/>
                <w:sz w:val="32"/>
                <w:szCs w:val="32"/>
              </w:rPr>
            </w:pPr>
            <w:r>
              <w:rPr>
                <w:rFonts w:hint="eastAsia" w:ascii="黑体" w:hAnsi="黑体" w:eastAsia="黑体"/>
                <w:sz w:val="32"/>
                <w:szCs w:val="32"/>
              </w:rPr>
              <w:t>枣庄市基本医疗保险特殊药品使用申请表</w:t>
            </w:r>
          </w:p>
        </w:tc>
      </w:tr>
      <w:tr>
        <w:tblPrEx>
          <w:tblLayout w:type="fixed"/>
          <w:tblCellMar>
            <w:top w:w="0" w:type="dxa"/>
            <w:left w:w="108" w:type="dxa"/>
            <w:bottom w:w="0" w:type="dxa"/>
            <w:right w:w="108" w:type="dxa"/>
          </w:tblCellMar>
        </w:tblPrEx>
        <w:trPr>
          <w:trHeight w:val="495" w:hRule="atLeast"/>
        </w:trPr>
        <w:tc>
          <w:tcPr>
            <w:tcW w:w="22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1134" w:type="dxa"/>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03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10" w:hRule="atLeast"/>
        </w:trPr>
        <w:tc>
          <w:tcPr>
            <w:tcW w:w="22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身份证号码</w:t>
            </w:r>
          </w:p>
        </w:tc>
        <w:tc>
          <w:tcPr>
            <w:tcW w:w="2489"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单位名称</w:t>
            </w:r>
          </w:p>
        </w:tc>
        <w:tc>
          <w:tcPr>
            <w:tcW w:w="31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22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人员类别</w:t>
            </w:r>
          </w:p>
        </w:tc>
        <w:tc>
          <w:tcPr>
            <w:tcW w:w="6789"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职工医保</w:t>
            </w:r>
            <w:r>
              <w:rPr>
                <w:rFonts w:hint="eastAsia" w:ascii="宋体" w:hAnsi="宋体" w:eastAsia="宋体" w:cs="宋体"/>
                <w:color w:val="000000"/>
                <w:kern w:val="0"/>
                <w:sz w:val="28"/>
                <w:szCs w:val="28"/>
              </w:rPr>
              <w:t>□</w:t>
            </w:r>
            <w:r>
              <w:rPr>
                <w:rFonts w:hint="eastAsia" w:ascii="宋体" w:hAnsi="宋体" w:eastAsia="宋体" w:cs="宋体"/>
                <w:color w:val="000000"/>
                <w:kern w:val="0"/>
                <w:sz w:val="22"/>
              </w:rPr>
              <w:t xml:space="preserve">              居民医保</w:t>
            </w:r>
            <w:r>
              <w:rPr>
                <w:rFonts w:hint="eastAsia" w:ascii="宋体" w:hAnsi="宋体" w:eastAsia="宋体" w:cs="宋体"/>
                <w:color w:val="000000"/>
                <w:kern w:val="0"/>
                <w:sz w:val="28"/>
                <w:szCs w:val="28"/>
              </w:rPr>
              <w:t>□</w:t>
            </w:r>
          </w:p>
        </w:tc>
      </w:tr>
      <w:tr>
        <w:tblPrEx>
          <w:tblLayout w:type="fixed"/>
          <w:tblCellMar>
            <w:top w:w="0" w:type="dxa"/>
            <w:left w:w="108" w:type="dxa"/>
            <w:bottom w:w="0" w:type="dxa"/>
            <w:right w:w="108" w:type="dxa"/>
          </w:tblCellMar>
        </w:tblPrEx>
        <w:trPr>
          <w:trHeight w:val="1155" w:hRule="atLeast"/>
        </w:trPr>
        <w:tc>
          <w:tcPr>
            <w:tcW w:w="4692" w:type="dxa"/>
            <w:gridSpan w:val="5"/>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申请特药名称（含剂型、规格）</w:t>
            </w:r>
          </w:p>
        </w:tc>
        <w:tc>
          <w:tcPr>
            <w:tcW w:w="4300" w:type="dxa"/>
            <w:gridSpan w:val="6"/>
            <w:tcBorders>
              <w:top w:val="single" w:color="auto" w:sz="4" w:space="0"/>
              <w:left w:val="nil"/>
              <w:bottom w:val="nil"/>
              <w:right w:val="single" w:color="000000"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615" w:hRule="atLeast"/>
        </w:trPr>
        <w:tc>
          <w:tcPr>
            <w:tcW w:w="270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申请特药使用情况类别：</w:t>
            </w:r>
          </w:p>
        </w:tc>
        <w:tc>
          <w:tcPr>
            <w:tcW w:w="6062" w:type="dxa"/>
            <w:gridSpan w:val="8"/>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门诊慢性病使用，医院有药</w:t>
            </w:r>
            <w:r>
              <w:rPr>
                <w:rFonts w:hint="eastAsia" w:ascii="宋体" w:hAnsi="宋体" w:eastAsia="宋体" w:cs="宋体"/>
                <w:color w:val="000000"/>
                <w:kern w:val="0"/>
                <w:sz w:val="28"/>
                <w:szCs w:val="28"/>
              </w:rPr>
              <w:t>□</w:t>
            </w:r>
          </w:p>
        </w:tc>
        <w:tc>
          <w:tcPr>
            <w:tcW w:w="222" w:type="dxa"/>
            <w:tcBorders>
              <w:top w:val="single" w:color="auto" w:sz="4" w:space="0"/>
              <w:left w:val="nil"/>
              <w:bottom w:val="nil"/>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70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677" w:type="dxa"/>
            <w:gridSpan w:val="7"/>
            <w:tcBorders>
              <w:top w:val="nil"/>
              <w:left w:val="nil"/>
              <w:bottom w:val="nil"/>
              <w:right w:val="nil"/>
            </w:tcBorders>
            <w:shd w:val="clear" w:color="auto" w:fill="auto"/>
            <w:vAlign w:val="center"/>
          </w:tcPr>
          <w:p>
            <w:pPr>
              <w:widowControl/>
              <w:ind w:right="174" w:rightChars="83"/>
              <w:jc w:val="left"/>
              <w:rPr>
                <w:rFonts w:ascii="宋体" w:hAnsi="宋体" w:eastAsia="宋体" w:cs="宋体"/>
                <w:color w:val="000000"/>
                <w:kern w:val="0"/>
                <w:sz w:val="22"/>
              </w:rPr>
            </w:pPr>
            <w:r>
              <w:rPr>
                <w:rFonts w:hint="eastAsia" w:ascii="宋体" w:hAnsi="宋体" w:eastAsia="宋体" w:cs="宋体"/>
                <w:color w:val="000000"/>
                <w:kern w:val="0"/>
                <w:sz w:val="22"/>
              </w:rPr>
              <w:t xml:space="preserve">  住院期间使用，医院缺药</w:t>
            </w:r>
            <w:r>
              <w:rPr>
                <w:rFonts w:hint="eastAsia" w:ascii="宋体" w:hAnsi="宋体" w:eastAsia="宋体" w:cs="宋体"/>
                <w:color w:val="000000"/>
                <w:kern w:val="0"/>
                <w:sz w:val="28"/>
                <w:szCs w:val="28"/>
              </w:rPr>
              <w:t xml:space="preserve"> □</w:t>
            </w:r>
          </w:p>
        </w:tc>
        <w:tc>
          <w:tcPr>
            <w:tcW w:w="1385" w:type="dxa"/>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50" w:hRule="atLeast"/>
        </w:trPr>
        <w:tc>
          <w:tcPr>
            <w:tcW w:w="270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677" w:type="dxa"/>
            <w:gridSpan w:val="7"/>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门诊慢性病使用，医院缺药</w:t>
            </w:r>
            <w:r>
              <w:rPr>
                <w:rFonts w:hint="eastAsia" w:ascii="宋体" w:hAnsi="宋体" w:eastAsia="宋体" w:cs="宋体"/>
                <w:color w:val="000000"/>
                <w:kern w:val="0"/>
                <w:sz w:val="28"/>
                <w:szCs w:val="28"/>
              </w:rPr>
              <w:t>□</w:t>
            </w:r>
          </w:p>
        </w:tc>
        <w:tc>
          <w:tcPr>
            <w:tcW w:w="1385" w:type="dxa"/>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12" w:hRule="atLeast"/>
        </w:trPr>
        <w:tc>
          <w:tcPr>
            <w:tcW w:w="270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677" w:type="dxa"/>
            <w:gridSpan w:val="7"/>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p>
        </w:tc>
        <w:tc>
          <w:tcPr>
            <w:tcW w:w="1385" w:type="dxa"/>
            <w:tcBorders>
              <w:top w:val="nil"/>
              <w:left w:val="nil"/>
              <w:bottom w:val="single" w:color="auto" w:sz="4" w:space="0"/>
              <w:right w:val="nil"/>
            </w:tcBorders>
            <w:shd w:val="clear" w:color="auto" w:fill="auto"/>
            <w:vAlign w:val="bottom"/>
          </w:tcPr>
          <w:p>
            <w:pPr>
              <w:widowControl/>
              <w:jc w:val="center"/>
              <w:rPr>
                <w:rFonts w:ascii="宋体" w:hAnsi="宋体" w:eastAsia="宋体" w:cs="宋体"/>
                <w:color w:val="000000"/>
                <w:kern w:val="0"/>
                <w:sz w:val="22"/>
              </w:rPr>
            </w:pPr>
          </w:p>
        </w:tc>
        <w:tc>
          <w:tcPr>
            <w:tcW w:w="2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95" w:hRule="atLeast"/>
        </w:trPr>
        <w:tc>
          <w:tcPr>
            <w:tcW w:w="2708" w:type="dxa"/>
            <w:gridSpan w:val="2"/>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特药定点医疗机构意见</w:t>
            </w:r>
          </w:p>
        </w:tc>
        <w:tc>
          <w:tcPr>
            <w:tcW w:w="1647" w:type="dxa"/>
            <w:gridSpan w:val="2"/>
            <w:tcBorders>
              <w:top w:val="nil"/>
              <w:left w:val="nil"/>
              <w:bottom w:val="single" w:color="auto" w:sz="4" w:space="0"/>
              <w:right w:val="nil"/>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确诊病情：</w:t>
            </w:r>
          </w:p>
        </w:tc>
        <w:tc>
          <w:tcPr>
            <w:tcW w:w="1386" w:type="dxa"/>
            <w:gridSpan w:val="2"/>
            <w:tcBorders>
              <w:top w:val="nil"/>
              <w:left w:val="nil"/>
              <w:bottom w:val="single" w:color="auto" w:sz="4" w:space="0"/>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44" w:type="dxa"/>
            <w:gridSpan w:val="3"/>
            <w:tcBorders>
              <w:top w:val="nil"/>
              <w:left w:val="nil"/>
              <w:bottom w:val="single" w:color="auto" w:sz="4" w:space="0"/>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5" w:type="dxa"/>
            <w:tcBorders>
              <w:top w:val="nil"/>
              <w:left w:val="nil"/>
              <w:bottom w:val="single" w:color="auto" w:sz="4" w:space="0"/>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特药用法用量：</w:t>
            </w: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3033" w:type="dxa"/>
            <w:gridSpan w:val="4"/>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责任医师签字：</w:t>
            </w:r>
          </w:p>
        </w:tc>
        <w:tc>
          <w:tcPr>
            <w:tcW w:w="3251" w:type="dxa"/>
            <w:gridSpan w:val="5"/>
            <w:tcBorders>
              <w:top w:val="nil"/>
              <w:left w:val="nil"/>
              <w:bottom w:val="nil"/>
              <w:right w:val="single" w:color="000000"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医院医保办盖章：</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70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647" w:type="dxa"/>
            <w:gridSpan w:val="2"/>
            <w:tcBorders>
              <w:top w:val="nil"/>
              <w:left w:val="nil"/>
              <w:bottom w:val="single" w:color="auto" w:sz="4" w:space="0"/>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637" w:type="dxa"/>
            <w:gridSpan w:val="7"/>
            <w:tcBorders>
              <w:top w:val="nil"/>
              <w:left w:val="nil"/>
              <w:bottom w:val="single" w:color="auto" w:sz="4" w:space="0"/>
              <w:right w:val="single" w:color="000000"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r>
        <w:tblPrEx>
          <w:tblLayout w:type="fixed"/>
          <w:tblCellMar>
            <w:top w:w="0" w:type="dxa"/>
            <w:left w:w="108" w:type="dxa"/>
            <w:bottom w:w="0" w:type="dxa"/>
            <w:right w:w="108" w:type="dxa"/>
          </w:tblCellMar>
        </w:tblPrEx>
        <w:trPr>
          <w:trHeight w:val="270" w:hRule="atLeast"/>
        </w:trPr>
        <w:tc>
          <w:tcPr>
            <w:tcW w:w="4355" w:type="dxa"/>
            <w:gridSpan w:val="4"/>
            <w:tcBorders>
              <w:top w:val="single" w:color="auto" w:sz="4" w:space="0"/>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经办机构意见（章）：</w:t>
            </w: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203" w:type="dxa"/>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52"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203" w:type="dxa"/>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52"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203" w:type="dxa"/>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52"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203" w:type="dxa"/>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52"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3029" w:type="dxa"/>
            <w:gridSpan w:val="4"/>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经办人：</w:t>
            </w: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203" w:type="dxa"/>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52"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6" w:type="dxa"/>
            <w:gridSpan w:val="2"/>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644" w:type="dxa"/>
            <w:gridSpan w:val="3"/>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1385" w:type="dxa"/>
            <w:tcBorders>
              <w:top w:val="nil"/>
              <w:left w:val="nil"/>
              <w:bottom w:val="nil"/>
              <w:right w:val="nil"/>
            </w:tcBorders>
            <w:shd w:val="clear" w:color="auto" w:fill="auto"/>
            <w:vAlign w:val="bottom"/>
          </w:tcPr>
          <w:p>
            <w:pPr>
              <w:widowControl/>
              <w:jc w:val="left"/>
              <w:rPr>
                <w:rFonts w:ascii="宋体" w:hAnsi="宋体" w:eastAsia="宋体" w:cs="宋体"/>
                <w:color w:val="000000"/>
                <w:kern w:val="0"/>
                <w:sz w:val="22"/>
              </w:rPr>
            </w:pPr>
          </w:p>
        </w:tc>
        <w:tc>
          <w:tcPr>
            <w:tcW w:w="222" w:type="dxa"/>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203" w:type="dxa"/>
            <w:tcBorders>
              <w:top w:val="nil"/>
              <w:left w:val="single" w:color="auto" w:sz="4" w:space="0"/>
              <w:bottom w:val="single" w:color="auto" w:sz="4" w:space="0"/>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52" w:type="dxa"/>
            <w:gridSpan w:val="3"/>
            <w:tcBorders>
              <w:top w:val="nil"/>
              <w:left w:val="nil"/>
              <w:bottom w:val="single" w:color="auto" w:sz="4" w:space="0"/>
              <w:right w:val="nil"/>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637" w:type="dxa"/>
            <w:gridSpan w:val="7"/>
            <w:tcBorders>
              <w:top w:val="nil"/>
              <w:left w:val="nil"/>
              <w:bottom w:val="single" w:color="auto" w:sz="4" w:space="0"/>
              <w:right w:val="single" w:color="000000"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bl>
    <w:p>
      <w:pPr>
        <w:rPr>
          <w:rFonts w:asciiTheme="minorEastAsia" w:hAnsiTheme="minorEastAsia"/>
          <w:sz w:val="28"/>
          <w:szCs w:val="28"/>
        </w:rPr>
      </w:pPr>
    </w:p>
    <w:p>
      <w:pPr>
        <w:rPr>
          <w:rFonts w:asciiTheme="minorEastAsia" w:hAnsiTheme="minorEastAsia"/>
          <w:sz w:val="28"/>
          <w:szCs w:val="28"/>
        </w:rPr>
      </w:pPr>
    </w:p>
    <w:p>
      <w:pPr>
        <w:ind w:firstLine="2380" w:firstLineChars="850"/>
        <w:rPr>
          <w:rFonts w:ascii="黑体" w:hAnsi="黑体" w:eastAsia="黑体"/>
          <w:sz w:val="28"/>
          <w:szCs w:val="28"/>
        </w:rPr>
      </w:pPr>
      <w:r>
        <w:rPr>
          <w:rFonts w:hint="eastAsia" w:ascii="黑体" w:hAnsi="黑体" w:eastAsia="黑体"/>
          <w:sz w:val="28"/>
          <w:szCs w:val="28"/>
        </w:rPr>
        <w:t>枣庄市基本医疗保险特殊药品名称</w:t>
      </w:r>
    </w:p>
    <w:tbl>
      <w:tblPr>
        <w:tblStyle w:val="5"/>
        <w:tblW w:w="9370" w:type="dxa"/>
        <w:tblInd w:w="94" w:type="dxa"/>
        <w:tblLayout w:type="fixed"/>
        <w:tblCellMar>
          <w:top w:w="0" w:type="dxa"/>
          <w:left w:w="108" w:type="dxa"/>
          <w:bottom w:w="0" w:type="dxa"/>
          <w:right w:w="108" w:type="dxa"/>
        </w:tblCellMar>
      </w:tblPr>
      <w:tblGrid>
        <w:gridCol w:w="723"/>
        <w:gridCol w:w="2126"/>
        <w:gridCol w:w="1701"/>
        <w:gridCol w:w="851"/>
        <w:gridCol w:w="2268"/>
        <w:gridCol w:w="1701"/>
      </w:tblGrid>
      <w:tr>
        <w:tblPrEx>
          <w:tblLayout w:type="fixed"/>
          <w:tblCellMar>
            <w:top w:w="0" w:type="dxa"/>
            <w:left w:w="108" w:type="dxa"/>
            <w:bottom w:w="0" w:type="dxa"/>
            <w:right w:w="108" w:type="dxa"/>
          </w:tblCellMar>
        </w:tblPrEx>
        <w:trPr>
          <w:trHeight w:val="63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剂型</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剂型</w:t>
            </w:r>
          </w:p>
        </w:tc>
      </w:tr>
      <w:tr>
        <w:tblPrEx>
          <w:tblLayout w:type="fixed"/>
          <w:tblCellMar>
            <w:top w:w="0" w:type="dxa"/>
            <w:left w:w="108" w:type="dxa"/>
            <w:bottom w:w="0" w:type="dxa"/>
            <w:right w:w="108" w:type="dxa"/>
          </w:tblCellMar>
        </w:tblPrEx>
        <w:trPr>
          <w:trHeight w:val="54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利拉鲁肽</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氟维司群</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r>
      <w:tr>
        <w:tblPrEx>
          <w:tblLayout w:type="fixed"/>
          <w:tblCellMar>
            <w:top w:w="0" w:type="dxa"/>
            <w:left w:w="108" w:type="dxa"/>
            <w:bottom w:w="0" w:type="dxa"/>
            <w:right w:w="108" w:type="dxa"/>
          </w:tblCellMar>
        </w:tblPrEx>
        <w:trPr>
          <w:trHeight w:val="585"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替格瑞洛</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重组人干扰素β-1b</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r>
      <w:tr>
        <w:tblPrEx>
          <w:tblLayout w:type="fixed"/>
          <w:tblCellMar>
            <w:top w:w="0" w:type="dxa"/>
            <w:left w:w="108" w:type="dxa"/>
            <w:bottom w:w="0" w:type="dxa"/>
            <w:right w:w="108" w:type="dxa"/>
          </w:tblCellMar>
        </w:tblPrEx>
        <w:trPr>
          <w:trHeight w:val="54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重组人尿激酶原</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依维莫司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r>
      <w:tr>
        <w:tblPrEx>
          <w:tblLayout w:type="fixed"/>
          <w:tblCellMar>
            <w:top w:w="0" w:type="dxa"/>
            <w:left w:w="108" w:type="dxa"/>
            <w:bottom w:w="0" w:type="dxa"/>
            <w:right w:w="108" w:type="dxa"/>
          </w:tblCellMar>
        </w:tblPrEx>
        <w:trPr>
          <w:trHeight w:val="415"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重组人凝血因子Ⅶa</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来那度胺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r>
      <w:tr>
        <w:tblPrEx>
          <w:tblLayout w:type="fixed"/>
          <w:tblCellMar>
            <w:top w:w="0" w:type="dxa"/>
            <w:left w:w="108" w:type="dxa"/>
            <w:bottom w:w="0" w:type="dxa"/>
            <w:right w:w="108" w:type="dxa"/>
          </w:tblCellMar>
        </w:tblPrEx>
        <w:trPr>
          <w:trHeight w:val="511"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重组人脑利钠肽</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喹硫平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缓释控释剂型</w:t>
            </w:r>
          </w:p>
        </w:tc>
      </w:tr>
      <w:tr>
        <w:tblPrEx>
          <w:tblLayout w:type="fixed"/>
          <w:tblCellMar>
            <w:top w:w="0" w:type="dxa"/>
            <w:left w:w="108" w:type="dxa"/>
            <w:bottom w:w="0" w:type="dxa"/>
            <w:right w:w="108" w:type="dxa"/>
          </w:tblCellMar>
        </w:tblPrEx>
        <w:trPr>
          <w:trHeight w:val="535"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托伐普坦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帕罗西汀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肠溶缓释片</w:t>
            </w:r>
          </w:p>
        </w:tc>
      </w:tr>
      <w:tr>
        <w:tblPrEx>
          <w:tblLayout w:type="fixed"/>
          <w:tblCellMar>
            <w:top w:w="0" w:type="dxa"/>
            <w:left w:w="108" w:type="dxa"/>
            <w:bottom w:w="0" w:type="dxa"/>
            <w:right w:w="108" w:type="dxa"/>
          </w:tblCellMar>
        </w:tblPrEx>
        <w:trPr>
          <w:trHeight w:val="53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阿利沙坦酯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康柏西普</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眼用注射液</w:t>
            </w:r>
          </w:p>
        </w:tc>
      </w:tr>
      <w:tr>
        <w:tblPrEx>
          <w:tblLayout w:type="fixed"/>
          <w:tblCellMar>
            <w:top w:w="0" w:type="dxa"/>
            <w:left w:w="108" w:type="dxa"/>
            <w:bottom w:w="0" w:type="dxa"/>
            <w:right w:w="108" w:type="dxa"/>
          </w:tblCellMar>
        </w:tblPrEx>
        <w:trPr>
          <w:trHeight w:val="426"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吗啉硝唑氯化钠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雷珠单抗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r>
      <w:tr>
        <w:tblPrEx>
          <w:tblLayout w:type="fixed"/>
          <w:tblCellMar>
            <w:top w:w="0" w:type="dxa"/>
            <w:left w:w="108" w:type="dxa"/>
            <w:bottom w:w="0" w:type="dxa"/>
            <w:right w:w="108" w:type="dxa"/>
          </w:tblCellMar>
        </w:tblPrEx>
        <w:trPr>
          <w:trHeight w:val="534"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泊沙康唑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口服液体剂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司维拉姆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r>
      <w:tr>
        <w:tblPrEx>
          <w:tblLayout w:type="fixed"/>
          <w:tblCellMar>
            <w:top w:w="0" w:type="dxa"/>
            <w:left w:w="108" w:type="dxa"/>
            <w:bottom w:w="0" w:type="dxa"/>
            <w:right w:w="108" w:type="dxa"/>
          </w:tblCellMar>
        </w:tblPrEx>
        <w:trPr>
          <w:trHeight w:val="57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曲妥珠单抗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碳酸镧</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咀嚼片</w:t>
            </w:r>
          </w:p>
        </w:tc>
      </w:tr>
      <w:tr>
        <w:tblPrEx>
          <w:tblLayout w:type="fixed"/>
          <w:tblCellMar>
            <w:top w:w="0" w:type="dxa"/>
            <w:left w:w="108" w:type="dxa"/>
            <w:bottom w:w="0" w:type="dxa"/>
            <w:right w:w="108" w:type="dxa"/>
          </w:tblCellMar>
        </w:tblPrEx>
        <w:trPr>
          <w:trHeight w:val="469"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贝伐珠单抗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银杏二萜内酯葡胺注射液</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7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尼妥珠单抗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银杏内酯注射液</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45"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利妥昔单抗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复方黄黛片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4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厄洛替尼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注射用黄芪多糖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75"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索拉非尼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参一胶囊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拉帕替尼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注射用地西他滨</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r>
      <w:tr>
        <w:tblPrEx>
          <w:tblLayout w:type="fixed"/>
          <w:tblCellMar>
            <w:top w:w="0" w:type="dxa"/>
            <w:left w:w="108" w:type="dxa"/>
            <w:bottom w:w="0" w:type="dxa"/>
            <w:right w:w="108" w:type="dxa"/>
          </w:tblCellMar>
        </w:tblPrEx>
        <w:trPr>
          <w:trHeight w:val="75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阿帕替尼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226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达沙替尼片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r>
      <w:tr>
        <w:tblPrEx>
          <w:tblLayout w:type="fixed"/>
          <w:tblCellMar>
            <w:top w:w="0" w:type="dxa"/>
            <w:left w:w="108" w:type="dxa"/>
            <w:bottom w:w="0" w:type="dxa"/>
            <w:right w:w="108" w:type="dxa"/>
          </w:tblCellMar>
        </w:tblPrEx>
        <w:trPr>
          <w:trHeight w:val="555"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硼替佐米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226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吉非替尼片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r>
      <w:tr>
        <w:tblPrEx>
          <w:tblLayout w:type="fixed"/>
          <w:tblCellMar>
            <w:top w:w="0" w:type="dxa"/>
            <w:left w:w="108" w:type="dxa"/>
            <w:bottom w:w="0" w:type="dxa"/>
            <w:right w:w="108" w:type="dxa"/>
          </w:tblCellMar>
        </w:tblPrEx>
        <w:trPr>
          <w:trHeight w:val="60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重组人血管内皮抑制素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注射剂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26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盐酸埃克替尼片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r>
      <w:tr>
        <w:tblPrEx>
          <w:tblLayout w:type="fixed"/>
          <w:tblCellMar>
            <w:top w:w="0" w:type="dxa"/>
            <w:left w:w="108" w:type="dxa"/>
            <w:bottom w:w="0" w:type="dxa"/>
            <w:right w:w="108" w:type="dxa"/>
          </w:tblCellMar>
        </w:tblPrEx>
        <w:trPr>
          <w:trHeight w:val="63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西达本胺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226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注射用重组人凝血因子Ⅸ</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注射剂</w:t>
            </w:r>
          </w:p>
        </w:tc>
      </w:tr>
      <w:tr>
        <w:tblPrEx>
          <w:tblLayout w:type="fixed"/>
          <w:tblCellMar>
            <w:top w:w="0" w:type="dxa"/>
            <w:left w:w="108" w:type="dxa"/>
            <w:bottom w:w="0" w:type="dxa"/>
            <w:right w:w="108" w:type="dxa"/>
          </w:tblCellMar>
        </w:tblPrEx>
        <w:trPr>
          <w:trHeight w:val="54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阿比特龙</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226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富马酸替诺福韦二吡呋酯片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口服常释剂型</w:t>
            </w:r>
          </w:p>
        </w:tc>
      </w:tr>
    </w:tbl>
    <w:p>
      <w:pPr>
        <w:rPr>
          <w:rFonts w:asciiTheme="minorEastAsia" w:hAnsiTheme="minorEastAsia"/>
          <w:sz w:val="28"/>
          <w:szCs w:val="28"/>
        </w:rPr>
      </w:pPr>
    </w:p>
    <w:sectPr>
      <w:footerReference r:id="rId3"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199851"/>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368F"/>
    <w:rsid w:val="00017180"/>
    <w:rsid w:val="000534CE"/>
    <w:rsid w:val="000D5341"/>
    <w:rsid w:val="000E2DB0"/>
    <w:rsid w:val="001213B2"/>
    <w:rsid w:val="00126F53"/>
    <w:rsid w:val="001279B3"/>
    <w:rsid w:val="00132F39"/>
    <w:rsid w:val="0013582C"/>
    <w:rsid w:val="00136D65"/>
    <w:rsid w:val="00146B42"/>
    <w:rsid w:val="0017199A"/>
    <w:rsid w:val="001877FF"/>
    <w:rsid w:val="001B562E"/>
    <w:rsid w:val="001D1A91"/>
    <w:rsid w:val="001D34E5"/>
    <w:rsid w:val="002505F6"/>
    <w:rsid w:val="00256B0A"/>
    <w:rsid w:val="00272A0E"/>
    <w:rsid w:val="002876D6"/>
    <w:rsid w:val="002D2C93"/>
    <w:rsid w:val="003315AA"/>
    <w:rsid w:val="00350F31"/>
    <w:rsid w:val="003D47F2"/>
    <w:rsid w:val="003D6957"/>
    <w:rsid w:val="003D6C56"/>
    <w:rsid w:val="004412B6"/>
    <w:rsid w:val="00455D3E"/>
    <w:rsid w:val="004823FA"/>
    <w:rsid w:val="004B0D8C"/>
    <w:rsid w:val="004C0560"/>
    <w:rsid w:val="004E68D4"/>
    <w:rsid w:val="00524698"/>
    <w:rsid w:val="00567233"/>
    <w:rsid w:val="0059720F"/>
    <w:rsid w:val="005B0206"/>
    <w:rsid w:val="005D28E1"/>
    <w:rsid w:val="00617D76"/>
    <w:rsid w:val="00676B9D"/>
    <w:rsid w:val="00683297"/>
    <w:rsid w:val="00691B63"/>
    <w:rsid w:val="006C4D23"/>
    <w:rsid w:val="006D5A79"/>
    <w:rsid w:val="006F003D"/>
    <w:rsid w:val="00700043"/>
    <w:rsid w:val="00726F26"/>
    <w:rsid w:val="007302FD"/>
    <w:rsid w:val="00744B6F"/>
    <w:rsid w:val="00765B69"/>
    <w:rsid w:val="00770BEB"/>
    <w:rsid w:val="007843E9"/>
    <w:rsid w:val="007C5630"/>
    <w:rsid w:val="008A1E68"/>
    <w:rsid w:val="008F7D68"/>
    <w:rsid w:val="00935156"/>
    <w:rsid w:val="009463FD"/>
    <w:rsid w:val="00956A1F"/>
    <w:rsid w:val="00960500"/>
    <w:rsid w:val="00976493"/>
    <w:rsid w:val="009809E7"/>
    <w:rsid w:val="0098368F"/>
    <w:rsid w:val="00984784"/>
    <w:rsid w:val="0098498C"/>
    <w:rsid w:val="009944AE"/>
    <w:rsid w:val="009A4015"/>
    <w:rsid w:val="009B51A1"/>
    <w:rsid w:val="009C5EF4"/>
    <w:rsid w:val="009F1FF4"/>
    <w:rsid w:val="00A0724C"/>
    <w:rsid w:val="00A120FD"/>
    <w:rsid w:val="00A17194"/>
    <w:rsid w:val="00A5408A"/>
    <w:rsid w:val="00A7190E"/>
    <w:rsid w:val="00A828B8"/>
    <w:rsid w:val="00A8799E"/>
    <w:rsid w:val="00AE2908"/>
    <w:rsid w:val="00B34891"/>
    <w:rsid w:val="00B97A77"/>
    <w:rsid w:val="00BB0C9E"/>
    <w:rsid w:val="00BB2C84"/>
    <w:rsid w:val="00C539B8"/>
    <w:rsid w:val="00C674DF"/>
    <w:rsid w:val="00C96152"/>
    <w:rsid w:val="00CB53E0"/>
    <w:rsid w:val="00CC4F04"/>
    <w:rsid w:val="00CE4A6D"/>
    <w:rsid w:val="00CF48BE"/>
    <w:rsid w:val="00D249CE"/>
    <w:rsid w:val="00D316C7"/>
    <w:rsid w:val="00D45004"/>
    <w:rsid w:val="00D5190C"/>
    <w:rsid w:val="00D63623"/>
    <w:rsid w:val="00D6634A"/>
    <w:rsid w:val="00D75127"/>
    <w:rsid w:val="00D75769"/>
    <w:rsid w:val="00D8291C"/>
    <w:rsid w:val="00D93E40"/>
    <w:rsid w:val="00E24B36"/>
    <w:rsid w:val="00E75535"/>
    <w:rsid w:val="00E81780"/>
    <w:rsid w:val="00E85008"/>
    <w:rsid w:val="00E92860"/>
    <w:rsid w:val="00EB04EF"/>
    <w:rsid w:val="00ED3998"/>
    <w:rsid w:val="00EE6BB4"/>
    <w:rsid w:val="00EF0F47"/>
    <w:rsid w:val="00EF670C"/>
    <w:rsid w:val="00F031BD"/>
    <w:rsid w:val="00F13758"/>
    <w:rsid w:val="00F2572B"/>
    <w:rsid w:val="00F40E65"/>
    <w:rsid w:val="00F43C56"/>
    <w:rsid w:val="00F4637D"/>
    <w:rsid w:val="00F504A9"/>
    <w:rsid w:val="00F6472F"/>
    <w:rsid w:val="00F746FB"/>
    <w:rsid w:val="00F91F97"/>
    <w:rsid w:val="00FA1D43"/>
    <w:rsid w:val="00FE17A1"/>
    <w:rsid w:val="00FF1C56"/>
    <w:rsid w:val="16E8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 Spacing"/>
    <w:link w:val="7"/>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无间隔 Char"/>
    <w:basedOn w:val="4"/>
    <w:link w:val="6"/>
    <w:uiPriority w:val="1"/>
  </w:style>
  <w:style w:type="paragraph" w:styleId="8">
    <w:name w:val="List Paragraph"/>
    <w:basedOn w:val="1"/>
    <w:qFormat/>
    <w:uiPriority w:val="34"/>
    <w:pPr>
      <w:ind w:firstLine="420" w:firstLineChars="200"/>
    </w:pPr>
  </w:style>
  <w:style w:type="paragraph" w:customStyle="1" w:styleId="9">
    <w:name w:val="样式1"/>
    <w:basedOn w:val="6"/>
    <w:link w:val="10"/>
    <w:qFormat/>
    <w:uiPriority w:val="0"/>
  </w:style>
  <w:style w:type="character" w:customStyle="1" w:styleId="10">
    <w:name w:val="样式1 Char"/>
    <w:basedOn w:val="7"/>
    <w:link w:val="9"/>
    <w:uiPriority w:val="0"/>
  </w:style>
  <w:style w:type="character" w:customStyle="1" w:styleId="11">
    <w:name w:val="页眉 Char"/>
    <w:basedOn w:val="4"/>
    <w:link w:val="3"/>
    <w:uiPriority w:val="99"/>
    <w:rPr>
      <w:sz w:val="18"/>
      <w:szCs w:val="18"/>
    </w:rPr>
  </w:style>
  <w:style w:type="character" w:customStyle="1" w:styleId="12">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755</Words>
  <Characters>4307</Characters>
  <Lines>35</Lines>
  <Paragraphs>10</Paragraphs>
  <TotalTime>0</TotalTime>
  <ScaleCrop>false</ScaleCrop>
  <LinksUpToDate>false</LinksUpToDate>
  <CharactersWithSpaces>5052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2017-12-19T02:06:00Z</dcterms:created>
  <dc:creator>admin</dc:creator>
  <cp:lastModifiedBy>秋雨无痕</cp:lastModifiedBy>
  <cp:lastPrinted>2018-01-15T03:21:00Z</cp:lastPrinted>
  <dcterms:modified xsi:type="dcterms:W3CDTF">2018-01-26T07:02:22Z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