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b/>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b/>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b/>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b/>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b/>
          <w:sz w:val="44"/>
          <w:szCs w:val="44"/>
        </w:rPr>
      </w:pPr>
    </w:p>
    <w:p>
      <w:pPr>
        <w:spacing w:line="540" w:lineRule="exact"/>
        <w:jc w:val="center"/>
        <w:rPr>
          <w:rFonts w:ascii="仿宋_GB2312" w:hAnsi="仿宋" w:eastAsia="仿宋_GB2312"/>
          <w:sz w:val="32"/>
          <w:szCs w:val="32"/>
        </w:rPr>
      </w:pPr>
      <w:r>
        <w:rPr>
          <w:rFonts w:hint="eastAsia" w:ascii="仿宋_GB2312" w:hAnsi="仿宋" w:eastAsia="仿宋_GB2312"/>
          <w:sz w:val="32"/>
          <w:szCs w:val="32"/>
        </w:rPr>
        <w:t>枣环滕审字〔202</w:t>
      </w:r>
      <w:r>
        <w:rPr>
          <w:rFonts w:hint="eastAsia" w:ascii="仿宋_GB2312" w:hAnsi="仿宋" w:eastAsia="仿宋_GB2312"/>
          <w:sz w:val="32"/>
          <w:szCs w:val="32"/>
          <w:lang w:val="en-US" w:eastAsia="zh-CN"/>
        </w:rPr>
        <w:t>4</w:t>
      </w:r>
      <w:r>
        <w:rPr>
          <w:rFonts w:hint="eastAsia" w:ascii="仿宋_GB2312" w:hAnsi="仿宋" w:eastAsia="仿宋_GB2312"/>
          <w:sz w:val="32"/>
          <w:szCs w:val="32"/>
        </w:rPr>
        <w:t>〕B-</w:t>
      </w:r>
      <w:r>
        <w:rPr>
          <w:rFonts w:hint="eastAsia" w:ascii="仿宋_GB2312" w:hAnsi="仿宋" w:eastAsia="仿宋_GB2312"/>
          <w:sz w:val="32"/>
          <w:szCs w:val="32"/>
          <w:lang w:val="en-US" w:eastAsia="zh-CN"/>
        </w:rPr>
        <w:t>23</w:t>
      </w:r>
      <w:r>
        <w:rPr>
          <w:rFonts w:hint="eastAsia" w:ascii="仿宋_GB2312" w:hAnsi="仿宋" w:eastAsia="仿宋_GB2312"/>
          <w:sz w:val="32"/>
          <w:szCs w:val="32"/>
        </w:rPr>
        <w:t>号</w:t>
      </w:r>
    </w:p>
    <w:p>
      <w:pPr>
        <w:spacing w:line="540" w:lineRule="exact"/>
        <w:rPr>
          <w:rFonts w:ascii="仿宋" w:hAnsi="仿宋" w:eastAsia="仿宋"/>
          <w:b/>
          <w:sz w:val="44"/>
          <w:szCs w:val="44"/>
        </w:rPr>
      </w:pPr>
    </w:p>
    <w:p>
      <w:pPr>
        <w:spacing w:line="600" w:lineRule="exact"/>
        <w:jc w:val="center"/>
        <w:rPr>
          <w:rFonts w:ascii="方正小标宋简体" w:eastAsia="方正小标宋简体"/>
          <w:w w:val="95"/>
          <w:sz w:val="44"/>
          <w:szCs w:val="44"/>
        </w:rPr>
      </w:pPr>
      <w:r>
        <w:rPr>
          <w:rFonts w:hint="eastAsia" w:ascii="方正小标宋简体" w:eastAsia="方正小标宋简体"/>
          <w:w w:val="95"/>
          <w:sz w:val="44"/>
          <w:szCs w:val="44"/>
        </w:rPr>
        <w:t>枣庄市生态环境局</w:t>
      </w:r>
    </w:p>
    <w:p>
      <w:pPr>
        <w:spacing w:line="600" w:lineRule="exact"/>
        <w:jc w:val="center"/>
        <w:rPr>
          <w:rFonts w:hint="eastAsia" w:ascii="方正小标宋简体" w:eastAsia="方正小标宋简体"/>
          <w:w w:val="95"/>
          <w:sz w:val="44"/>
          <w:szCs w:val="44"/>
        </w:rPr>
      </w:pPr>
      <w:r>
        <w:rPr>
          <w:rFonts w:hint="eastAsia" w:ascii="方正小标宋简体" w:eastAsia="方正小标宋简体"/>
          <w:w w:val="95"/>
          <w:sz w:val="44"/>
          <w:szCs w:val="44"/>
        </w:rPr>
        <w:t>关于山东威达精工智能装备有限公司威达重工国际高端数控机床项目环境影响</w:t>
      </w:r>
    </w:p>
    <w:p>
      <w:pPr>
        <w:spacing w:line="600" w:lineRule="exact"/>
        <w:jc w:val="center"/>
        <w:rPr>
          <w:rFonts w:ascii="方正小标宋简体" w:eastAsia="方正小标宋简体"/>
          <w:sz w:val="44"/>
          <w:szCs w:val="44"/>
        </w:rPr>
      </w:pPr>
      <w:r>
        <w:rPr>
          <w:rFonts w:hint="eastAsia" w:ascii="方正小标宋简体" w:eastAsia="方正小标宋简体"/>
          <w:w w:val="95"/>
          <w:sz w:val="44"/>
          <w:szCs w:val="44"/>
        </w:rPr>
        <w:t>报告表的批复</w:t>
      </w:r>
    </w:p>
    <w:p>
      <w:pPr>
        <w:spacing w:line="600" w:lineRule="exact"/>
        <w:ind w:firstLine="642" w:firstLineChars="200"/>
        <w:rPr>
          <w:b/>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 w:eastAsia="仿宋_GB2312"/>
          <w:sz w:val="32"/>
          <w:szCs w:val="32"/>
        </w:rPr>
      </w:pPr>
      <w:r>
        <w:rPr>
          <w:rFonts w:hint="eastAsia" w:ascii="仿宋_GB2312" w:hAnsi="仿宋" w:eastAsia="仿宋_GB2312"/>
          <w:sz w:val="32"/>
          <w:szCs w:val="32"/>
          <w:lang w:eastAsia="zh-CN"/>
        </w:rPr>
        <w:t>山东威达精工智能装备有限公司</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你公司报送的《山东威达精工智能装备有限公司威达重工国际高端数控机床项目环境影响报告表》收悉。经研究，批复如下：</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一、该项目属于新建，位于</w:t>
      </w:r>
      <w:r>
        <w:rPr>
          <w:rFonts w:hint="eastAsia" w:ascii="仿宋_GB2312" w:hAnsi="仿宋" w:eastAsia="仿宋_GB2312"/>
          <w:sz w:val="32"/>
          <w:szCs w:val="32"/>
          <w:lang w:val="en-US" w:eastAsia="zh-CN"/>
        </w:rPr>
        <w:t>滕州市荆河街道十里岗居北侧</w:t>
      </w:r>
      <w:r>
        <w:rPr>
          <w:rFonts w:hint="eastAsia" w:ascii="仿宋_GB2312" w:hAnsi="仿宋" w:eastAsia="仿宋_GB2312"/>
          <w:sz w:val="32"/>
          <w:szCs w:val="32"/>
          <w:lang w:eastAsia="zh-CN"/>
        </w:rPr>
        <w:t>，占地</w:t>
      </w:r>
      <w:r>
        <w:rPr>
          <w:rFonts w:hint="eastAsia" w:ascii="仿宋_GB2312" w:hAnsi="仿宋" w:eastAsia="仿宋_GB2312"/>
          <w:sz w:val="32"/>
          <w:szCs w:val="32"/>
          <w:lang w:val="en-US" w:eastAsia="zh-CN"/>
        </w:rPr>
        <w:t>163181</w:t>
      </w:r>
      <w:r>
        <w:rPr>
          <w:rFonts w:hint="eastAsia" w:ascii="仿宋_GB2312" w:hAnsi="仿宋" w:eastAsia="仿宋_GB2312"/>
          <w:sz w:val="32"/>
          <w:szCs w:val="32"/>
          <w:lang w:eastAsia="zh-CN"/>
        </w:rPr>
        <w:t>平方米，总投资</w:t>
      </w:r>
      <w:r>
        <w:rPr>
          <w:rFonts w:hint="eastAsia" w:ascii="仿宋_GB2312" w:hAnsi="仿宋" w:eastAsia="仿宋_GB2312"/>
          <w:sz w:val="32"/>
          <w:szCs w:val="32"/>
          <w:lang w:val="en-US" w:eastAsia="zh-CN"/>
        </w:rPr>
        <w:t>100000</w:t>
      </w:r>
      <w:r>
        <w:rPr>
          <w:rFonts w:hint="eastAsia" w:ascii="仿宋_GB2312" w:hAnsi="仿宋" w:eastAsia="仿宋_GB2312"/>
          <w:sz w:val="32"/>
          <w:szCs w:val="32"/>
          <w:lang w:eastAsia="zh-CN"/>
        </w:rPr>
        <w:t>万元，其中环保投资</w:t>
      </w:r>
      <w:r>
        <w:rPr>
          <w:rFonts w:hint="eastAsia" w:ascii="仿宋_GB2312" w:hAnsi="仿宋" w:eastAsia="仿宋_GB2312"/>
          <w:sz w:val="32"/>
          <w:szCs w:val="32"/>
          <w:lang w:val="en-US" w:eastAsia="zh-CN"/>
        </w:rPr>
        <w:t>200</w:t>
      </w:r>
      <w:r>
        <w:rPr>
          <w:rFonts w:hint="eastAsia" w:ascii="仿宋_GB2312" w:hAnsi="仿宋" w:eastAsia="仿宋_GB2312"/>
          <w:sz w:val="32"/>
          <w:szCs w:val="32"/>
          <w:lang w:eastAsia="zh-CN"/>
        </w:rPr>
        <w:t>万元。建设粗加工车间、精密加工车间、钣金车间、装配车间及其他辅助工程，项目建成后可年产数控加工中心</w:t>
      </w:r>
      <w:r>
        <w:rPr>
          <w:rFonts w:hint="eastAsia" w:ascii="仿宋_GB2312" w:hAnsi="仿宋" w:eastAsia="仿宋_GB2312"/>
          <w:sz w:val="32"/>
          <w:szCs w:val="32"/>
          <w:lang w:val="en-US" w:eastAsia="zh-CN"/>
        </w:rPr>
        <w:t>2400台（套）、数控机床零部件10万件</w:t>
      </w:r>
      <w:r>
        <w:rPr>
          <w:rFonts w:hint="eastAsia" w:ascii="仿宋_GB2312" w:hAnsi="仿宋"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sz w:val="32"/>
          <w:szCs w:val="32"/>
          <w:lang w:eastAsia="zh-CN"/>
        </w:rPr>
      </w:pPr>
      <w:r>
        <w:rPr>
          <w:rFonts w:hint="default" w:ascii="仿宋_GB2312" w:hAnsi="仿宋" w:eastAsia="仿宋_GB2312"/>
          <w:sz w:val="32"/>
          <w:szCs w:val="32"/>
          <w:lang w:eastAsia="zh-CN"/>
        </w:rPr>
        <w:t>根据报告表结论，在全面落实环境影响报告表提出的各项生态保护和污染防治措施后，</w:t>
      </w:r>
      <w:r>
        <w:rPr>
          <w:rFonts w:hint="eastAsia" w:ascii="仿宋_GB2312" w:hAnsi="仿宋" w:eastAsia="仿宋_GB2312"/>
          <w:sz w:val="32"/>
          <w:szCs w:val="32"/>
          <w:lang w:eastAsia="zh-CN"/>
        </w:rPr>
        <w:t>本项目</w:t>
      </w:r>
      <w:r>
        <w:rPr>
          <w:rFonts w:hint="default" w:ascii="仿宋_GB2312" w:hAnsi="仿宋" w:eastAsia="仿宋_GB2312"/>
          <w:sz w:val="32"/>
          <w:szCs w:val="32"/>
          <w:lang w:eastAsia="zh-CN"/>
        </w:rPr>
        <w:t>对环境的不利影响能够得到减缓和控制。从环境保护角度分析，我局原则同意你公司报告表所列建设项目的地点、工艺、规模和环境保护对策措施。</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二、项目在建设及运行过程中要严格落实报告表提出的环保措施及以下要求：</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一）加强施工期环境管理。严格执行《山东省扬尘污染防治管理办法》（2018年修订本）、《山东省扬尘污染综合整治方案》（鲁环发〔2019〕112号）等相关规定，落实扬尘治理措施。施工期废水、施工垃圾须妥善处理，不得直接外排；优化施工方案，合理安排施工时间，施工场地边界噪声须满足《建筑施工场界环境噪声排放标准》（GB12523-2011）相关标准。建设期间严格落实安全生产要求，严禁违规作业，严防事故发生。</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（二）</w:t>
      </w:r>
      <w:r>
        <w:rPr>
          <w:rFonts w:hint="default" w:ascii="仿宋_GB2312" w:hAnsi="仿宋" w:eastAsia="仿宋_GB2312"/>
          <w:sz w:val="32"/>
          <w:szCs w:val="32"/>
          <w:lang w:eastAsia="zh-CN"/>
        </w:rPr>
        <w:t>强化大气污染防治措施。抛丸喷砂工序</w:t>
      </w:r>
      <w:r>
        <w:rPr>
          <w:rFonts w:hint="eastAsia" w:ascii="仿宋_GB2312" w:hAnsi="仿宋" w:eastAsia="仿宋_GB2312"/>
          <w:sz w:val="32"/>
          <w:szCs w:val="32"/>
          <w:lang w:eastAsia="zh-CN"/>
        </w:rPr>
        <w:t>产生的</w:t>
      </w:r>
      <w:r>
        <w:rPr>
          <w:rFonts w:hint="default" w:ascii="仿宋_GB2312" w:hAnsi="仿宋" w:eastAsia="仿宋_GB2312"/>
          <w:sz w:val="32"/>
          <w:szCs w:val="32"/>
          <w:lang w:eastAsia="zh-CN"/>
        </w:rPr>
        <w:t>废气经</w:t>
      </w:r>
      <w:r>
        <w:rPr>
          <w:rFonts w:hint="eastAsia" w:ascii="仿宋_GB2312" w:hAnsi="仿宋" w:eastAsia="仿宋_GB2312"/>
          <w:sz w:val="32"/>
          <w:szCs w:val="32"/>
          <w:lang w:eastAsia="zh-CN"/>
        </w:rPr>
        <w:t>收集</w:t>
      </w:r>
      <w:r>
        <w:rPr>
          <w:rFonts w:hint="default" w:ascii="仿宋_GB2312" w:hAnsi="仿宋" w:eastAsia="仿宋_GB2312"/>
          <w:sz w:val="32"/>
          <w:szCs w:val="32"/>
          <w:lang w:eastAsia="zh-CN"/>
        </w:rPr>
        <w:t>处理后通过15m高排气筒（DA001）排放</w:t>
      </w:r>
      <w:r>
        <w:rPr>
          <w:rFonts w:hint="eastAsia" w:ascii="仿宋_GB2312" w:hAnsi="仿宋" w:eastAsia="仿宋_GB2312"/>
          <w:sz w:val="32"/>
          <w:szCs w:val="32"/>
          <w:lang w:eastAsia="zh-CN"/>
        </w:rPr>
        <w:t>，</w:t>
      </w:r>
      <w:r>
        <w:rPr>
          <w:rFonts w:hint="default" w:ascii="仿宋_GB2312" w:hAnsi="仿宋" w:eastAsia="仿宋_GB2312"/>
          <w:sz w:val="32"/>
          <w:szCs w:val="32"/>
          <w:lang w:eastAsia="zh-CN"/>
        </w:rPr>
        <w:t>颗粒物有组织排放浓度执行《区域性大气污染物综合排放标准》（DB37/2376</w:t>
      </w:r>
      <w:r>
        <w:rPr>
          <w:rFonts w:hint="eastAsia" w:ascii="仿宋_GB2312" w:hAnsi="仿宋" w:eastAsia="仿宋_GB2312"/>
          <w:sz w:val="32"/>
          <w:szCs w:val="32"/>
          <w:lang w:eastAsia="zh-CN"/>
        </w:rPr>
        <w:t>-</w:t>
      </w:r>
      <w:r>
        <w:rPr>
          <w:rFonts w:hint="default" w:ascii="仿宋_GB2312" w:hAnsi="仿宋" w:eastAsia="仿宋_GB2312"/>
          <w:sz w:val="32"/>
          <w:szCs w:val="32"/>
          <w:lang w:eastAsia="zh-CN"/>
        </w:rPr>
        <w:t>2019）表1重点控制区标准要求，排放速率执行《大气污染物综合排放标准》（GB16297</w:t>
      </w:r>
      <w:r>
        <w:rPr>
          <w:rFonts w:hint="eastAsia" w:ascii="仿宋_GB2312" w:hAnsi="仿宋" w:eastAsia="仿宋_GB2312"/>
          <w:sz w:val="32"/>
          <w:szCs w:val="32"/>
          <w:lang w:eastAsia="zh-CN"/>
        </w:rPr>
        <w:t>-</w:t>
      </w:r>
      <w:r>
        <w:rPr>
          <w:rFonts w:hint="default" w:ascii="仿宋_GB2312" w:hAnsi="仿宋" w:eastAsia="仿宋_GB2312"/>
          <w:sz w:val="32"/>
          <w:szCs w:val="32"/>
          <w:lang w:eastAsia="zh-CN"/>
        </w:rPr>
        <w:t>1996）表2二级标准要求</w:t>
      </w:r>
      <w:r>
        <w:rPr>
          <w:rFonts w:hint="eastAsia" w:ascii="仿宋_GB2312" w:hAnsi="仿宋"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sz w:val="32"/>
          <w:szCs w:val="32"/>
          <w:lang w:eastAsia="zh-CN"/>
        </w:rPr>
      </w:pPr>
      <w:r>
        <w:rPr>
          <w:rFonts w:hint="default" w:ascii="仿宋_GB2312" w:hAnsi="仿宋" w:eastAsia="仿宋_GB2312"/>
          <w:sz w:val="32"/>
          <w:szCs w:val="32"/>
          <w:lang w:eastAsia="zh-CN"/>
        </w:rPr>
        <w:t>天然气燃烧废气经低氮燃烧处理后统一汇入15m高排气筒（DA002）排放</w:t>
      </w:r>
      <w:r>
        <w:rPr>
          <w:rFonts w:hint="eastAsia" w:ascii="仿宋_GB2312" w:hAnsi="仿宋" w:eastAsia="仿宋_GB2312"/>
          <w:sz w:val="32"/>
          <w:szCs w:val="32"/>
          <w:lang w:eastAsia="zh-CN"/>
        </w:rPr>
        <w:t>，林格曼黑度须满足《工业炉窑大气污染物排放标准》(DB37/2375-2019)表1中标准排放限值；颗粒物、SO2、NOx须满足《区域性大气污染物综合排放标准》（DB37/2376-2019）表1重点控制区标准要求。</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刮</w:t>
      </w:r>
      <w:r>
        <w:rPr>
          <w:rFonts w:hint="default" w:ascii="仿宋_GB2312" w:hAnsi="仿宋" w:eastAsia="仿宋_GB2312"/>
          <w:sz w:val="32"/>
          <w:szCs w:val="32"/>
          <w:lang w:eastAsia="zh-CN"/>
        </w:rPr>
        <w:t>腻子及腻子打磨废气、喷漆工序废气经收集处理后通过15m排气筒（DA003）排放</w:t>
      </w:r>
      <w:r>
        <w:rPr>
          <w:rFonts w:hint="eastAsia" w:ascii="仿宋_GB2312" w:hAnsi="仿宋" w:eastAsia="仿宋_GB2312"/>
          <w:sz w:val="32"/>
          <w:szCs w:val="32"/>
          <w:lang w:eastAsia="zh-CN"/>
        </w:rPr>
        <w:t>，有机废气执行《挥发性有机物排放标准第5部分：表面涂装行业》（DB37/ 2801.5-2018）表2中限值，颗粒物排放须满足《区域性大气污染物综合排放标准》（DB37/2376-2019）表1重点控制区标准限值。</w:t>
      </w:r>
    </w:p>
    <w:p>
      <w:pPr>
        <w:keepNext w:val="0"/>
        <w:keepLines w:val="0"/>
        <w:pageBreakBefore w:val="0"/>
        <w:widowControl/>
        <w:suppressLineNumbers w:val="0"/>
        <w:kinsoku/>
        <w:wordWrap/>
        <w:overflowPunct/>
        <w:topLinePunct w:val="0"/>
        <w:autoSpaceDE/>
        <w:autoSpaceDN/>
        <w:bidi w:val="0"/>
        <w:adjustRightInd/>
        <w:spacing w:line="52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rPr>
        <w:t>喷塑、固化废气</w:t>
      </w:r>
      <w:r>
        <w:rPr>
          <w:rFonts w:hint="eastAsia" w:ascii="仿宋_GB2312" w:hAnsi="仿宋_GB2312" w:eastAsia="仿宋_GB2312" w:cs="仿宋_GB2312"/>
          <w:color w:val="auto"/>
          <w:sz w:val="32"/>
          <w:szCs w:val="32"/>
          <w:lang w:eastAsia="zh-CN"/>
        </w:rPr>
        <w:t>经</w:t>
      </w:r>
      <w:r>
        <w:rPr>
          <w:rFonts w:hint="default" w:ascii="仿宋_GB2312" w:hAnsi="仿宋_GB2312" w:eastAsia="仿宋_GB2312" w:cs="仿宋_GB2312"/>
          <w:color w:val="auto"/>
          <w:sz w:val="32"/>
          <w:szCs w:val="32"/>
        </w:rPr>
        <w:t>处理后经1根15m高排气筒（DA004）排放</w:t>
      </w:r>
      <w:r>
        <w:rPr>
          <w:rFonts w:hint="eastAsia" w:ascii="仿宋_GB2312" w:hAnsi="仿宋_GB2312" w:eastAsia="仿宋_GB2312" w:cs="仿宋_GB2312"/>
          <w:color w:val="auto"/>
          <w:sz w:val="32"/>
          <w:szCs w:val="32"/>
          <w:lang w:eastAsia="zh-CN"/>
        </w:rPr>
        <w:t>，有机废气执行《挥发性有机物排放标准第5部分：表面涂装行业》（DB37/ 2801.5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2018）表2中限值，颗粒物排放须满足《区域性大气污染物综合排放标准》（DB37/2376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2019）表1重点控制区标准限值。</w:t>
      </w:r>
    </w:p>
    <w:p>
      <w:pPr>
        <w:keepNext w:val="0"/>
        <w:keepLines w:val="0"/>
        <w:pageBreakBefore w:val="0"/>
        <w:widowControl/>
        <w:suppressLineNumbers w:val="0"/>
        <w:kinsoku/>
        <w:wordWrap/>
        <w:overflowPunct/>
        <w:topLinePunct w:val="0"/>
        <w:autoSpaceDE/>
        <w:autoSpaceDN/>
        <w:bidi w:val="0"/>
        <w:adjustRightInd/>
        <w:spacing w:line="520" w:lineRule="exact"/>
        <w:ind w:firstLine="640" w:firstLineChars="200"/>
        <w:jc w:val="left"/>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rPr>
        <w:t>生产过程中设置密闭生产加工车间，</w:t>
      </w:r>
      <w:r>
        <w:rPr>
          <w:rFonts w:hint="eastAsia" w:ascii="仿宋_GB2312" w:hAnsi="仿宋_GB2312" w:eastAsia="仿宋_GB2312" w:cs="仿宋_GB2312"/>
          <w:color w:val="auto"/>
          <w:sz w:val="32"/>
          <w:szCs w:val="32"/>
          <w:lang w:eastAsia="zh-CN"/>
        </w:rPr>
        <w:t>加强无组织排放控制。焊接烟尘、切割烟尘、打磨粉尘经处理后于车间内无组织排放。厂界颗粒物浓度须满足《大气污染物综合排放标准》（GB16297-1996）表2中无组织排放监控浓度限值要求；无组织VOCs、二甲苯浓度须满足《挥发性有机物排放标准第5部分：表面涂装行业》（DB37/ 2801.5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2018）表3厂界监控限值。厂区内无组织 VOCs 执行《挥发性有机物无组织排放控制标准》（GB37822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2019）附录A中无组织排放限值。</w:t>
      </w:r>
    </w:p>
    <w:p>
      <w:pPr>
        <w:keepNext w:val="0"/>
        <w:keepLines w:val="0"/>
        <w:pageBreakBefore w:val="0"/>
        <w:widowControl/>
        <w:suppressLineNumbers w:val="0"/>
        <w:kinsoku/>
        <w:wordWrap/>
        <w:overflowPunct/>
        <w:topLinePunct w:val="0"/>
        <w:autoSpaceDE/>
        <w:autoSpaceDN/>
        <w:bidi w:val="0"/>
        <w:adjustRightInd/>
        <w:spacing w:line="52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 w:eastAsia="仿宋_GB2312"/>
          <w:color w:val="auto"/>
          <w:sz w:val="32"/>
          <w:szCs w:val="32"/>
        </w:rPr>
        <w:t>（三）</w:t>
      </w:r>
      <w:r>
        <w:rPr>
          <w:rFonts w:hint="default" w:ascii="Times New Roman" w:hAnsi="Times New Roman" w:eastAsia="仿宋_GB2312" w:cs="Times New Roman"/>
          <w:color w:val="auto"/>
          <w:sz w:val="32"/>
          <w:szCs w:val="32"/>
        </w:rPr>
        <w:t>严格落实水污染防治措施。</w:t>
      </w:r>
      <w:r>
        <w:rPr>
          <w:rFonts w:hint="eastAsia" w:ascii="仿宋_GB2312" w:hAnsi="仿宋_GB2312" w:eastAsia="仿宋_GB2312" w:cs="仿宋_GB2312"/>
          <w:color w:val="auto"/>
          <w:sz w:val="32"/>
          <w:szCs w:val="32"/>
        </w:rPr>
        <w:t>按照“雨污分流、清污分流”原则完善厂区排水系统。</w:t>
      </w:r>
      <w:r>
        <w:rPr>
          <w:rFonts w:hint="eastAsia" w:ascii="仿宋_GB2312" w:hAnsi="仿宋_GB2312" w:eastAsia="仿宋_GB2312" w:cs="仿宋_GB2312"/>
          <w:color w:val="auto"/>
          <w:sz w:val="32"/>
          <w:szCs w:val="32"/>
          <w:lang w:eastAsia="zh-CN"/>
        </w:rPr>
        <w:t>生活废水及生产废水经处理满足《污水综合排放标准》（GB8978-1996）表2三级标准及滕州市深水清河污水处理有限公司接管限值后，进入滕州市深水清河污水处理有限公司进一步处理。</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 w:eastAsia="仿宋_GB2312"/>
          <w:color w:val="auto"/>
          <w:sz w:val="32"/>
          <w:szCs w:val="32"/>
        </w:rPr>
        <w:t>（四）</w:t>
      </w:r>
      <w:r>
        <w:rPr>
          <w:rFonts w:hint="default" w:ascii="Times New Roman" w:hAnsi="Times New Roman" w:eastAsia="仿宋_GB2312" w:cs="Times New Roman"/>
          <w:color w:val="auto"/>
          <w:sz w:val="32"/>
          <w:szCs w:val="32"/>
        </w:rPr>
        <w:t>严格落实土壤和地下水污染防治措施。按照“源头防控、分区防治、污染监控、应急响应”的原则进行地下水污染防治，</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eastAsia="zh-CN"/>
        </w:rPr>
        <w:t>化粪池、危废暂存间</w:t>
      </w:r>
      <w:r>
        <w:rPr>
          <w:rFonts w:hint="eastAsia" w:ascii="仿宋_GB2312" w:hAnsi="仿宋_GB2312" w:eastAsia="仿宋_GB2312" w:cs="仿宋_GB2312"/>
          <w:color w:val="auto"/>
          <w:sz w:val="32"/>
          <w:szCs w:val="32"/>
        </w:rPr>
        <w:t>等进行严格的防渗，避免发生“跑、冒、滴、漏”现象</w:t>
      </w:r>
      <w:r>
        <w:rPr>
          <w:rFonts w:hint="eastAsia" w:ascii="仿宋_GB2312" w:hAnsi="仿宋_GB2312" w:eastAsia="仿宋_GB2312" w:cs="仿宋_GB2312"/>
          <w:color w:val="auto"/>
          <w:sz w:val="32"/>
          <w:szCs w:val="32"/>
          <w:lang w:eastAsia="zh-CN"/>
        </w:rPr>
        <w:t>，防止地下水和</w:t>
      </w:r>
      <w:r>
        <w:rPr>
          <w:rFonts w:hint="eastAsia" w:ascii="仿宋_GB2312" w:hAnsi="仿宋_GB2312" w:eastAsia="仿宋_GB2312" w:cs="仿宋_GB2312"/>
          <w:color w:val="auto"/>
          <w:sz w:val="32"/>
          <w:szCs w:val="32"/>
        </w:rPr>
        <w:t>土壤污染。</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（五）</w:t>
      </w:r>
      <w:r>
        <w:rPr>
          <w:rFonts w:hint="default" w:ascii="Times New Roman" w:hAnsi="Times New Roman" w:eastAsia="仿宋_GB2312" w:cs="Times New Roman"/>
          <w:color w:val="auto"/>
          <w:sz w:val="32"/>
          <w:szCs w:val="32"/>
        </w:rPr>
        <w:t>严格落实噪声污染防治措施</w:t>
      </w:r>
      <w:r>
        <w:rPr>
          <w:rFonts w:hint="eastAsia" w:eastAsia="仿宋_GB2312" w:cs="Times New Roman"/>
          <w:color w:val="auto"/>
          <w:sz w:val="32"/>
          <w:szCs w:val="32"/>
          <w:lang w:eastAsia="zh-CN"/>
        </w:rPr>
        <w:t>。</w:t>
      </w:r>
      <w:r>
        <w:rPr>
          <w:rFonts w:hint="eastAsia" w:ascii="仿宋_GB2312" w:hAnsi="仿宋" w:eastAsia="仿宋_GB2312"/>
          <w:color w:val="auto"/>
          <w:sz w:val="32"/>
          <w:szCs w:val="32"/>
          <w:highlight w:val="none"/>
        </w:rPr>
        <w:t>选用低噪声设备，对主要声源采用消声、隔音、减震等降噪措施，厂界环境噪声须满足《工业企业厂界环境噪声排放标准》（GB12348-2008）中的</w:t>
      </w:r>
      <w:r>
        <w:rPr>
          <w:rFonts w:hint="eastAsia" w:ascii="仿宋_GB2312" w:hAnsi="仿宋" w:eastAsia="仿宋_GB2312"/>
          <w:color w:val="auto"/>
          <w:sz w:val="32"/>
          <w:szCs w:val="32"/>
          <w:highlight w:val="none"/>
          <w:lang w:val="en-US" w:eastAsia="zh-CN"/>
        </w:rPr>
        <w:t>3</w:t>
      </w:r>
      <w:r>
        <w:rPr>
          <w:rFonts w:hint="eastAsia" w:ascii="仿宋_GB2312" w:hAnsi="仿宋" w:eastAsia="仿宋_GB2312"/>
          <w:color w:val="auto"/>
          <w:sz w:val="32"/>
          <w:szCs w:val="32"/>
          <w:highlight w:val="none"/>
        </w:rPr>
        <w:t>类标准要求。</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eastAsia="仿宋_GB2312"/>
          <w:color w:val="auto"/>
          <w:sz w:val="32"/>
          <w:szCs w:val="32"/>
          <w:shd w:val="clear" w:color="auto" w:fill="auto"/>
        </w:rPr>
      </w:pPr>
      <w:r>
        <w:rPr>
          <w:rFonts w:hint="eastAsia" w:ascii="仿宋_GB2312" w:hAnsi="仿宋" w:eastAsia="仿宋_GB2312" w:cs="Times New Roman"/>
          <w:color w:val="auto"/>
          <w:sz w:val="32"/>
          <w:szCs w:val="32"/>
        </w:rPr>
        <w:t>（六）</w:t>
      </w:r>
      <w:r>
        <w:rPr>
          <w:rFonts w:hint="default" w:ascii="仿宋_GB2312" w:hAnsi="仿宋" w:eastAsia="仿宋_GB2312" w:cs="Times New Roman"/>
          <w:color w:val="auto"/>
          <w:sz w:val="32"/>
          <w:szCs w:val="32"/>
        </w:rPr>
        <w:t>严格落实</w:t>
      </w:r>
      <w:r>
        <w:rPr>
          <w:rFonts w:hint="default" w:ascii="仿宋_GB2312" w:hAnsi="仿宋" w:eastAsia="仿宋_GB2312" w:cs="Times New Roman"/>
          <w:color w:val="auto"/>
          <w:sz w:val="32"/>
          <w:szCs w:val="32"/>
          <w:shd w:val="clear" w:color="auto" w:fill="auto"/>
        </w:rPr>
        <w:t>固体废物分类处置措施</w:t>
      </w:r>
      <w:r>
        <w:rPr>
          <w:rFonts w:hint="default" w:ascii="仿宋_GB2312" w:hAnsi="仿宋" w:eastAsia="仿宋_GB2312" w:cs="Times New Roman"/>
          <w:color w:val="auto"/>
          <w:sz w:val="32"/>
          <w:szCs w:val="32"/>
          <w:shd w:val="clear" w:color="auto" w:fill="auto"/>
          <w:lang w:eastAsia="zh-CN"/>
        </w:rPr>
        <w:t>。</w:t>
      </w:r>
      <w:r>
        <w:rPr>
          <w:rFonts w:hint="eastAsia" w:ascii="仿宋_GB2312" w:hAnsi="仿宋" w:eastAsia="仿宋_GB2312"/>
          <w:color w:val="auto"/>
          <w:sz w:val="32"/>
          <w:szCs w:val="32"/>
          <w:shd w:val="clear" w:color="auto" w:fill="auto"/>
          <w:lang w:eastAsia="zh-CN"/>
        </w:rPr>
        <w:t>生活垃圾由环卫部门定期清运；喷塑收尘装置收集的塑粉经收集后回用于生产；边角料、废气处理收集粉尘、废焊材焊渣收集后外售综合利用；废布袋、废滤芯由厂家更换后回收；废催化剂需进行固废属性鉴定，按相应要求处理；废机油、废机油桶、废活性炭、废过滤棉、漆渣、漆桶、污泥、废槽渣</w:t>
      </w:r>
      <w:r>
        <w:rPr>
          <w:rFonts w:hint="eastAsia" w:ascii="仿宋_GB2312" w:eastAsia="仿宋_GB2312"/>
          <w:color w:val="auto"/>
          <w:sz w:val="32"/>
          <w:szCs w:val="32"/>
          <w:shd w:val="clear" w:color="auto" w:fill="auto"/>
        </w:rPr>
        <w:t>暂存于危险废物暂存间</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rPr>
        <w:t>委托有危险废物处置资质的单位处理</w:t>
      </w:r>
      <w:r>
        <w:rPr>
          <w:rFonts w:hint="eastAsia" w:ascii="仿宋_GB2312" w:eastAsia="仿宋_GB2312"/>
          <w:color w:val="auto"/>
          <w:sz w:val="32"/>
          <w:szCs w:val="32"/>
          <w:shd w:val="clear" w:color="auto" w:fill="auto"/>
          <w:lang w:eastAsia="zh-CN"/>
        </w:rPr>
        <w:t>。</w:t>
      </w:r>
      <w:r>
        <w:rPr>
          <w:rFonts w:hint="eastAsia" w:ascii="仿宋_GB2312" w:hAnsi="仿宋" w:eastAsia="仿宋_GB2312"/>
          <w:color w:val="auto"/>
          <w:sz w:val="32"/>
          <w:szCs w:val="32"/>
          <w:highlight w:val="none"/>
          <w:shd w:val="clear" w:color="auto" w:fill="auto"/>
        </w:rPr>
        <w:t>一般固体废物执行《中华人民共和国固体废物污染环境防治法》、《</w:t>
      </w:r>
      <w:r>
        <w:rPr>
          <w:rFonts w:hint="eastAsia" w:ascii="仿宋_GB2312" w:hAnsi="仿宋" w:eastAsia="仿宋_GB2312"/>
          <w:color w:val="auto"/>
          <w:sz w:val="32"/>
          <w:szCs w:val="32"/>
          <w:shd w:val="clear" w:color="auto" w:fill="auto"/>
        </w:rPr>
        <w:t>一般工业固体废物管理台账制定指南（试行）》（生态环境部公告2021年第82号）相关要求</w:t>
      </w:r>
      <w:r>
        <w:rPr>
          <w:rFonts w:hint="eastAsia" w:ascii="仿宋_GB2312" w:eastAsia="仿宋_GB2312"/>
          <w:color w:val="auto"/>
          <w:sz w:val="32"/>
          <w:szCs w:val="32"/>
          <w:shd w:val="clear" w:color="auto" w:fill="auto"/>
        </w:rPr>
        <w:t>；危险废物执行《危险废物贮存污染控制标准》（GB18597-2023）的相关规定。</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textAlignment w:val="auto"/>
        <w:rPr>
          <w:rFonts w:hint="eastAsia"/>
          <w:color w:val="auto"/>
        </w:rPr>
      </w:pPr>
      <w:r>
        <w:rPr>
          <w:rFonts w:hint="eastAsia" w:ascii="仿宋_GB2312" w:eastAsia="仿宋_GB2312"/>
          <w:color w:val="auto"/>
          <w:sz w:val="32"/>
          <w:szCs w:val="32"/>
          <w:shd w:val="clear" w:color="auto" w:fill="auto"/>
        </w:rPr>
        <w:t>（</w:t>
      </w:r>
      <w:r>
        <w:rPr>
          <w:rFonts w:hint="eastAsia" w:ascii="仿宋_GB2312" w:eastAsia="仿宋_GB2312"/>
          <w:color w:val="auto"/>
          <w:sz w:val="32"/>
          <w:szCs w:val="32"/>
          <w:shd w:val="clear" w:color="auto" w:fill="auto"/>
          <w:lang w:eastAsia="zh-CN"/>
        </w:rPr>
        <w:t>七</w:t>
      </w:r>
      <w:r>
        <w:rPr>
          <w:rFonts w:hint="eastAsia" w:ascii="仿宋_GB2312" w:eastAsia="仿宋_GB2312"/>
          <w:color w:val="auto"/>
          <w:sz w:val="32"/>
          <w:szCs w:val="32"/>
          <w:shd w:val="clear" w:color="auto" w:fill="auto"/>
        </w:rPr>
        <w:t>）</w:t>
      </w:r>
      <w:r>
        <w:rPr>
          <w:rFonts w:hint="eastAsia" w:ascii="仿宋_GB2312" w:hAnsi="仿宋" w:eastAsia="仿宋_GB2312" w:cs="Times New Roman"/>
          <w:color w:val="auto"/>
          <w:sz w:val="32"/>
          <w:szCs w:val="32"/>
          <w:shd w:val="clear" w:color="auto" w:fill="auto"/>
        </w:rPr>
        <w:t>项目建成运行后</w:t>
      </w:r>
      <w:r>
        <w:rPr>
          <w:rFonts w:hint="eastAsia" w:ascii="仿宋_GB2312" w:hAnsi="仿宋" w:eastAsia="仿宋_GB2312" w:cs="Times New Roman"/>
          <w:color w:val="auto"/>
          <w:sz w:val="32"/>
          <w:szCs w:val="32"/>
          <w:shd w:val="clear" w:color="auto" w:fill="auto"/>
          <w:lang w:eastAsia="zh-CN"/>
        </w:rPr>
        <w:t>，二氧化硫、氮氧化物、</w:t>
      </w:r>
      <w:r>
        <w:rPr>
          <w:rFonts w:hint="eastAsia" w:ascii="仿宋_GB2312" w:eastAsia="仿宋_GB2312"/>
          <w:color w:val="auto"/>
          <w:sz w:val="32"/>
          <w:szCs w:val="32"/>
          <w:shd w:val="clear" w:color="auto" w:fill="auto"/>
          <w:lang w:eastAsia="zh-CN"/>
        </w:rPr>
        <w:t>颗粒物、</w:t>
      </w:r>
      <w:r>
        <w:rPr>
          <w:rFonts w:hint="eastAsia" w:ascii="仿宋_GB2312" w:eastAsia="仿宋_GB2312"/>
          <w:color w:val="auto"/>
          <w:sz w:val="32"/>
          <w:szCs w:val="32"/>
          <w:shd w:val="clear" w:color="auto" w:fill="auto"/>
          <w:lang w:val="en-US" w:eastAsia="zh-CN"/>
        </w:rPr>
        <w:t>VOC</w:t>
      </w:r>
      <w:r>
        <w:rPr>
          <w:rFonts w:hint="eastAsia" w:ascii="仿宋_GB2312" w:eastAsia="仿宋_GB2312"/>
          <w:color w:val="auto"/>
          <w:sz w:val="18"/>
          <w:szCs w:val="18"/>
          <w:shd w:val="clear" w:color="auto" w:fill="auto"/>
          <w:lang w:val="en-US" w:eastAsia="zh-CN"/>
        </w:rPr>
        <w:t>S</w:t>
      </w:r>
      <w:r>
        <w:rPr>
          <w:rFonts w:hint="eastAsia" w:ascii="仿宋_GB2312" w:eastAsia="仿宋_GB2312"/>
          <w:color w:val="auto"/>
          <w:sz w:val="32"/>
          <w:szCs w:val="32"/>
          <w:shd w:val="clear" w:color="auto" w:fill="auto"/>
        </w:rPr>
        <w:t>排放总量必须严格控制在</w:t>
      </w:r>
      <w:r>
        <w:rPr>
          <w:rFonts w:hint="eastAsia" w:ascii="仿宋_GB2312" w:eastAsia="仿宋_GB2312"/>
          <w:color w:val="auto"/>
          <w:sz w:val="32"/>
          <w:szCs w:val="32"/>
          <w:shd w:val="clear" w:color="auto" w:fill="auto"/>
          <w:lang w:val="en-US" w:eastAsia="zh-CN"/>
        </w:rPr>
        <w:t>0.176</w:t>
      </w:r>
      <w:r>
        <w:rPr>
          <w:rFonts w:hint="eastAsia" w:ascii="仿宋_GB2312" w:eastAsia="仿宋_GB2312"/>
          <w:color w:val="auto"/>
          <w:sz w:val="32"/>
          <w:szCs w:val="32"/>
          <w:shd w:val="clear" w:color="auto" w:fill="auto"/>
        </w:rPr>
        <w:t>t/a</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0.615</w:t>
      </w:r>
      <w:r>
        <w:rPr>
          <w:rFonts w:hint="eastAsia" w:ascii="仿宋_GB2312" w:eastAsia="仿宋_GB2312"/>
          <w:color w:val="auto"/>
          <w:sz w:val="32"/>
          <w:szCs w:val="32"/>
          <w:shd w:val="clear" w:color="auto" w:fill="auto"/>
        </w:rPr>
        <w:t>t/a</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0.496</w:t>
      </w:r>
      <w:r>
        <w:rPr>
          <w:rFonts w:hint="eastAsia" w:ascii="仿宋_GB2312" w:eastAsia="仿宋_GB2312"/>
          <w:color w:val="auto"/>
          <w:sz w:val="32"/>
          <w:szCs w:val="32"/>
          <w:shd w:val="clear" w:color="auto" w:fill="auto"/>
        </w:rPr>
        <w:t>t/a</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0.523</w:t>
      </w:r>
      <w:r>
        <w:rPr>
          <w:rFonts w:hint="eastAsia" w:ascii="仿宋_GB2312" w:eastAsia="仿宋_GB2312"/>
          <w:color w:val="auto"/>
          <w:sz w:val="32"/>
          <w:szCs w:val="32"/>
          <w:shd w:val="clear" w:color="auto" w:fill="auto"/>
        </w:rPr>
        <w:t>t/a以内</w:t>
      </w:r>
      <w:r>
        <w:rPr>
          <w:rFonts w:hint="eastAsia" w:ascii="仿宋_GB2312" w:eastAsia="仿宋_GB2312"/>
          <w:color w:val="auto"/>
          <w:sz w:val="32"/>
          <w:szCs w:val="32"/>
          <w:lang w:eastAsia="zh-CN"/>
        </w:rPr>
        <w:t>；COD、氨氮总量0.</w:t>
      </w:r>
      <w:r>
        <w:rPr>
          <w:rFonts w:hint="eastAsia" w:ascii="仿宋_GB2312" w:eastAsia="仿宋_GB2312"/>
          <w:color w:val="auto"/>
          <w:sz w:val="32"/>
          <w:szCs w:val="32"/>
          <w:lang w:val="en-US" w:eastAsia="zh-CN"/>
        </w:rPr>
        <w:t>141</w:t>
      </w:r>
      <w:r>
        <w:rPr>
          <w:rFonts w:hint="eastAsia" w:ascii="仿宋_GB2312" w:eastAsia="仿宋_GB2312"/>
          <w:color w:val="auto"/>
          <w:sz w:val="32"/>
          <w:szCs w:val="32"/>
          <w:lang w:eastAsia="zh-CN"/>
        </w:rPr>
        <w:t>t/a、0.</w:t>
      </w:r>
      <w:r>
        <w:rPr>
          <w:rFonts w:hint="eastAsia" w:ascii="仿宋_GB2312" w:eastAsia="仿宋_GB2312"/>
          <w:color w:val="auto"/>
          <w:sz w:val="32"/>
          <w:szCs w:val="32"/>
          <w:lang w:val="en-US" w:eastAsia="zh-CN"/>
        </w:rPr>
        <w:t>014</w:t>
      </w:r>
      <w:r>
        <w:rPr>
          <w:rFonts w:hint="eastAsia" w:ascii="仿宋_GB2312" w:eastAsia="仿宋_GB2312"/>
          <w:color w:val="auto"/>
          <w:sz w:val="32"/>
          <w:szCs w:val="32"/>
          <w:lang w:eastAsia="zh-CN"/>
        </w:rPr>
        <w:t>t/a从滕州市深水清河污水处理有限公司总量中调剂解决。</w:t>
      </w:r>
    </w:p>
    <w:p>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firstLineChars="200"/>
        <w:jc w:val="both"/>
        <w:textAlignment w:val="auto"/>
        <w:rPr>
          <w:rFonts w:hint="eastAsia" w:ascii="Times New Roman" w:hAnsi="Times New Roman" w:eastAsia="仿宋_GB2312" w:cs="Times New Roman"/>
          <w:color w:val="auto"/>
          <w:sz w:val="32"/>
          <w:szCs w:val="32"/>
          <w:lang w:eastAsia="zh-CN"/>
        </w:rPr>
      </w:pPr>
      <w:r>
        <w:rPr>
          <w:rFonts w:hint="eastAsia" w:eastAsia="仿宋_GB2312" w:cs="Times New Roman"/>
          <w:color w:val="auto"/>
          <w:sz w:val="32"/>
          <w:szCs w:val="32"/>
          <w:lang w:eastAsia="zh-CN"/>
        </w:rPr>
        <w:t>（八）</w:t>
      </w:r>
      <w:r>
        <w:rPr>
          <w:rFonts w:hint="default" w:ascii="Times New Roman" w:hAnsi="Times New Roman" w:eastAsia="仿宋_GB2312" w:cs="Times New Roman"/>
          <w:color w:val="auto"/>
          <w:sz w:val="32"/>
          <w:szCs w:val="32"/>
        </w:rPr>
        <w:t>健全环境管理制度。设置符合监测要求的采样口</w:t>
      </w:r>
      <w:r>
        <w:rPr>
          <w:rFonts w:hint="eastAsia"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采样平台</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在排气筒附近醒目处设置环保标志牌。根据</w:t>
      </w:r>
      <w:r>
        <w:rPr>
          <w:rFonts w:hint="eastAsia" w:eastAsia="仿宋_GB2312" w:cs="Times New Roman"/>
          <w:color w:val="auto"/>
          <w:sz w:val="32"/>
          <w:szCs w:val="32"/>
          <w:lang w:eastAsia="zh-CN"/>
        </w:rPr>
        <w:t>有关要求</w:t>
      </w:r>
      <w:r>
        <w:rPr>
          <w:rFonts w:hint="eastAsia" w:ascii="Times New Roman" w:hAnsi="Times New Roman" w:eastAsia="仿宋_GB2312" w:cs="Times New Roman"/>
          <w:color w:val="auto"/>
          <w:sz w:val="32"/>
          <w:szCs w:val="32"/>
          <w:lang w:eastAsia="zh-CN"/>
        </w:rPr>
        <w:t>，</w:t>
      </w:r>
      <w:r>
        <w:rPr>
          <w:rFonts w:hint="eastAsia" w:eastAsia="仿宋_GB2312" w:cs="Times New Roman"/>
          <w:color w:val="auto"/>
          <w:sz w:val="32"/>
          <w:szCs w:val="32"/>
          <w:lang w:eastAsia="zh-CN"/>
        </w:rPr>
        <w:t>制定污染源自行监测计划，定期开展自行监测。</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eastAsia" w:ascii="仿宋_GB2312" w:hAnsi="仿宋"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九</w:t>
      </w:r>
      <w:r>
        <w:rPr>
          <w:rFonts w:hint="eastAsia" w:ascii="仿宋_GB2312" w:eastAsia="仿宋_GB2312"/>
          <w:color w:val="auto"/>
          <w:sz w:val="32"/>
          <w:szCs w:val="32"/>
        </w:rPr>
        <w:t>）</w:t>
      </w:r>
      <w:r>
        <w:rPr>
          <w:rFonts w:hint="eastAsia" w:ascii="仿宋_GB2312" w:hAnsi="仿宋_GB2312" w:eastAsia="仿宋_GB2312" w:cs="仿宋_GB2312"/>
          <w:color w:val="auto"/>
          <w:sz w:val="32"/>
          <w:szCs w:val="32"/>
        </w:rPr>
        <w:t>强化环境风险防范和应急措施。你</w:t>
      </w:r>
      <w:r>
        <w:rPr>
          <w:rFonts w:hint="eastAsia" w:ascii="仿宋_GB2312" w:hAnsi="仿宋_GB2312" w:eastAsia="仿宋_GB2312" w:cs="仿宋_GB2312"/>
          <w:color w:val="auto"/>
          <w:sz w:val="32"/>
          <w:szCs w:val="32"/>
          <w:lang w:eastAsia="zh-CN"/>
        </w:rPr>
        <w:t>公司</w:t>
      </w:r>
      <w:r>
        <w:rPr>
          <w:rFonts w:hint="eastAsia" w:ascii="仿宋_GB2312" w:hAnsi="仿宋_GB2312" w:eastAsia="仿宋_GB2312" w:cs="仿宋_GB2312"/>
          <w:color w:val="auto"/>
          <w:sz w:val="32"/>
          <w:szCs w:val="32"/>
        </w:rPr>
        <w:t>须</w:t>
      </w:r>
      <w:r>
        <w:rPr>
          <w:rFonts w:hint="eastAsia" w:ascii="仿宋_GB2312" w:hAnsi="仿宋_GB2312" w:eastAsia="仿宋_GB2312" w:cs="仿宋_GB2312"/>
          <w:color w:val="auto"/>
          <w:sz w:val="32"/>
          <w:szCs w:val="32"/>
          <w:lang w:eastAsia="zh-CN"/>
        </w:rPr>
        <w:t>按照有关规定</w:t>
      </w:r>
      <w:r>
        <w:rPr>
          <w:rFonts w:hint="eastAsia" w:ascii="仿宋_GB2312" w:hAnsi="仿宋_GB2312" w:eastAsia="仿宋_GB2312" w:cs="仿宋_GB2312"/>
          <w:color w:val="auto"/>
          <w:sz w:val="32"/>
          <w:szCs w:val="32"/>
        </w:rPr>
        <w:t>组织开展安全风险评估和隐患排查治理，制定突发环境事件应急预案，配备必要的事故防范应急设施、设备并演练，切实加强事故应急处理及防范能力，确保环境安全。</w:t>
      </w:r>
    </w:p>
    <w:p>
      <w:pPr>
        <w:pStyle w:val="2"/>
        <w:keepNext w:val="0"/>
        <w:keepLines w:val="0"/>
        <w:pageBreakBefore w:val="0"/>
        <w:widowControl w:val="0"/>
        <w:kinsoku/>
        <w:wordWrap/>
        <w:overflowPunct/>
        <w:topLinePunct w:val="0"/>
        <w:autoSpaceDE/>
        <w:autoSpaceDN/>
        <w:bidi w:val="0"/>
        <w:adjustRightInd/>
        <w:spacing w:after="0" w:afterLines="0" w:line="520" w:lineRule="exact"/>
        <w:ind w:firstLine="640" w:firstLineChars="200"/>
        <w:textAlignment w:val="auto"/>
        <w:rPr>
          <w:rFonts w:hint="default" w:ascii="Times New Roman" w:hAnsi="Times New Roman" w:eastAsia="仿宋_GB2312" w:cs="Times New Roman"/>
          <w:color w:val="auto"/>
          <w:sz w:val="32"/>
          <w:szCs w:val="32"/>
        </w:rPr>
      </w:pPr>
      <w:r>
        <w:rPr>
          <w:rFonts w:hint="eastAsia" w:ascii="仿宋_GB2312" w:hAnsi="仿宋" w:eastAsia="仿宋_GB2312"/>
          <w:color w:val="auto"/>
          <w:sz w:val="32"/>
          <w:szCs w:val="32"/>
          <w:shd w:val="clear" w:color="auto" w:fill="auto"/>
        </w:rPr>
        <w:t>三、项目建设必须严格执行配套的环境保护设施与主体工程同时设计、同时施工、同时投产使用的环境保护“三同时”制度。</w:t>
      </w:r>
      <w:r>
        <w:rPr>
          <w:rFonts w:hint="default" w:ascii="Times New Roman" w:hAnsi="Times New Roman" w:eastAsia="仿宋_GB2312" w:cs="Times New Roman"/>
          <w:color w:val="auto"/>
          <w:sz w:val="32"/>
          <w:szCs w:val="32"/>
        </w:rPr>
        <w:t>项目建成后，</w:t>
      </w:r>
      <w:r>
        <w:rPr>
          <w:rFonts w:hint="eastAsia" w:ascii="仿宋_GB2312" w:hAnsi="仿宋" w:eastAsia="仿宋_GB2312"/>
          <w:color w:val="auto"/>
          <w:sz w:val="32"/>
          <w:szCs w:val="32"/>
          <w:shd w:val="clear" w:color="auto" w:fill="auto"/>
        </w:rPr>
        <w:t>须按规定</w:t>
      </w:r>
      <w:r>
        <w:rPr>
          <w:rFonts w:hint="default" w:ascii="Times New Roman" w:hAnsi="Times New Roman" w:eastAsia="仿宋_GB2312" w:cs="Times New Roman"/>
          <w:color w:val="auto"/>
          <w:sz w:val="32"/>
          <w:szCs w:val="32"/>
        </w:rPr>
        <w:t>程序实施竣工环境保护验收。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 w:eastAsia="仿宋_GB2312"/>
          <w:color w:val="auto"/>
          <w:sz w:val="32"/>
          <w:szCs w:val="32"/>
          <w:shd w:val="clear" w:color="auto" w:fill="auto"/>
        </w:rPr>
      </w:pPr>
      <w:r>
        <w:rPr>
          <w:rFonts w:hint="eastAsia" w:ascii="仿宋_GB2312" w:hAnsi="仿宋" w:eastAsia="仿宋_GB2312"/>
          <w:color w:val="auto"/>
          <w:sz w:val="32"/>
          <w:szCs w:val="32"/>
          <w:shd w:val="clear" w:color="auto" w:fill="auto"/>
        </w:rPr>
        <w:t>四、若该建设项目的</w:t>
      </w:r>
      <w:r>
        <w:rPr>
          <w:rFonts w:hint="default" w:ascii="Times New Roman" w:hAnsi="Times New Roman" w:eastAsia="仿宋_GB2312" w:cs="Times New Roman"/>
          <w:color w:val="auto"/>
          <w:sz w:val="32"/>
          <w:szCs w:val="32"/>
        </w:rPr>
        <w:t>性质、规模、地点、生产工艺或者防治污染、防止生态破坏的措施发生重大变动的，应当重新报批该项目的环境影响报告</w:t>
      </w:r>
      <w:r>
        <w:rPr>
          <w:rFonts w:hint="eastAsia" w:eastAsia="仿宋_GB2312" w:cs="Times New Roman"/>
          <w:color w:val="auto"/>
          <w:sz w:val="32"/>
          <w:szCs w:val="32"/>
          <w:lang w:eastAsia="zh-CN"/>
        </w:rPr>
        <w:t>表</w:t>
      </w:r>
      <w:r>
        <w:rPr>
          <w:rFonts w:hint="default" w:ascii="Times New Roman" w:hAnsi="Times New Roman" w:eastAsia="仿宋_GB2312" w:cs="Times New Roman"/>
          <w:color w:val="auto"/>
          <w:sz w:val="32"/>
          <w:szCs w:val="32"/>
        </w:rPr>
        <w:t>。自环境影响报告</w:t>
      </w:r>
      <w:r>
        <w:rPr>
          <w:rFonts w:hint="eastAsia" w:eastAsia="仿宋_GB2312" w:cs="Times New Roman"/>
          <w:color w:val="auto"/>
          <w:sz w:val="32"/>
          <w:szCs w:val="32"/>
          <w:lang w:eastAsia="zh-CN"/>
        </w:rPr>
        <w:t>表</w:t>
      </w:r>
      <w:r>
        <w:rPr>
          <w:rFonts w:hint="default" w:ascii="Times New Roman" w:hAnsi="Times New Roman" w:eastAsia="仿宋_GB2312" w:cs="Times New Roman"/>
          <w:color w:val="auto"/>
          <w:sz w:val="32"/>
          <w:szCs w:val="32"/>
        </w:rPr>
        <w:t>批复文件批准之日起，如超过5年项目才开工的，应当在开工前将环境影响报告</w:t>
      </w:r>
      <w:r>
        <w:rPr>
          <w:rFonts w:hint="eastAsia" w:eastAsia="仿宋_GB2312" w:cs="Times New Roman"/>
          <w:color w:val="auto"/>
          <w:sz w:val="32"/>
          <w:szCs w:val="32"/>
          <w:lang w:eastAsia="zh-CN"/>
        </w:rPr>
        <w:t>表</w:t>
      </w:r>
      <w:r>
        <w:rPr>
          <w:rFonts w:hint="default" w:ascii="Times New Roman" w:hAnsi="Times New Roman" w:eastAsia="仿宋_GB2312" w:cs="Times New Roman"/>
          <w:color w:val="auto"/>
          <w:sz w:val="32"/>
          <w:szCs w:val="32"/>
        </w:rPr>
        <w:t>报批重新审核。如根据法律法规等相关规定需要进行更严格要求的，实行从严管理。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olor w:val="auto"/>
          <w:sz w:val="32"/>
          <w:szCs w:val="32"/>
          <w:shd w:val="clear" w:color="auto" w:fill="auto"/>
        </w:rPr>
      </w:pPr>
      <w:r>
        <w:rPr>
          <w:rFonts w:hint="eastAsia" w:ascii="仿宋_GB2312" w:hAnsi="仿宋" w:eastAsia="仿宋_GB2312"/>
          <w:color w:val="auto"/>
          <w:sz w:val="32"/>
          <w:szCs w:val="32"/>
          <w:shd w:val="clear" w:color="auto" w:fill="auto"/>
        </w:rPr>
        <w:t>五、你公司须履行环境保护主体责任，主动接受</w:t>
      </w:r>
      <w:r>
        <w:rPr>
          <w:rFonts w:hint="eastAsia" w:ascii="仿宋_GB2312" w:hAnsi="仿宋" w:eastAsia="仿宋_GB2312"/>
          <w:color w:val="auto"/>
          <w:sz w:val="32"/>
          <w:szCs w:val="32"/>
          <w:shd w:val="clear" w:color="auto" w:fill="auto"/>
          <w:lang w:eastAsia="zh-CN"/>
        </w:rPr>
        <w:t>各级生态环境部门</w:t>
      </w:r>
      <w:r>
        <w:rPr>
          <w:rFonts w:hint="eastAsia" w:ascii="仿宋_GB2312" w:hAnsi="仿宋" w:eastAsia="仿宋_GB2312"/>
          <w:color w:val="auto"/>
          <w:sz w:val="32"/>
          <w:szCs w:val="32"/>
          <w:shd w:val="clear" w:color="auto" w:fill="auto"/>
        </w:rPr>
        <w:t>的监督管理和执法检查。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 w:eastAsia="仿宋_GB2312"/>
          <w:color w:val="auto"/>
          <w:sz w:val="32"/>
          <w:szCs w:val="32"/>
          <w:shd w:val="clear" w:color="auto" w:fill="auto"/>
        </w:rPr>
      </w:pPr>
      <w:r>
        <w:rPr>
          <w:rFonts w:hint="eastAsia" w:ascii="仿宋_GB2312" w:hAnsi="仿宋" w:eastAsia="仿宋_GB2312"/>
          <w:color w:val="auto"/>
          <w:sz w:val="32"/>
          <w:szCs w:val="32"/>
          <w:shd w:val="clear" w:color="auto" w:fill="auto"/>
          <w:lang w:eastAsia="zh-CN"/>
        </w:rPr>
        <w:t>六、</w:t>
      </w:r>
      <w:r>
        <w:rPr>
          <w:rFonts w:hint="default" w:ascii="仿宋_GB2312" w:hAnsi="仿宋" w:eastAsia="仿宋_GB2312"/>
          <w:color w:val="auto"/>
          <w:sz w:val="32"/>
          <w:szCs w:val="32"/>
          <w:shd w:val="clear" w:color="auto" w:fill="auto"/>
        </w:rPr>
        <w:t>如有符合《中华人民共和国行政许可法》第七十八条</w:t>
      </w:r>
      <w:r>
        <w:rPr>
          <w:rFonts w:hint="eastAsia" w:ascii="仿宋_GB2312" w:hAnsi="仿宋" w:eastAsia="仿宋_GB2312"/>
          <w:color w:val="auto"/>
          <w:sz w:val="32"/>
          <w:szCs w:val="32"/>
          <w:shd w:val="clear" w:color="auto" w:fill="auto"/>
          <w:lang w:eastAsia="zh-CN"/>
        </w:rPr>
        <w:t>“</w:t>
      </w:r>
      <w:r>
        <w:rPr>
          <w:rFonts w:hint="default" w:ascii="仿宋_GB2312" w:hAnsi="仿宋" w:eastAsia="仿宋_GB2312"/>
          <w:color w:val="auto"/>
          <w:sz w:val="32"/>
          <w:szCs w:val="32"/>
          <w:shd w:val="clear" w:color="auto" w:fill="auto"/>
        </w:rPr>
        <w:t>行政许可申请人隐瞒有关情况或者提供虚假材料申请行政许可，行政机关应不予受理或者不予行政许可情形</w:t>
      </w:r>
      <w:r>
        <w:rPr>
          <w:rFonts w:hint="eastAsia" w:ascii="仿宋_GB2312" w:hAnsi="仿宋" w:eastAsia="仿宋_GB2312"/>
          <w:color w:val="auto"/>
          <w:sz w:val="32"/>
          <w:szCs w:val="32"/>
          <w:shd w:val="clear" w:color="auto" w:fill="auto"/>
          <w:lang w:eastAsia="zh-CN"/>
        </w:rPr>
        <w:t>”</w:t>
      </w:r>
      <w:r>
        <w:rPr>
          <w:rFonts w:hint="default" w:ascii="仿宋_GB2312" w:hAnsi="仿宋" w:eastAsia="仿宋_GB2312"/>
          <w:color w:val="auto"/>
          <w:sz w:val="32"/>
          <w:szCs w:val="32"/>
          <w:shd w:val="clear" w:color="auto" w:fill="auto"/>
        </w:rPr>
        <w:t>或不符合相关法律法规规定要求的，本批复自然作废。</w:t>
      </w:r>
    </w:p>
    <w:p>
      <w:pPr>
        <w:pStyle w:val="3"/>
        <w:keepNext w:val="0"/>
        <w:keepLines w:val="0"/>
        <w:pageBreakBefore w:val="0"/>
        <w:kinsoku/>
        <w:wordWrap/>
        <w:overflowPunct/>
        <w:topLinePunct w:val="0"/>
        <w:bidi w:val="0"/>
        <w:spacing w:line="520" w:lineRule="exact"/>
        <w:textAlignment w:val="auto"/>
        <w:rPr>
          <w:rFonts w:hint="eastAsia"/>
          <w:color w:val="auto"/>
        </w:rPr>
      </w:pPr>
    </w:p>
    <w:p>
      <w:pPr>
        <w:pStyle w:val="4"/>
        <w:numPr>
          <w:ilvl w:val="0"/>
          <w:numId w:val="0"/>
        </w:numPr>
        <w:ind w:left="1680" w:leftChars="0"/>
        <w:rPr>
          <w:rFonts w:hint="eastAsia"/>
        </w:rPr>
      </w:pPr>
    </w:p>
    <w:p>
      <w:pPr>
        <w:keepNext w:val="0"/>
        <w:keepLines w:val="0"/>
        <w:pageBreakBefore w:val="0"/>
        <w:kinsoku/>
        <w:wordWrap/>
        <w:overflowPunct/>
        <w:topLinePunct w:val="0"/>
        <w:bidi w:val="0"/>
        <w:snapToGrid w:val="0"/>
        <w:spacing w:line="520" w:lineRule="exact"/>
        <w:ind w:right="840" w:rightChars="400"/>
        <w:jc w:val="right"/>
        <w:textAlignment w:val="auto"/>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枣庄市生态环境局</w:t>
      </w:r>
    </w:p>
    <w:p>
      <w:pPr>
        <w:keepNext w:val="0"/>
        <w:keepLines w:val="0"/>
        <w:pageBreakBefore w:val="0"/>
        <w:kinsoku/>
        <w:wordWrap/>
        <w:overflowPunct/>
        <w:topLinePunct w:val="0"/>
        <w:bidi w:val="0"/>
        <w:snapToGrid w:val="0"/>
        <w:spacing w:line="52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 xml:space="preserve">                         </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 xml:space="preserve">  </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年</w:t>
      </w:r>
      <w:r>
        <w:rPr>
          <w:rFonts w:hint="default" w:ascii="仿宋_GB2312" w:hAnsi="仿宋" w:eastAsia="仿宋_GB2312"/>
          <w:color w:val="auto"/>
          <w:sz w:val="32"/>
          <w:szCs w:val="32"/>
          <w:lang w:val="en" w:eastAsia="zh-CN"/>
        </w:rPr>
        <w:t>4</w:t>
      </w:r>
      <w:r>
        <w:rPr>
          <w:rFonts w:hint="eastAsia" w:ascii="仿宋_GB2312" w:hAnsi="仿宋" w:eastAsia="仿宋_GB2312"/>
          <w:color w:val="auto"/>
          <w:sz w:val="32"/>
          <w:szCs w:val="32"/>
        </w:rPr>
        <w:t>月</w:t>
      </w:r>
      <w:r>
        <w:rPr>
          <w:rFonts w:hint="default" w:ascii="仿宋_GB2312" w:hAnsi="仿宋" w:eastAsia="仿宋_GB2312"/>
          <w:color w:val="auto"/>
          <w:sz w:val="32"/>
          <w:szCs w:val="32"/>
          <w:lang w:val="en" w:eastAsia="zh-CN"/>
        </w:rPr>
        <w:t>1</w:t>
      </w:r>
      <w:r>
        <w:rPr>
          <w:rFonts w:hint="eastAsia" w:ascii="仿宋_GB2312" w:hAnsi="仿宋" w:eastAsia="仿宋_GB2312"/>
          <w:color w:val="auto"/>
          <w:sz w:val="32"/>
          <w:szCs w:val="32"/>
        </w:rPr>
        <w:t>日</w:t>
      </w:r>
    </w:p>
    <w:p>
      <w:pPr>
        <w:pStyle w:val="3"/>
        <w:keepNext w:val="0"/>
        <w:keepLines w:val="0"/>
        <w:pageBreakBefore w:val="0"/>
        <w:kinsoku/>
        <w:wordWrap/>
        <w:overflowPunct/>
        <w:topLinePunct w:val="0"/>
        <w:bidi w:val="0"/>
        <w:spacing w:line="520" w:lineRule="exact"/>
        <w:textAlignment w:val="auto"/>
        <w:rPr>
          <w:rFonts w:hint="eastAsia" w:ascii="仿宋_GB2312" w:hAnsi="仿宋" w:eastAsia="仿宋_GB2312"/>
          <w:color w:val="auto"/>
          <w:sz w:val="32"/>
          <w:szCs w:val="32"/>
        </w:rPr>
      </w:pPr>
    </w:p>
    <w:p>
      <w:pPr>
        <w:pStyle w:val="4"/>
        <w:widowControl w:val="0"/>
        <w:numPr>
          <w:ilvl w:val="0"/>
          <w:numId w:val="0"/>
        </w:numPr>
        <w:jc w:val="both"/>
        <w:rPr>
          <w:rFonts w:hint="eastAsia" w:ascii="仿宋_GB2312" w:hAnsi="仿宋" w:eastAsia="仿宋_GB2312"/>
          <w:color w:val="auto"/>
          <w:sz w:val="32"/>
          <w:szCs w:val="32"/>
        </w:rPr>
      </w:pPr>
    </w:p>
    <w:p>
      <w:pPr>
        <w:pStyle w:val="4"/>
        <w:widowControl w:val="0"/>
        <w:numPr>
          <w:ilvl w:val="0"/>
          <w:numId w:val="0"/>
        </w:numPr>
        <w:jc w:val="both"/>
        <w:rPr>
          <w:rFonts w:hint="eastAsia" w:ascii="仿宋_GB2312" w:hAnsi="仿宋" w:eastAsia="仿宋_GB2312"/>
          <w:color w:val="auto"/>
          <w:sz w:val="32"/>
          <w:szCs w:val="32"/>
        </w:rPr>
      </w:pPr>
    </w:p>
    <w:p>
      <w:pPr>
        <w:pStyle w:val="4"/>
        <w:widowControl w:val="0"/>
        <w:numPr>
          <w:ilvl w:val="0"/>
          <w:numId w:val="0"/>
        </w:numPr>
        <w:jc w:val="both"/>
        <w:rPr>
          <w:rFonts w:hint="eastAsia" w:ascii="仿宋_GB2312" w:hAnsi="仿宋" w:eastAsia="仿宋_GB2312"/>
          <w:color w:val="auto"/>
          <w:sz w:val="32"/>
          <w:szCs w:val="32"/>
        </w:rPr>
      </w:pPr>
    </w:p>
    <w:p>
      <w:pPr>
        <w:pStyle w:val="4"/>
        <w:widowControl w:val="0"/>
        <w:numPr>
          <w:ilvl w:val="0"/>
          <w:numId w:val="0"/>
        </w:numPr>
        <w:jc w:val="both"/>
        <w:rPr>
          <w:rFonts w:hint="eastAsia" w:ascii="仿宋_GB2312" w:hAnsi="仿宋" w:eastAsia="仿宋_GB2312"/>
          <w:color w:val="auto"/>
          <w:sz w:val="32"/>
          <w:szCs w:val="32"/>
        </w:rPr>
      </w:pPr>
    </w:p>
    <w:p>
      <w:pPr>
        <w:pStyle w:val="4"/>
        <w:widowControl w:val="0"/>
        <w:numPr>
          <w:ilvl w:val="0"/>
          <w:numId w:val="0"/>
        </w:numPr>
        <w:jc w:val="both"/>
        <w:rPr>
          <w:rFonts w:hint="eastAsia" w:ascii="仿宋_GB2312" w:hAnsi="仿宋" w:eastAsia="仿宋_GB2312"/>
          <w:color w:val="auto"/>
          <w:sz w:val="32"/>
          <w:szCs w:val="32"/>
        </w:rPr>
      </w:pPr>
    </w:p>
    <w:p>
      <w:pPr>
        <w:pStyle w:val="4"/>
        <w:widowControl w:val="0"/>
        <w:numPr>
          <w:ilvl w:val="0"/>
          <w:numId w:val="0"/>
        </w:numPr>
        <w:jc w:val="both"/>
        <w:rPr>
          <w:rFonts w:hint="eastAsia" w:ascii="仿宋_GB2312" w:hAnsi="仿宋" w:eastAsia="仿宋_GB2312"/>
          <w:color w:val="auto"/>
          <w:sz w:val="32"/>
          <w:szCs w:val="32"/>
        </w:rPr>
      </w:pPr>
    </w:p>
    <w:p>
      <w:pPr>
        <w:keepNext w:val="0"/>
        <w:keepLines w:val="0"/>
        <w:pageBreakBefore w:val="0"/>
        <w:kinsoku/>
        <w:wordWrap/>
        <w:overflowPunct/>
        <w:topLinePunct w:val="0"/>
        <w:bidi w:val="0"/>
        <w:snapToGrid w:val="0"/>
        <w:spacing w:line="520" w:lineRule="exact"/>
        <w:textAlignment w:val="auto"/>
        <w:rPr>
          <w:rFonts w:ascii="仿宋_GB2312" w:hAnsi="仿宋" w:eastAsia="仿宋_GB2312"/>
          <w:color w:val="auto"/>
          <w:sz w:val="28"/>
          <w:szCs w:val="28"/>
        </w:rPr>
      </w:pPr>
      <w:r>
        <w:rPr>
          <w:rFonts w:hint="eastAsia" w:ascii="仿宋_GB2312" w:hAnsi="仿宋" w:eastAsia="仿宋_GB2312"/>
          <w:color w:val="auto"/>
          <w:sz w:val="28"/>
          <w:szCs w:val="28"/>
        </w:rPr>
        <w:t>主题词：生态环境     环境影响评价     报告表    批复</w:t>
      </w:r>
    </w:p>
    <w:p>
      <w:pPr>
        <w:keepNext w:val="0"/>
        <w:keepLines w:val="0"/>
        <w:pageBreakBefore w:val="0"/>
        <w:kinsoku/>
        <w:wordWrap/>
        <w:overflowPunct/>
        <w:topLinePunct w:val="0"/>
        <w:bidi w:val="0"/>
        <w:spacing w:line="520" w:lineRule="exact"/>
        <w:textAlignment w:val="auto"/>
        <w:rPr>
          <w:rFonts w:hint="eastAsia"/>
          <w:color w:val="auto"/>
        </w:rPr>
      </w:pPr>
      <w:r>
        <w:rPr>
          <w:rFonts w:ascii="仿宋_GB2312" w:hAnsi="仿宋" w:eastAsia="仿宋_GB2312"/>
          <w:color w:val="auto"/>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393700</wp:posOffset>
                </wp:positionV>
                <wp:extent cx="5238750" cy="0"/>
                <wp:effectExtent l="0" t="9525" r="0" b="9525"/>
                <wp:wrapNone/>
                <wp:docPr id="2" name="Line 5"/>
                <wp:cNvGraphicFramePr/>
                <a:graphic xmlns:a="http://schemas.openxmlformats.org/drawingml/2006/main">
                  <a:graphicData uri="http://schemas.microsoft.com/office/word/2010/wordprocessingShape">
                    <wps:wsp>
                      <wps:cNvCnPr>
                        <a:cxnSpLocks noChangeShapeType="true"/>
                      </wps:cNvCnPr>
                      <wps:spPr bwMode="auto">
                        <a:xfrm flipV="true">
                          <a:off x="0" y="0"/>
                          <a:ext cx="5238750" cy="0"/>
                        </a:xfrm>
                        <a:prstGeom prst="line">
                          <a:avLst/>
                        </a:prstGeom>
                        <a:noFill/>
                        <a:ln w="19050">
                          <a:solidFill>
                            <a:srgbClr val="000000"/>
                          </a:solidFill>
                          <a:round/>
                        </a:ln>
                        <a:effectLst/>
                      </wps:spPr>
                      <wps:bodyPr/>
                    </wps:wsp>
                  </a:graphicData>
                </a:graphic>
              </wp:anchor>
            </w:drawing>
          </mc:Choice>
          <mc:Fallback>
            <w:pict>
              <v:line id="Line 5" o:spid="_x0000_s1026" o:spt="20" style="position:absolute;left:0pt;flip:y;margin-left:1.5pt;margin-top:31pt;height:0pt;width:412.5pt;z-index:251659264;mso-width-relative:page;mso-height-relative:page;" filled="f" stroked="t" coordsize="21600,21600" o:gfxdata="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FKtBnfUAAAABwEAAA8AAAAAAAAAAQAgAAAAOAAAAGRy&#10;cy9kb3ducmV2LnhtbFBLAQIUABQAAAAIAIdO4kAI74yEugEAAHADAAAOAAAAAAAAAAEAIAAAADkB&#10;AABkcnMvZTJvRG9jLnhtbFBLBQYAAAAABgAGAFkBAABlBQAAAAA=&#10;">
                <v:fill on="f" focussize="0,0"/>
                <v:stroke weight="1.5pt" color="#000000" joinstyle="round"/>
                <v:imagedata o:title=""/>
                <o:lock v:ext="edit" aspectratio="f"/>
              </v:line>
            </w:pict>
          </mc:Fallback>
        </mc:AlternateContent>
      </w:r>
      <w:r>
        <w:rPr>
          <w:rFonts w:ascii="仿宋_GB2312" w:hAnsi="仿宋" w:eastAsia="仿宋_GB2312"/>
          <w:color w:val="auto"/>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257800" cy="0"/>
                <wp:effectExtent l="0" t="9525" r="0" b="9525"/>
                <wp:wrapNone/>
                <wp:docPr id="1" name="Line 4"/>
                <wp:cNvGraphicFramePr/>
                <a:graphic xmlns:a="http://schemas.openxmlformats.org/drawingml/2006/main">
                  <a:graphicData uri="http://schemas.microsoft.com/office/word/2010/wordprocessingShape">
                    <wps:wsp>
                      <wps:cNvCnPr>
                        <a:cxnSpLocks noChangeShapeType="true"/>
                      </wps:cNvCnPr>
                      <wps:spPr bwMode="auto">
                        <a:xfrm flipV="true">
                          <a:off x="0" y="0"/>
                          <a:ext cx="5257800" cy="0"/>
                        </a:xfrm>
                        <a:prstGeom prst="line">
                          <a:avLst/>
                        </a:prstGeom>
                        <a:noFill/>
                        <a:ln w="19050">
                          <a:solidFill>
                            <a:srgbClr val="000000"/>
                          </a:solidFill>
                          <a:round/>
                        </a:ln>
                        <a:effectLst/>
                      </wps:spPr>
                      <wps:bodyPr/>
                    </wps:wsp>
                  </a:graphicData>
                </a:graphic>
              </wp:anchor>
            </w:drawing>
          </mc:Choice>
          <mc:Fallback>
            <w:pict>
              <v:line id="Line 4" o:spid="_x0000_s1026" o:spt="20" style="position:absolute;left:0pt;flip:y;margin-left:0pt;margin-top:0pt;height:0pt;width:414pt;z-index:251660288;mso-width-relative:page;mso-height-relative:page;" filled="f" stroked="t" coordsize="21600,21600" o:gfxdata="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JWrC5nQAAAAAgEAAA8AAAAAAAAAAQAgAAAAOAAAAGRycy9k&#10;b3ducmV2LnhtbFBLAQIUABQAAAAIAIdO4kBHCNX3uwEAAHADAAAOAAAAAAAAAAEAIAAAADUBAABk&#10;cnMvZTJvRG9jLnhtbFBLBQYAAAAABgAGAFkBAABiBQAAAAA=&#10;">
                <v:fill on="f" focussize="0,0"/>
                <v:stroke weight="1.5pt" color="#000000" joinstyle="round"/>
                <v:imagedata o:title=""/>
                <o:lock v:ext="edit" aspectratio="f"/>
              </v:line>
            </w:pict>
          </mc:Fallback>
        </mc:AlternateContent>
      </w:r>
      <w:r>
        <w:rPr>
          <w:rFonts w:hint="eastAsia" w:ascii="仿宋_GB2312" w:hAnsi="仿宋" w:eastAsia="仿宋_GB2312"/>
          <w:color w:val="auto"/>
          <w:sz w:val="28"/>
          <w:szCs w:val="28"/>
        </w:rPr>
        <w:t>抄 送：</w:t>
      </w:r>
      <w:r>
        <w:rPr>
          <w:rFonts w:hint="eastAsia" w:ascii="仿宋_GB2312" w:hAnsi="仿宋" w:eastAsia="仿宋_GB2312"/>
          <w:color w:val="auto"/>
          <w:sz w:val="24"/>
        </w:rPr>
        <w:t>滕州市生态环境保护综合执法大队、</w:t>
      </w:r>
      <w:r>
        <w:rPr>
          <w:rFonts w:hint="eastAsia" w:ascii="仿宋_GB2312" w:hAnsi="仿宋" w:eastAsia="仿宋_GB2312"/>
          <w:color w:val="auto"/>
          <w:sz w:val="24"/>
          <w:lang w:eastAsia="zh-CN"/>
        </w:rPr>
        <w:t>山东绿源智胜环保服务有限公司</w:t>
      </w:r>
      <w:r>
        <w:rPr>
          <w:rFonts w:hint="eastAsia" w:ascii="仿宋_GB2312" w:hAnsi="仿宋" w:eastAsia="仿宋_GB2312"/>
          <w:color w:val="auto"/>
          <w:sz w:val="24"/>
          <w:lang w:val="en-US" w:eastAsia="zh-CN"/>
        </w:rPr>
        <w:t xml:space="preserve">      </w:t>
      </w:r>
      <w:r>
        <w:rPr>
          <w:rFonts w:hint="eastAsia" w:ascii="仿宋_GB2312" w:hAnsi="仿宋" w:eastAsia="仿宋_GB2312"/>
          <w:color w:val="auto"/>
          <w:sz w:val="28"/>
          <w:szCs w:val="28"/>
        </w:rPr>
        <w:t>枣庄市生态环境局                     202</w:t>
      </w:r>
      <w:r>
        <w:rPr>
          <w:rFonts w:hint="eastAsia" w:ascii="仿宋_GB2312" w:hAnsi="仿宋" w:eastAsia="仿宋_GB2312"/>
          <w:color w:val="auto"/>
          <w:sz w:val="28"/>
          <w:szCs w:val="28"/>
          <w:lang w:val="en-US" w:eastAsia="zh-CN"/>
        </w:rPr>
        <w:t>4</w:t>
      </w:r>
      <w:r>
        <w:rPr>
          <w:rFonts w:hint="eastAsia" w:ascii="仿宋_GB2312" w:hAnsi="仿宋" w:eastAsia="仿宋_GB2312"/>
          <w:color w:val="auto"/>
          <w:sz w:val="28"/>
          <w:szCs w:val="28"/>
        </w:rPr>
        <w:t>年</w:t>
      </w:r>
      <w:r>
        <w:rPr>
          <w:rFonts w:hint="default" w:ascii="仿宋_GB2312" w:hAnsi="仿宋" w:eastAsia="仿宋_GB2312"/>
          <w:color w:val="auto"/>
          <w:sz w:val="28"/>
          <w:szCs w:val="28"/>
          <w:lang w:val="en" w:eastAsia="zh-CN"/>
        </w:rPr>
        <w:t>4</w:t>
      </w:r>
      <w:r>
        <w:rPr>
          <w:rFonts w:hint="eastAsia" w:ascii="仿宋_GB2312" w:hAnsi="仿宋" w:eastAsia="仿宋_GB2312"/>
          <w:color w:val="auto"/>
          <w:sz w:val="28"/>
          <w:szCs w:val="28"/>
        </w:rPr>
        <w:t>月</w:t>
      </w:r>
      <w:r>
        <w:rPr>
          <w:rFonts w:hint="default" w:ascii="仿宋_GB2312" w:hAnsi="仿宋" w:eastAsia="仿宋_GB2312"/>
          <w:color w:val="auto"/>
          <w:sz w:val="28"/>
          <w:szCs w:val="28"/>
          <w:lang w:val="en" w:eastAsia="zh-CN"/>
        </w:rPr>
        <w:t>1</w:t>
      </w:r>
      <w:r>
        <w:rPr>
          <w:rFonts w:hint="eastAsia" w:ascii="仿宋_GB2312" w:hAnsi="仿宋" w:eastAsia="仿宋_GB2312"/>
          <w:color w:val="auto"/>
          <w:sz w:val="28"/>
          <w:szCs w:val="28"/>
        </w:rPr>
        <w:t>日印发</w:t>
      </w:r>
    </w:p>
    <w:sectPr>
      <w:headerReference r:id="rId3" w:type="default"/>
      <w:footerReference r:id="rId4" w:type="default"/>
      <w:footerReference r:id="rId5" w:type="even"/>
      <w:pgSz w:w="11906" w:h="16838"/>
      <w:pgMar w:top="1440" w:right="1689" w:bottom="1440" w:left="1689"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8253046"/>
    </w:sdtPr>
    <w:sdtContent>
      <w:p>
        <w:pPr>
          <w:pStyle w:val="11"/>
          <w:jc w:val="center"/>
        </w:pPr>
        <w:r>
          <w:fldChar w:fldCharType="begin"/>
        </w:r>
        <w:r>
          <w:instrText xml:space="preserve">PAGE   \* MERGEFORMAT</w:instrText>
        </w:r>
        <w:r>
          <w:fldChar w:fldCharType="separate"/>
        </w:r>
        <w:r>
          <w:rPr>
            <w:lang w:val="zh-CN"/>
          </w:rPr>
          <w:t>-</w:t>
        </w:r>
        <w:r>
          <w:t xml:space="preserve"> 3 -</w:t>
        </w:r>
        <w: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fldChar w:fldCharType="begin"/>
    </w:r>
    <w:r>
      <w:instrText xml:space="preserve"> PAGE   \* MERGEFORMAT </w:instrText>
    </w:r>
    <w:r>
      <w:fldChar w:fldCharType="separate"/>
    </w:r>
    <w:r>
      <w:rPr>
        <w:lang w:val="zh-CN"/>
      </w:rPr>
      <w:t>-</w:t>
    </w:r>
    <w:r>
      <w:t xml:space="preserve"> 4 -</w:t>
    </w:r>
    <w:r>
      <w:fldChar w:fldCharType="end"/>
    </w:r>
  </w:p>
  <w:p>
    <w:pPr>
      <w:pStyle w:val="11"/>
      <w:rPr>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F7457"/>
    <w:multiLevelType w:val="singleLevel"/>
    <w:tmpl w:val="98EF7457"/>
    <w:lvl w:ilvl="0" w:tentative="0">
      <w:start w:val="1"/>
      <w:numFmt w:val="bullet"/>
      <w:pStyle w:val="4"/>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NGRlZDliZjQzZDc5ZjZkM2FjYzQzYmU0N2FkMDMifQ=="/>
  </w:docVars>
  <w:rsids>
    <w:rsidRoot w:val="00172A27"/>
    <w:rsid w:val="0001165C"/>
    <w:rsid w:val="0002064D"/>
    <w:rsid w:val="00026CA3"/>
    <w:rsid w:val="0003067B"/>
    <w:rsid w:val="000363A4"/>
    <w:rsid w:val="00047127"/>
    <w:rsid w:val="000564D7"/>
    <w:rsid w:val="00066CAF"/>
    <w:rsid w:val="00080D04"/>
    <w:rsid w:val="000915D3"/>
    <w:rsid w:val="00093DC5"/>
    <w:rsid w:val="000A2220"/>
    <w:rsid w:val="000A6F06"/>
    <w:rsid w:val="000D2670"/>
    <w:rsid w:val="000D3D99"/>
    <w:rsid w:val="000E6BAF"/>
    <w:rsid w:val="00117DB3"/>
    <w:rsid w:val="00126226"/>
    <w:rsid w:val="00143E8D"/>
    <w:rsid w:val="00172856"/>
    <w:rsid w:val="00172A27"/>
    <w:rsid w:val="001C32D5"/>
    <w:rsid w:val="001D2357"/>
    <w:rsid w:val="001D53BC"/>
    <w:rsid w:val="001D5ED8"/>
    <w:rsid w:val="001F0BCC"/>
    <w:rsid w:val="0020151F"/>
    <w:rsid w:val="002170B3"/>
    <w:rsid w:val="002317B1"/>
    <w:rsid w:val="00253E87"/>
    <w:rsid w:val="0026125E"/>
    <w:rsid w:val="00270337"/>
    <w:rsid w:val="00271804"/>
    <w:rsid w:val="002736B6"/>
    <w:rsid w:val="002761B5"/>
    <w:rsid w:val="00277838"/>
    <w:rsid w:val="00284528"/>
    <w:rsid w:val="00296F4B"/>
    <w:rsid w:val="002A3060"/>
    <w:rsid w:val="002A3DE8"/>
    <w:rsid w:val="002A4025"/>
    <w:rsid w:val="002A6443"/>
    <w:rsid w:val="002D3AA1"/>
    <w:rsid w:val="002E1D1E"/>
    <w:rsid w:val="002E5C17"/>
    <w:rsid w:val="003051B4"/>
    <w:rsid w:val="0031203F"/>
    <w:rsid w:val="003125F1"/>
    <w:rsid w:val="00317175"/>
    <w:rsid w:val="00317E69"/>
    <w:rsid w:val="0032278A"/>
    <w:rsid w:val="00325E15"/>
    <w:rsid w:val="00345CF7"/>
    <w:rsid w:val="00347336"/>
    <w:rsid w:val="00380272"/>
    <w:rsid w:val="00390121"/>
    <w:rsid w:val="00397F2C"/>
    <w:rsid w:val="003A45E0"/>
    <w:rsid w:val="003A4AEC"/>
    <w:rsid w:val="003B4AAA"/>
    <w:rsid w:val="003C0C65"/>
    <w:rsid w:val="003D7A83"/>
    <w:rsid w:val="003F5F50"/>
    <w:rsid w:val="00400FA9"/>
    <w:rsid w:val="00405CFF"/>
    <w:rsid w:val="00441D41"/>
    <w:rsid w:val="004463A4"/>
    <w:rsid w:val="004509CC"/>
    <w:rsid w:val="00462388"/>
    <w:rsid w:val="00463CD8"/>
    <w:rsid w:val="0048365A"/>
    <w:rsid w:val="00494F2B"/>
    <w:rsid w:val="00495DC9"/>
    <w:rsid w:val="004A69B9"/>
    <w:rsid w:val="004B18D0"/>
    <w:rsid w:val="004B4D54"/>
    <w:rsid w:val="004B6882"/>
    <w:rsid w:val="004C100F"/>
    <w:rsid w:val="004C7157"/>
    <w:rsid w:val="004D6548"/>
    <w:rsid w:val="00500E7D"/>
    <w:rsid w:val="005229C9"/>
    <w:rsid w:val="005331F9"/>
    <w:rsid w:val="0053508C"/>
    <w:rsid w:val="005659F8"/>
    <w:rsid w:val="00571660"/>
    <w:rsid w:val="0058268D"/>
    <w:rsid w:val="0058462A"/>
    <w:rsid w:val="0058510D"/>
    <w:rsid w:val="00585AF0"/>
    <w:rsid w:val="0059173E"/>
    <w:rsid w:val="0059626F"/>
    <w:rsid w:val="005B1628"/>
    <w:rsid w:val="005B4014"/>
    <w:rsid w:val="005D2088"/>
    <w:rsid w:val="005E1291"/>
    <w:rsid w:val="00604654"/>
    <w:rsid w:val="006152C0"/>
    <w:rsid w:val="006243AA"/>
    <w:rsid w:val="00663D22"/>
    <w:rsid w:val="006724F9"/>
    <w:rsid w:val="00680C4C"/>
    <w:rsid w:val="00691AE6"/>
    <w:rsid w:val="00696E4B"/>
    <w:rsid w:val="006D28D4"/>
    <w:rsid w:val="006D4EF0"/>
    <w:rsid w:val="006E25D3"/>
    <w:rsid w:val="006F006D"/>
    <w:rsid w:val="006F007D"/>
    <w:rsid w:val="006F79A4"/>
    <w:rsid w:val="007027E1"/>
    <w:rsid w:val="00705924"/>
    <w:rsid w:val="007077CE"/>
    <w:rsid w:val="00721F0C"/>
    <w:rsid w:val="00724A75"/>
    <w:rsid w:val="00731AA3"/>
    <w:rsid w:val="0073314A"/>
    <w:rsid w:val="00756196"/>
    <w:rsid w:val="0075656A"/>
    <w:rsid w:val="00757330"/>
    <w:rsid w:val="00772CC9"/>
    <w:rsid w:val="007872D6"/>
    <w:rsid w:val="00787724"/>
    <w:rsid w:val="00792E61"/>
    <w:rsid w:val="007A120C"/>
    <w:rsid w:val="007B0A7F"/>
    <w:rsid w:val="007F32AF"/>
    <w:rsid w:val="007F72B9"/>
    <w:rsid w:val="008130FC"/>
    <w:rsid w:val="00834421"/>
    <w:rsid w:val="00854534"/>
    <w:rsid w:val="0085471C"/>
    <w:rsid w:val="00864842"/>
    <w:rsid w:val="00872579"/>
    <w:rsid w:val="00883B66"/>
    <w:rsid w:val="00890F0C"/>
    <w:rsid w:val="008B69CA"/>
    <w:rsid w:val="008B740B"/>
    <w:rsid w:val="008C6F7D"/>
    <w:rsid w:val="008D0693"/>
    <w:rsid w:val="008D0949"/>
    <w:rsid w:val="008F46A8"/>
    <w:rsid w:val="008F6E7A"/>
    <w:rsid w:val="009447EA"/>
    <w:rsid w:val="009528F1"/>
    <w:rsid w:val="00963B75"/>
    <w:rsid w:val="00973644"/>
    <w:rsid w:val="0097515E"/>
    <w:rsid w:val="00984B5F"/>
    <w:rsid w:val="0099208D"/>
    <w:rsid w:val="00992256"/>
    <w:rsid w:val="009A2E97"/>
    <w:rsid w:val="009B76DF"/>
    <w:rsid w:val="009C372C"/>
    <w:rsid w:val="009C4778"/>
    <w:rsid w:val="009D5D2A"/>
    <w:rsid w:val="009E218D"/>
    <w:rsid w:val="00A31410"/>
    <w:rsid w:val="00A36F5B"/>
    <w:rsid w:val="00A91AA6"/>
    <w:rsid w:val="00A91EE0"/>
    <w:rsid w:val="00A96BA1"/>
    <w:rsid w:val="00A97873"/>
    <w:rsid w:val="00AC4970"/>
    <w:rsid w:val="00AD39C5"/>
    <w:rsid w:val="00AE5985"/>
    <w:rsid w:val="00AE77BA"/>
    <w:rsid w:val="00AF780E"/>
    <w:rsid w:val="00B05672"/>
    <w:rsid w:val="00B24F28"/>
    <w:rsid w:val="00B35484"/>
    <w:rsid w:val="00B46928"/>
    <w:rsid w:val="00B534D3"/>
    <w:rsid w:val="00B5384D"/>
    <w:rsid w:val="00B907FA"/>
    <w:rsid w:val="00B9432C"/>
    <w:rsid w:val="00BB4B05"/>
    <w:rsid w:val="00BB7D53"/>
    <w:rsid w:val="00BC253C"/>
    <w:rsid w:val="00BC542E"/>
    <w:rsid w:val="00BD360C"/>
    <w:rsid w:val="00BD690A"/>
    <w:rsid w:val="00BE43AF"/>
    <w:rsid w:val="00BF5A6E"/>
    <w:rsid w:val="00C013FD"/>
    <w:rsid w:val="00C2096B"/>
    <w:rsid w:val="00C23188"/>
    <w:rsid w:val="00C23DC8"/>
    <w:rsid w:val="00C27501"/>
    <w:rsid w:val="00C359EB"/>
    <w:rsid w:val="00C44656"/>
    <w:rsid w:val="00CA1964"/>
    <w:rsid w:val="00CA5498"/>
    <w:rsid w:val="00CB19E4"/>
    <w:rsid w:val="00CC3390"/>
    <w:rsid w:val="00CC43A4"/>
    <w:rsid w:val="00CC56D9"/>
    <w:rsid w:val="00CD2E2B"/>
    <w:rsid w:val="00D108AB"/>
    <w:rsid w:val="00D23072"/>
    <w:rsid w:val="00D3742E"/>
    <w:rsid w:val="00D55B0B"/>
    <w:rsid w:val="00D56730"/>
    <w:rsid w:val="00D70374"/>
    <w:rsid w:val="00D7270E"/>
    <w:rsid w:val="00D871C8"/>
    <w:rsid w:val="00D9311D"/>
    <w:rsid w:val="00DA3042"/>
    <w:rsid w:val="00DB0E4A"/>
    <w:rsid w:val="00DD165E"/>
    <w:rsid w:val="00DD68AE"/>
    <w:rsid w:val="00DE1C20"/>
    <w:rsid w:val="00DE5894"/>
    <w:rsid w:val="00DF2E43"/>
    <w:rsid w:val="00E06832"/>
    <w:rsid w:val="00E11596"/>
    <w:rsid w:val="00E26C14"/>
    <w:rsid w:val="00E339FA"/>
    <w:rsid w:val="00E3443D"/>
    <w:rsid w:val="00E372B0"/>
    <w:rsid w:val="00E42181"/>
    <w:rsid w:val="00E53D39"/>
    <w:rsid w:val="00E73A4F"/>
    <w:rsid w:val="00E748F0"/>
    <w:rsid w:val="00E774E5"/>
    <w:rsid w:val="00E85CC5"/>
    <w:rsid w:val="00E9715C"/>
    <w:rsid w:val="00E97F10"/>
    <w:rsid w:val="00EA1B84"/>
    <w:rsid w:val="00EA3FD2"/>
    <w:rsid w:val="00EB255C"/>
    <w:rsid w:val="00ED55FD"/>
    <w:rsid w:val="00F00F49"/>
    <w:rsid w:val="00F05867"/>
    <w:rsid w:val="00F12921"/>
    <w:rsid w:val="00F41E96"/>
    <w:rsid w:val="00F4331C"/>
    <w:rsid w:val="00F648A5"/>
    <w:rsid w:val="00F6685A"/>
    <w:rsid w:val="00F67F7E"/>
    <w:rsid w:val="00F76905"/>
    <w:rsid w:val="00FA13E8"/>
    <w:rsid w:val="00FA7120"/>
    <w:rsid w:val="00FC7BF2"/>
    <w:rsid w:val="00FD0C02"/>
    <w:rsid w:val="00FF0E26"/>
    <w:rsid w:val="01633E9B"/>
    <w:rsid w:val="018E72CE"/>
    <w:rsid w:val="0217114C"/>
    <w:rsid w:val="023F66B6"/>
    <w:rsid w:val="02DC3F04"/>
    <w:rsid w:val="05391274"/>
    <w:rsid w:val="05BC607D"/>
    <w:rsid w:val="074402CA"/>
    <w:rsid w:val="07F708F8"/>
    <w:rsid w:val="0D0C53E6"/>
    <w:rsid w:val="0D183D8B"/>
    <w:rsid w:val="0DAD6BC9"/>
    <w:rsid w:val="0DB552C2"/>
    <w:rsid w:val="0DFC8B1C"/>
    <w:rsid w:val="0F5B0D98"/>
    <w:rsid w:val="0F751969"/>
    <w:rsid w:val="0FA37B6D"/>
    <w:rsid w:val="0FE25086"/>
    <w:rsid w:val="0FFD9541"/>
    <w:rsid w:val="10523A58"/>
    <w:rsid w:val="10CA4B14"/>
    <w:rsid w:val="11943BFC"/>
    <w:rsid w:val="13BDFD99"/>
    <w:rsid w:val="13CD0318"/>
    <w:rsid w:val="13FB2541"/>
    <w:rsid w:val="140C03C2"/>
    <w:rsid w:val="14FB2A4B"/>
    <w:rsid w:val="15050514"/>
    <w:rsid w:val="17942BA8"/>
    <w:rsid w:val="17BECFB5"/>
    <w:rsid w:val="18C06D40"/>
    <w:rsid w:val="18DB2A62"/>
    <w:rsid w:val="19B1359D"/>
    <w:rsid w:val="1A0E09F0"/>
    <w:rsid w:val="1AD31C39"/>
    <w:rsid w:val="1AEB0D31"/>
    <w:rsid w:val="1B1313C8"/>
    <w:rsid w:val="1B5D4082"/>
    <w:rsid w:val="1BB054B9"/>
    <w:rsid w:val="1C7A4536"/>
    <w:rsid w:val="1CF7B278"/>
    <w:rsid w:val="1DEF80B3"/>
    <w:rsid w:val="1EFF7A8B"/>
    <w:rsid w:val="1F385791"/>
    <w:rsid w:val="1FDD66E3"/>
    <w:rsid w:val="1FDF540F"/>
    <w:rsid w:val="1FEEE16C"/>
    <w:rsid w:val="1FF9B38B"/>
    <w:rsid w:val="1FFD85B5"/>
    <w:rsid w:val="207E43F5"/>
    <w:rsid w:val="20B82153"/>
    <w:rsid w:val="20C20774"/>
    <w:rsid w:val="21562C7C"/>
    <w:rsid w:val="21FCB61F"/>
    <w:rsid w:val="241C1F5B"/>
    <w:rsid w:val="252313D8"/>
    <w:rsid w:val="27361586"/>
    <w:rsid w:val="27B54BA0"/>
    <w:rsid w:val="2A1A05B7"/>
    <w:rsid w:val="2AB15025"/>
    <w:rsid w:val="2B361B54"/>
    <w:rsid w:val="2BDF804F"/>
    <w:rsid w:val="2BF5FDB1"/>
    <w:rsid w:val="2BF7CAF3"/>
    <w:rsid w:val="2CA45E16"/>
    <w:rsid w:val="2DEF59C2"/>
    <w:rsid w:val="2E073C7C"/>
    <w:rsid w:val="2E7F5CC4"/>
    <w:rsid w:val="2EF74FF8"/>
    <w:rsid w:val="2F5F2ABB"/>
    <w:rsid w:val="2F7F5989"/>
    <w:rsid w:val="2FB92A8F"/>
    <w:rsid w:val="31957F8C"/>
    <w:rsid w:val="323A2AA7"/>
    <w:rsid w:val="32EA3275"/>
    <w:rsid w:val="33394E9C"/>
    <w:rsid w:val="33F9432A"/>
    <w:rsid w:val="33FF6EC7"/>
    <w:rsid w:val="346A6D13"/>
    <w:rsid w:val="36EF5DCC"/>
    <w:rsid w:val="372DCA0D"/>
    <w:rsid w:val="37B87D95"/>
    <w:rsid w:val="37D736EF"/>
    <w:rsid w:val="37FF13CB"/>
    <w:rsid w:val="37FF44B3"/>
    <w:rsid w:val="3A53423B"/>
    <w:rsid w:val="3ABE4B8D"/>
    <w:rsid w:val="3B77F1DF"/>
    <w:rsid w:val="3BCFD088"/>
    <w:rsid w:val="3BFE8FC5"/>
    <w:rsid w:val="3C7D11B3"/>
    <w:rsid w:val="3CBE8D51"/>
    <w:rsid w:val="3D3462AF"/>
    <w:rsid w:val="3D6E6622"/>
    <w:rsid w:val="3D7F5049"/>
    <w:rsid w:val="3DF6085D"/>
    <w:rsid w:val="3DFFED3B"/>
    <w:rsid w:val="3E4F97C3"/>
    <w:rsid w:val="3E5D51F2"/>
    <w:rsid w:val="3EBB967D"/>
    <w:rsid w:val="3EBF9BB5"/>
    <w:rsid w:val="3EFB1A3E"/>
    <w:rsid w:val="3FBB1C71"/>
    <w:rsid w:val="3FCF9C2F"/>
    <w:rsid w:val="3FDFEE1C"/>
    <w:rsid w:val="3FFD6763"/>
    <w:rsid w:val="3FFF3FDD"/>
    <w:rsid w:val="3FFF422A"/>
    <w:rsid w:val="3FFFB023"/>
    <w:rsid w:val="41C061C4"/>
    <w:rsid w:val="425A7DDA"/>
    <w:rsid w:val="44DF3B34"/>
    <w:rsid w:val="45DC10F2"/>
    <w:rsid w:val="46E23768"/>
    <w:rsid w:val="47C84024"/>
    <w:rsid w:val="47E92AD8"/>
    <w:rsid w:val="48E3695A"/>
    <w:rsid w:val="49026630"/>
    <w:rsid w:val="49D7054F"/>
    <w:rsid w:val="4A4756D4"/>
    <w:rsid w:val="4ACF2776"/>
    <w:rsid w:val="4B4D7A93"/>
    <w:rsid w:val="4CFCF549"/>
    <w:rsid w:val="4D043409"/>
    <w:rsid w:val="4E7B0044"/>
    <w:rsid w:val="4E9B1B4B"/>
    <w:rsid w:val="4ED3B0CA"/>
    <w:rsid w:val="4F3A07DF"/>
    <w:rsid w:val="4F9B6191"/>
    <w:rsid w:val="4FBFCD42"/>
    <w:rsid w:val="4FED4628"/>
    <w:rsid w:val="50940F9C"/>
    <w:rsid w:val="51FED7AB"/>
    <w:rsid w:val="52837CC0"/>
    <w:rsid w:val="53CE4770"/>
    <w:rsid w:val="5552317F"/>
    <w:rsid w:val="568D26C1"/>
    <w:rsid w:val="570B18ED"/>
    <w:rsid w:val="576C4D27"/>
    <w:rsid w:val="57E97607"/>
    <w:rsid w:val="57FAFC5D"/>
    <w:rsid w:val="59746BF7"/>
    <w:rsid w:val="59E51A2B"/>
    <w:rsid w:val="59FB42F8"/>
    <w:rsid w:val="5AF063B9"/>
    <w:rsid w:val="5B2D6220"/>
    <w:rsid w:val="5B2E776A"/>
    <w:rsid w:val="5B642918"/>
    <w:rsid w:val="5BD7A769"/>
    <w:rsid w:val="5CBF8848"/>
    <w:rsid w:val="5CDF8932"/>
    <w:rsid w:val="5D3F7BDA"/>
    <w:rsid w:val="5D7E5D7F"/>
    <w:rsid w:val="5D7EA438"/>
    <w:rsid w:val="5DCE2DE6"/>
    <w:rsid w:val="5DFF0CFF"/>
    <w:rsid w:val="5E4E6BDA"/>
    <w:rsid w:val="5EFA0967"/>
    <w:rsid w:val="5EFA7CCD"/>
    <w:rsid w:val="5F6CFCC2"/>
    <w:rsid w:val="5F7316DF"/>
    <w:rsid w:val="5F7DEEC4"/>
    <w:rsid w:val="5F7FA90D"/>
    <w:rsid w:val="5F8FD29B"/>
    <w:rsid w:val="5F995D89"/>
    <w:rsid w:val="5FBF88B9"/>
    <w:rsid w:val="5FD724AD"/>
    <w:rsid w:val="5FDFEEA6"/>
    <w:rsid w:val="5FE377F5"/>
    <w:rsid w:val="5FE7CEE6"/>
    <w:rsid w:val="5FE8E355"/>
    <w:rsid w:val="5FFD9B9A"/>
    <w:rsid w:val="5FFE4DB2"/>
    <w:rsid w:val="6155027F"/>
    <w:rsid w:val="6190756E"/>
    <w:rsid w:val="62D5699A"/>
    <w:rsid w:val="635B30E0"/>
    <w:rsid w:val="64526CF8"/>
    <w:rsid w:val="65A25A5D"/>
    <w:rsid w:val="65D2213C"/>
    <w:rsid w:val="66377F53"/>
    <w:rsid w:val="665349C2"/>
    <w:rsid w:val="66AD6467"/>
    <w:rsid w:val="676FADFC"/>
    <w:rsid w:val="6777E4E1"/>
    <w:rsid w:val="67A61834"/>
    <w:rsid w:val="67C3D391"/>
    <w:rsid w:val="67D750C3"/>
    <w:rsid w:val="67DD5555"/>
    <w:rsid w:val="68E32614"/>
    <w:rsid w:val="68FFBCBA"/>
    <w:rsid w:val="69BF8A3A"/>
    <w:rsid w:val="69DF102E"/>
    <w:rsid w:val="6A2E78BF"/>
    <w:rsid w:val="6C635F46"/>
    <w:rsid w:val="6CD3ECF9"/>
    <w:rsid w:val="6D029DD0"/>
    <w:rsid w:val="6D34C1D1"/>
    <w:rsid w:val="6D604233"/>
    <w:rsid w:val="6F2AE904"/>
    <w:rsid w:val="6F7966B9"/>
    <w:rsid w:val="6F7FFC1D"/>
    <w:rsid w:val="6F9E8F0C"/>
    <w:rsid w:val="6FB77EBE"/>
    <w:rsid w:val="6FCBE728"/>
    <w:rsid w:val="6FD988EF"/>
    <w:rsid w:val="6FF18D1F"/>
    <w:rsid w:val="6FF79306"/>
    <w:rsid w:val="6FF8BD6A"/>
    <w:rsid w:val="6FFB6FF4"/>
    <w:rsid w:val="6FFF99E2"/>
    <w:rsid w:val="706A3C96"/>
    <w:rsid w:val="717EB2AB"/>
    <w:rsid w:val="72555F92"/>
    <w:rsid w:val="72BEC962"/>
    <w:rsid w:val="737F94D8"/>
    <w:rsid w:val="74522857"/>
    <w:rsid w:val="747BEEC7"/>
    <w:rsid w:val="74D73D74"/>
    <w:rsid w:val="74FBBB43"/>
    <w:rsid w:val="759F4B29"/>
    <w:rsid w:val="76393A34"/>
    <w:rsid w:val="766703E1"/>
    <w:rsid w:val="766C1E9B"/>
    <w:rsid w:val="767FEAAF"/>
    <w:rsid w:val="76BFEA43"/>
    <w:rsid w:val="76FF2941"/>
    <w:rsid w:val="777CA604"/>
    <w:rsid w:val="77BF3FD1"/>
    <w:rsid w:val="77D7CE0C"/>
    <w:rsid w:val="77DBD176"/>
    <w:rsid w:val="77DF044B"/>
    <w:rsid w:val="77F7D427"/>
    <w:rsid w:val="77FF0902"/>
    <w:rsid w:val="77FF4C70"/>
    <w:rsid w:val="77FF66AC"/>
    <w:rsid w:val="78D83818"/>
    <w:rsid w:val="78FE481A"/>
    <w:rsid w:val="797057FE"/>
    <w:rsid w:val="797D0E1D"/>
    <w:rsid w:val="79EA1F0E"/>
    <w:rsid w:val="7AB6D18A"/>
    <w:rsid w:val="7ADB7906"/>
    <w:rsid w:val="7AE83123"/>
    <w:rsid w:val="7B2F15E5"/>
    <w:rsid w:val="7B5F44B7"/>
    <w:rsid w:val="7B7F0A4E"/>
    <w:rsid w:val="7B810197"/>
    <w:rsid w:val="7BAD9EE2"/>
    <w:rsid w:val="7BB7A378"/>
    <w:rsid w:val="7BBD50E4"/>
    <w:rsid w:val="7BD3E73E"/>
    <w:rsid w:val="7BDE2AD0"/>
    <w:rsid w:val="7BEF68A6"/>
    <w:rsid w:val="7C3D95D9"/>
    <w:rsid w:val="7C77D012"/>
    <w:rsid w:val="7CAD4FBB"/>
    <w:rsid w:val="7CAF5FE2"/>
    <w:rsid w:val="7CD75B94"/>
    <w:rsid w:val="7CEF0AE2"/>
    <w:rsid w:val="7CFC640F"/>
    <w:rsid w:val="7CFDEE69"/>
    <w:rsid w:val="7CFEEE8C"/>
    <w:rsid w:val="7D2502F2"/>
    <w:rsid w:val="7D5FAC67"/>
    <w:rsid w:val="7D87580C"/>
    <w:rsid w:val="7DB446E7"/>
    <w:rsid w:val="7DBE8FA4"/>
    <w:rsid w:val="7DDAE6DA"/>
    <w:rsid w:val="7DDF34C1"/>
    <w:rsid w:val="7DEE6C16"/>
    <w:rsid w:val="7E3D7E2A"/>
    <w:rsid w:val="7E5F4962"/>
    <w:rsid w:val="7E8F999D"/>
    <w:rsid w:val="7E9C790B"/>
    <w:rsid w:val="7EAD8A38"/>
    <w:rsid w:val="7EB6820C"/>
    <w:rsid w:val="7EDB9C51"/>
    <w:rsid w:val="7EF73C17"/>
    <w:rsid w:val="7EFE85E6"/>
    <w:rsid w:val="7EFF48CF"/>
    <w:rsid w:val="7F05823E"/>
    <w:rsid w:val="7F203823"/>
    <w:rsid w:val="7F6DCABF"/>
    <w:rsid w:val="7F793F33"/>
    <w:rsid w:val="7F7BEA33"/>
    <w:rsid w:val="7F7D58EC"/>
    <w:rsid w:val="7FAFEBA3"/>
    <w:rsid w:val="7FBDCF0C"/>
    <w:rsid w:val="7FBEE3A8"/>
    <w:rsid w:val="7FBFAB3C"/>
    <w:rsid w:val="7FBFE104"/>
    <w:rsid w:val="7FCF5812"/>
    <w:rsid w:val="7FE664FE"/>
    <w:rsid w:val="7FEE6FF5"/>
    <w:rsid w:val="7FEF445B"/>
    <w:rsid w:val="7FF32E89"/>
    <w:rsid w:val="7FF56BFA"/>
    <w:rsid w:val="7FF5EE88"/>
    <w:rsid w:val="7FFB1B18"/>
    <w:rsid w:val="7FFE8C17"/>
    <w:rsid w:val="7FFF91ED"/>
    <w:rsid w:val="8B3F6FB7"/>
    <w:rsid w:val="8DBED768"/>
    <w:rsid w:val="8F612B4F"/>
    <w:rsid w:val="8FFFC421"/>
    <w:rsid w:val="93D37FA0"/>
    <w:rsid w:val="93DD3D56"/>
    <w:rsid w:val="97FCA4BB"/>
    <w:rsid w:val="9AFD3A18"/>
    <w:rsid w:val="9BFDD24A"/>
    <w:rsid w:val="9D4B5CFF"/>
    <w:rsid w:val="9DFE582A"/>
    <w:rsid w:val="9EDF8B6A"/>
    <w:rsid w:val="9F3F190B"/>
    <w:rsid w:val="9FFE7C50"/>
    <w:rsid w:val="A1760A43"/>
    <w:rsid w:val="A59F528B"/>
    <w:rsid w:val="A77E8115"/>
    <w:rsid w:val="A7F4746D"/>
    <w:rsid w:val="AA7F8995"/>
    <w:rsid w:val="ACFEB049"/>
    <w:rsid w:val="ADBF80B4"/>
    <w:rsid w:val="ADFF5513"/>
    <w:rsid w:val="AEFE18B8"/>
    <w:rsid w:val="AFBA55A3"/>
    <w:rsid w:val="AFF7517D"/>
    <w:rsid w:val="B17DDD4D"/>
    <w:rsid w:val="B23FAA94"/>
    <w:rsid w:val="B7E7FCE6"/>
    <w:rsid w:val="B7EFA98D"/>
    <w:rsid w:val="B7FB9A17"/>
    <w:rsid w:val="BA7B23C6"/>
    <w:rsid w:val="BB7F013F"/>
    <w:rsid w:val="BBBC7802"/>
    <w:rsid w:val="BBD5EF25"/>
    <w:rsid w:val="BBF251C7"/>
    <w:rsid w:val="BD77349D"/>
    <w:rsid w:val="BDBFF0DE"/>
    <w:rsid w:val="BDDE1430"/>
    <w:rsid w:val="BDDFA4B1"/>
    <w:rsid w:val="BDFA79CD"/>
    <w:rsid w:val="BEBDEC07"/>
    <w:rsid w:val="BED50E11"/>
    <w:rsid w:val="BEF69499"/>
    <w:rsid w:val="BEFBB1EC"/>
    <w:rsid w:val="BF7FDC88"/>
    <w:rsid w:val="BF7FFBB7"/>
    <w:rsid w:val="BFC4DA20"/>
    <w:rsid w:val="BFD6010B"/>
    <w:rsid w:val="BFD70547"/>
    <w:rsid w:val="BFD79E31"/>
    <w:rsid w:val="BFDE1D63"/>
    <w:rsid w:val="BFF16FAC"/>
    <w:rsid w:val="BFF3785C"/>
    <w:rsid w:val="BFFD86ED"/>
    <w:rsid w:val="BFFF232D"/>
    <w:rsid w:val="BFFFF80E"/>
    <w:rsid w:val="C3EEB5A9"/>
    <w:rsid w:val="C8FF9DE0"/>
    <w:rsid w:val="CB7FF679"/>
    <w:rsid w:val="CBBFB060"/>
    <w:rsid w:val="CBED6EA9"/>
    <w:rsid w:val="CBF9DAF9"/>
    <w:rsid w:val="CCD90E87"/>
    <w:rsid w:val="CDF54FC7"/>
    <w:rsid w:val="CEEB4B61"/>
    <w:rsid w:val="CFAD4D86"/>
    <w:rsid w:val="CFBF7DF7"/>
    <w:rsid w:val="CFFD3043"/>
    <w:rsid w:val="D145529A"/>
    <w:rsid w:val="D3EFEACB"/>
    <w:rsid w:val="D3FBA71E"/>
    <w:rsid w:val="D5ED0EF8"/>
    <w:rsid w:val="D73C2E82"/>
    <w:rsid w:val="D7E70A20"/>
    <w:rsid w:val="D7FD6346"/>
    <w:rsid w:val="D9FE3F2B"/>
    <w:rsid w:val="DAAFCB4F"/>
    <w:rsid w:val="DB7DFF1C"/>
    <w:rsid w:val="DBAD1EC8"/>
    <w:rsid w:val="DBF4EC10"/>
    <w:rsid w:val="DDDF4A74"/>
    <w:rsid w:val="DE7BFD73"/>
    <w:rsid w:val="DEC71C0C"/>
    <w:rsid w:val="DECB5F92"/>
    <w:rsid w:val="DEFDBAF5"/>
    <w:rsid w:val="DEFFB211"/>
    <w:rsid w:val="DFAA26FA"/>
    <w:rsid w:val="DFDD5361"/>
    <w:rsid w:val="DFEA7AF6"/>
    <w:rsid w:val="DFFF0C5E"/>
    <w:rsid w:val="DFFF43F3"/>
    <w:rsid w:val="E2DE2287"/>
    <w:rsid w:val="E3B4EF54"/>
    <w:rsid w:val="E3F8F842"/>
    <w:rsid w:val="E5FB042B"/>
    <w:rsid w:val="E7BEB567"/>
    <w:rsid w:val="E7FE9EEA"/>
    <w:rsid w:val="E97D375A"/>
    <w:rsid w:val="EB3FC623"/>
    <w:rsid w:val="EBFB9173"/>
    <w:rsid w:val="EE5B1A6C"/>
    <w:rsid w:val="EE7FFFE2"/>
    <w:rsid w:val="EEDBE952"/>
    <w:rsid w:val="EEEB2D9F"/>
    <w:rsid w:val="EEFFAE33"/>
    <w:rsid w:val="EF67A9B2"/>
    <w:rsid w:val="EF79F0A2"/>
    <w:rsid w:val="EFA79750"/>
    <w:rsid w:val="EFA7D46B"/>
    <w:rsid w:val="EFB2CC4B"/>
    <w:rsid w:val="EFBF2C77"/>
    <w:rsid w:val="EFBF7C3A"/>
    <w:rsid w:val="EFDF7760"/>
    <w:rsid w:val="EFE6AFE0"/>
    <w:rsid w:val="EFEA3B01"/>
    <w:rsid w:val="EFEB48FB"/>
    <w:rsid w:val="EFEF24FC"/>
    <w:rsid w:val="EFFB0F95"/>
    <w:rsid w:val="EFFB9946"/>
    <w:rsid w:val="F0DE5F82"/>
    <w:rsid w:val="F1E3685C"/>
    <w:rsid w:val="F27F15C1"/>
    <w:rsid w:val="F2DF8692"/>
    <w:rsid w:val="F33E3D10"/>
    <w:rsid w:val="F3F989A4"/>
    <w:rsid w:val="F5B748E2"/>
    <w:rsid w:val="F5FE76BE"/>
    <w:rsid w:val="F5FFC33A"/>
    <w:rsid w:val="F67E701D"/>
    <w:rsid w:val="F69DC2ED"/>
    <w:rsid w:val="F7179131"/>
    <w:rsid w:val="F75311B4"/>
    <w:rsid w:val="F756D8D1"/>
    <w:rsid w:val="F79F5ECE"/>
    <w:rsid w:val="F7BF9EB4"/>
    <w:rsid w:val="F7DB5FCB"/>
    <w:rsid w:val="F7DFBA31"/>
    <w:rsid w:val="F7EB9C70"/>
    <w:rsid w:val="F7FB734B"/>
    <w:rsid w:val="F85FC2D5"/>
    <w:rsid w:val="F9BFEC1F"/>
    <w:rsid w:val="F9FBC241"/>
    <w:rsid w:val="F9FF10CF"/>
    <w:rsid w:val="FA5583A2"/>
    <w:rsid w:val="FA5CFA4C"/>
    <w:rsid w:val="FB3ED2FE"/>
    <w:rsid w:val="FB760DE1"/>
    <w:rsid w:val="FB793D7B"/>
    <w:rsid w:val="FB9D7FAA"/>
    <w:rsid w:val="FB9E841D"/>
    <w:rsid w:val="FBDDAE6E"/>
    <w:rsid w:val="FBE51E0C"/>
    <w:rsid w:val="FBF3ADEE"/>
    <w:rsid w:val="FC995664"/>
    <w:rsid w:val="FCB346C7"/>
    <w:rsid w:val="FCFB8484"/>
    <w:rsid w:val="FD1E604D"/>
    <w:rsid w:val="FD3B6C2C"/>
    <w:rsid w:val="FD4CBFE8"/>
    <w:rsid w:val="FD99D943"/>
    <w:rsid w:val="FDEE5499"/>
    <w:rsid w:val="FDF76D6D"/>
    <w:rsid w:val="FDF9A6DC"/>
    <w:rsid w:val="FDFB866A"/>
    <w:rsid w:val="FDFCBF9C"/>
    <w:rsid w:val="FDFD8113"/>
    <w:rsid w:val="FDFF2E26"/>
    <w:rsid w:val="FDFFACD3"/>
    <w:rsid w:val="FE734873"/>
    <w:rsid w:val="FE7D1523"/>
    <w:rsid w:val="FE9B8ACF"/>
    <w:rsid w:val="FE9F8D5E"/>
    <w:rsid w:val="FEF764A2"/>
    <w:rsid w:val="FEFD9C27"/>
    <w:rsid w:val="FEFF050E"/>
    <w:rsid w:val="FEFFFDCE"/>
    <w:rsid w:val="FF0DB10D"/>
    <w:rsid w:val="FF1F3C9F"/>
    <w:rsid w:val="FF1FC842"/>
    <w:rsid w:val="FF465B57"/>
    <w:rsid w:val="FF46A45C"/>
    <w:rsid w:val="FF6FF877"/>
    <w:rsid w:val="FF7F285D"/>
    <w:rsid w:val="FF7F4EA4"/>
    <w:rsid w:val="FF8EFE66"/>
    <w:rsid w:val="FFBD4B7D"/>
    <w:rsid w:val="FFBE636B"/>
    <w:rsid w:val="FFCD6AAB"/>
    <w:rsid w:val="FFE8FC9E"/>
    <w:rsid w:val="FFEBFE44"/>
    <w:rsid w:val="FFEF942C"/>
    <w:rsid w:val="FFF5F983"/>
    <w:rsid w:val="FFF6C872"/>
    <w:rsid w:val="FFF6F2E7"/>
    <w:rsid w:val="FFF76D52"/>
    <w:rsid w:val="FFF79C43"/>
    <w:rsid w:val="FFFA1817"/>
    <w:rsid w:val="FFFDF9B0"/>
    <w:rsid w:val="FFFE3AA1"/>
    <w:rsid w:val="FFFF124C"/>
    <w:rsid w:val="FFFF5E54"/>
    <w:rsid w:val="FFFFC8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widowControl w:val="0"/>
      <w:snapToGrid/>
      <w:spacing w:before="0" w:after="120" w:line="240" w:lineRule="auto"/>
      <w:ind w:right="0" w:firstLine="420" w:firstLineChars="100"/>
    </w:pPr>
    <w:rPr>
      <w:rFonts w:ascii="Times New Roman" w:hAnsi="Times New Roman" w:eastAsia="宋体"/>
      <w:kern w:val="2"/>
      <w:sz w:val="21"/>
      <w:szCs w:val="24"/>
    </w:rPr>
  </w:style>
  <w:style w:type="paragraph" w:styleId="3">
    <w:name w:val="Body Text"/>
    <w:basedOn w:val="1"/>
    <w:next w:val="4"/>
    <w:qFormat/>
    <w:uiPriority w:val="0"/>
    <w:pPr>
      <w:spacing w:after="120" w:afterLines="0"/>
    </w:pPr>
  </w:style>
  <w:style w:type="paragraph" w:styleId="4">
    <w:name w:val="List Bullet 5"/>
    <w:basedOn w:val="1"/>
    <w:semiHidden/>
    <w:unhideWhenUsed/>
    <w:qFormat/>
    <w:uiPriority w:val="99"/>
    <w:pPr>
      <w:numPr>
        <w:ilvl w:val="0"/>
        <w:numId w:val="1"/>
      </w:numPr>
    </w:pPr>
  </w:style>
  <w:style w:type="paragraph" w:styleId="5">
    <w:name w:val="caption"/>
    <w:basedOn w:val="1"/>
    <w:next w:val="1"/>
    <w:qFormat/>
    <w:uiPriority w:val="0"/>
    <w:pPr>
      <w:keepNext/>
      <w:spacing w:before="152" w:after="160"/>
      <w:ind w:firstLine="240" w:firstLineChars="100"/>
      <w:jc w:val="center"/>
    </w:pPr>
    <w:rPr>
      <w:rFonts w:ascii="Arial" w:hAnsi="Arial" w:eastAsia="黑体" w:cs="Arial"/>
      <w:sz w:val="24"/>
      <w:u w:val="double"/>
    </w:rPr>
  </w:style>
  <w:style w:type="paragraph" w:styleId="6">
    <w:name w:val="Body Text Indent"/>
    <w:basedOn w:val="1"/>
    <w:next w:val="7"/>
    <w:qFormat/>
    <w:uiPriority w:val="0"/>
    <w:pPr>
      <w:spacing w:line="460" w:lineRule="atLeast"/>
      <w:ind w:firstLine="284"/>
    </w:pPr>
    <w:rPr>
      <w:spacing w:val="36"/>
      <w:sz w:val="24"/>
    </w:rPr>
  </w:style>
  <w:style w:type="paragraph" w:customStyle="1" w:styleId="7">
    <w:name w:val="样式 正文文本缩进 + 行距: 1.5 倍行距"/>
    <w:basedOn w:val="8"/>
    <w:next w:val="1"/>
    <w:qFormat/>
    <w:uiPriority w:val="0"/>
    <w:pPr>
      <w:spacing w:after="120" w:line="360" w:lineRule="auto"/>
      <w:ind w:left="90" w:leftChars="32" w:firstLine="560" w:firstLineChars="200"/>
    </w:pPr>
    <w:rPr>
      <w:rFonts w:cs="宋体"/>
    </w:rPr>
  </w:style>
  <w:style w:type="paragraph" w:customStyle="1" w:styleId="8">
    <w:name w:val="正文文本缩进1"/>
    <w:basedOn w:val="1"/>
    <w:next w:val="5"/>
    <w:qFormat/>
    <w:uiPriority w:val="0"/>
    <w:pPr>
      <w:spacing w:after="120"/>
      <w:ind w:left="420" w:leftChars="200"/>
    </w:pPr>
    <w:rPr>
      <w:rFonts w:hint="eastAsia"/>
    </w:rPr>
  </w:style>
  <w:style w:type="paragraph" w:styleId="9">
    <w:name w:val="Date"/>
    <w:basedOn w:val="1"/>
    <w:next w:val="1"/>
    <w:link w:val="18"/>
    <w:semiHidden/>
    <w:unhideWhenUsed/>
    <w:qFormat/>
    <w:uiPriority w:val="99"/>
    <w:pPr>
      <w:ind w:left="100" w:leftChars="2500"/>
    </w:pPr>
  </w:style>
  <w:style w:type="paragraph" w:styleId="10">
    <w:name w:val="Balloon Text"/>
    <w:basedOn w:val="1"/>
    <w:link w:val="19"/>
    <w:semiHidden/>
    <w:unhideWhenUsed/>
    <w:qFormat/>
    <w:uiPriority w:val="99"/>
    <w:rPr>
      <w:sz w:val="18"/>
      <w:szCs w:val="18"/>
    </w:rPr>
  </w:style>
  <w:style w:type="paragraph" w:styleId="11">
    <w:name w:val="footer"/>
    <w:basedOn w:val="1"/>
    <w:link w:val="17"/>
    <w:qFormat/>
    <w:uiPriority w:val="99"/>
    <w:pPr>
      <w:tabs>
        <w:tab w:val="center" w:pos="4153"/>
        <w:tab w:val="right" w:pos="8306"/>
      </w:tabs>
      <w:snapToGrid w:val="0"/>
      <w:jc w:val="left"/>
    </w:pPr>
    <w:rPr>
      <w:sz w:val="18"/>
      <w:szCs w:val="18"/>
    </w:rPr>
  </w:style>
  <w:style w:type="paragraph" w:styleId="12">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First Indent 2"/>
    <w:basedOn w:val="6"/>
    <w:next w:val="1"/>
    <w:qFormat/>
    <w:uiPriority w:val="0"/>
    <w:pPr>
      <w:spacing w:after="120" w:afterLines="0" w:line="240" w:lineRule="auto"/>
      <w:ind w:left="420" w:leftChars="200" w:firstLine="420" w:firstLineChars="200"/>
    </w:pPr>
    <w:rPr>
      <w:spacing w:val="0"/>
      <w:sz w:val="21"/>
      <w:szCs w:val="24"/>
    </w:rPr>
  </w:style>
  <w:style w:type="character" w:customStyle="1" w:styleId="16">
    <w:name w:val="页眉 Char"/>
    <w:basedOn w:val="15"/>
    <w:link w:val="12"/>
    <w:qFormat/>
    <w:uiPriority w:val="99"/>
    <w:rPr>
      <w:rFonts w:ascii="Times New Roman" w:hAnsi="Times New Roman" w:eastAsia="宋体" w:cs="Times New Roman"/>
      <w:sz w:val="18"/>
      <w:szCs w:val="18"/>
    </w:rPr>
  </w:style>
  <w:style w:type="character" w:customStyle="1" w:styleId="17">
    <w:name w:val="页脚 Char"/>
    <w:basedOn w:val="15"/>
    <w:link w:val="11"/>
    <w:qFormat/>
    <w:uiPriority w:val="99"/>
    <w:rPr>
      <w:rFonts w:ascii="Times New Roman" w:hAnsi="Times New Roman" w:eastAsia="宋体" w:cs="Times New Roman"/>
      <w:sz w:val="18"/>
      <w:szCs w:val="18"/>
    </w:rPr>
  </w:style>
  <w:style w:type="character" w:customStyle="1" w:styleId="18">
    <w:name w:val="日期 Char"/>
    <w:basedOn w:val="15"/>
    <w:link w:val="9"/>
    <w:semiHidden/>
    <w:qFormat/>
    <w:uiPriority w:val="99"/>
    <w:rPr>
      <w:rFonts w:ascii="Times New Roman" w:hAnsi="Times New Roman" w:eastAsia="宋体" w:cs="Times New Roman"/>
      <w:kern w:val="2"/>
      <w:sz w:val="21"/>
      <w:szCs w:val="24"/>
    </w:rPr>
  </w:style>
  <w:style w:type="character" w:customStyle="1" w:styleId="19">
    <w:name w:val="批注框文本 Char"/>
    <w:basedOn w:val="15"/>
    <w:link w:val="10"/>
    <w:semiHidden/>
    <w:qFormat/>
    <w:uiPriority w:val="99"/>
    <w:rPr>
      <w:rFonts w:ascii="Times New Roman" w:hAnsi="Times New Roman" w:eastAsia="宋体" w:cs="Times New Roman"/>
      <w:kern w:val="2"/>
      <w:sz w:val="18"/>
      <w:szCs w:val="18"/>
    </w:rPr>
  </w:style>
  <w:style w:type="character" w:customStyle="1" w:styleId="20">
    <w:name w:val="fontstyle01"/>
    <w:basedOn w:val="15"/>
    <w:qFormat/>
    <w:uiPriority w:val="0"/>
    <w:rPr>
      <w:rFonts w:hint="eastAsia" w:ascii="宋体" w:hAnsi="宋体" w:eastAsia="宋体"/>
      <w:color w:val="000000"/>
      <w:sz w:val="24"/>
      <w:szCs w:val="24"/>
    </w:rPr>
  </w:style>
  <w:style w:type="character" w:customStyle="1" w:styleId="21">
    <w:name w:val="fontstyle21"/>
    <w:basedOn w:val="15"/>
    <w:qFormat/>
    <w:uiPriority w:val="0"/>
    <w:rPr>
      <w:rFonts w:hint="default" w:ascii="Times New Roman" w:hAnsi="Times New Roman" w:cs="Times New Roman"/>
      <w:color w:val="000000"/>
      <w:sz w:val="24"/>
      <w:szCs w:val="24"/>
    </w:rPr>
  </w:style>
  <w:style w:type="paragraph" w:customStyle="1" w:styleId="22">
    <w:name w:val="报告正文"/>
    <w:basedOn w:val="1"/>
    <w:qFormat/>
    <w:uiPriority w:val="0"/>
    <w:pPr>
      <w:adjustRightInd w:val="0"/>
      <w:snapToGrid w:val="0"/>
      <w:spacing w:line="360" w:lineRule="auto"/>
      <w:ind w:firstLine="200" w:firstLineChars="200"/>
    </w:pPr>
    <w:rPr>
      <w:rFonts w:ascii="宋体" w:cs="宋体"/>
      <w:sz w:val="24"/>
    </w:rPr>
  </w:style>
  <w:style w:type="paragraph" w:customStyle="1" w:styleId="23">
    <w:name w:val="UserStyle_8"/>
    <w:basedOn w:val="24"/>
    <w:qFormat/>
    <w:uiPriority w:val="0"/>
    <w:pPr>
      <w:spacing w:line="240" w:lineRule="auto"/>
      <w:ind w:right="-140" w:rightChars="-50" w:firstLine="1653" w:firstLineChars="588"/>
      <w:jc w:val="both"/>
      <w:textAlignment w:val="baseline"/>
    </w:pPr>
    <w:rPr>
      <w:rFonts w:ascii="宋体" w:hAnsi="Tms Rmn" w:cs="Times New Roman"/>
      <w:b/>
      <w:bCs/>
      <w:kern w:val="0"/>
      <w:sz w:val="28"/>
      <w:szCs w:val="20"/>
      <w:lang w:val="en-US" w:eastAsia="zh-CN" w:bidi="ar-SA"/>
    </w:rPr>
  </w:style>
  <w:style w:type="paragraph" w:customStyle="1" w:styleId="24">
    <w:name w:val="UserStyle_9"/>
    <w:basedOn w:val="1"/>
    <w:next w:val="1"/>
    <w:qFormat/>
    <w:uiPriority w:val="0"/>
    <w:pPr>
      <w:spacing w:line="480" w:lineRule="atLeast"/>
      <w:jc w:val="both"/>
      <w:textAlignment w:val="baseline"/>
    </w:pPr>
    <w:rPr>
      <w:rFonts w:ascii="宋体" w:hAnsi="Tms Rmn"/>
      <w:kern w:val="0"/>
      <w:sz w:val="28"/>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ITSK.com</Company>
  <Pages>5</Pages>
  <Words>1991</Words>
  <Characters>2190</Characters>
  <Lines>10</Lines>
  <Paragraphs>3</Paragraphs>
  <TotalTime>0</TotalTime>
  <ScaleCrop>false</ScaleCrop>
  <LinksUpToDate>false</LinksUpToDate>
  <CharactersWithSpaces>2266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2020-04-01T01:10:00Z</dcterms:created>
  <dc:creator>SkyUser</dc:creator>
  <cp:lastModifiedBy>user</cp:lastModifiedBy>
  <cp:lastPrinted>2024-04-02T08:56:40Z</cp:lastPrinted>
  <dcterms:modified xsi:type="dcterms:W3CDTF">2024-04-02T16:17:57Z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97234F466E0A4C52AFA1D65FE8A5AD31_13</vt:lpwstr>
  </property>
</Properties>
</file>