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4"/>
        <w:ind w:left="0"/>
        <w:rPr>
          <w:rFonts w:ascii="Times New Roman"/>
          <w:sz w:val="17"/>
        </w:rPr>
      </w:pPr>
      <w:bookmarkStart w:id="0" w:name="盖章封皮.pdf"/>
      <w:bookmarkEnd w:id="0"/>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r>
        <w:rPr>
          <w:rFonts w:hint="eastAsia"/>
        </w:rPr>
        <w:pict>
          <v:shape id="_x0000_s1052" o:spid="_x0000_s1052" o:spt="136" type="#_x0000_t136" style="position:absolute;left:0pt;margin-left:33.45pt;margin-top:19.95pt;height:81.45pt;width:391.45pt;z-index:251683840;mso-width-relative:page;mso-height-relative:page;" fillcolor="#FF0000" filled="t" stroked="f" coordsize="21600,21600" adj="10800">
            <v:path/>
            <v:fill on="t" color2="#FFFFFF" focussize="0,0"/>
            <v:stroke on="f"/>
            <v:imagedata o:title=""/>
            <o:lock v:ext="edit" aspectratio="f"/>
            <v:textpath on="t" fitshape="t" fitpath="t" trim="t" xscale="f" string="滕州市人民政府文件" style="font-family:华文中宋;font-size:36pt;font-weight:bold;v-text-align:center;"/>
          </v:shape>
        </w:pict>
      </w: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滕政发〔2021〕10号</w:t>
      </w:r>
    </w:p>
    <w:p>
      <w:pPr>
        <w:spacing w:after="0"/>
        <w:jc w:val="center"/>
        <w:rPr>
          <w:rFonts w:hint="eastAsia" w:ascii="仿宋_GB2312" w:hAnsi="仿宋_GB2312" w:eastAsia="仿宋_GB2312" w:cs="仿宋_GB2312"/>
          <w:sz w:val="32"/>
          <w:szCs w:val="32"/>
        </w:rPr>
      </w:pPr>
    </w:p>
    <w:p>
      <w:pPr>
        <w:spacing w:after="0"/>
        <w:jc w:val="center"/>
        <w:rPr>
          <w:rFonts w:hint="eastAsia" w:ascii="仿宋_GB2312" w:hAnsi="仿宋_GB2312" w:eastAsia="仿宋_GB2312" w:cs="仿宋_GB2312"/>
          <w:sz w:val="32"/>
          <w:szCs w:val="32"/>
        </w:rPr>
      </w:pPr>
      <w:r>
        <w:rPr>
          <w:rFonts w:hint="eastAsia"/>
        </w:rPr>
        <mc:AlternateContent>
          <mc:Choice Requires="wps">
            <w:drawing>
              <wp:anchor distT="0" distB="0" distL="114300" distR="114300" simplePos="0" relativeHeight="251691008" behindDoc="0" locked="0" layoutInCell="1" allowOverlap="1">
                <wp:simplePos x="0" y="0"/>
                <wp:positionH relativeFrom="column">
                  <wp:posOffset>413385</wp:posOffset>
                </wp:positionH>
                <wp:positionV relativeFrom="paragraph">
                  <wp:posOffset>41910</wp:posOffset>
                </wp:positionV>
                <wp:extent cx="5143500" cy="635"/>
                <wp:effectExtent l="0" t="0" r="0" b="0"/>
                <wp:wrapNone/>
                <wp:docPr id="79" name="直接连接符 79"/>
                <wp:cNvGraphicFramePr/>
                <a:graphic xmlns:a="http://schemas.openxmlformats.org/drawingml/2006/main">
                  <a:graphicData uri="http://schemas.microsoft.com/office/word/2010/wordprocessingShape">
                    <wps:wsp>
                      <wps:cNvCnPr/>
                      <wps:spPr>
                        <a:xfrm>
                          <a:off x="0" y="0"/>
                          <a:ext cx="5143500" cy="635"/>
                        </a:xfrm>
                        <a:prstGeom prst="line">
                          <a:avLst/>
                        </a:prstGeom>
                        <a:ln w="28575" cap="flat" cmpd="sng">
                          <a:solidFill>
                            <a:srgbClr val="FF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32.55pt;margin-top:3.3pt;height:0.05pt;width:405pt;z-index:251691008;mso-width-relative:page;mso-height-relative:page;" filled="f" stroked="t" coordsize="21600,21600" o:gfxdata="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FgAAAGRycy9QSwEC&#10;FAAUAAAACACHTuJA3k5FYtMAAAAGAQAADwAAAAAAAAABACAAAAA4AAAAZHJzL2Rvd25yZXYueG1s&#10;UEsBAhQAFAAAAAgAh07iQLwUPNPnAQAArAMAAA4AAAAAAAAAAQAgAAAAOAEAAGRycy9lMm9Eb2Mu&#10;eG1sUEsFBgAAAAAGAAYAWQEAAJEFAAAAAA==&#10;">
                <v:fill on="f" focussize="0,0"/>
                <v:stroke weight="2.25pt" color="#FF0000" joinstyle="round"/>
                <v:imagedata o:title=""/>
                <o:lock v:ext="edit" aspectratio="f"/>
              </v:line>
            </w:pict>
          </mc:Fallback>
        </mc:AlternateContent>
      </w:r>
    </w:p>
    <w:p>
      <w:pPr>
        <w:spacing w:after="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滕州市人民政府</w:t>
      </w:r>
    </w:p>
    <w:p>
      <w:pPr>
        <w:spacing w:after="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关于印发《滕州市国民经济和社会发展第十四个五年规划和2035年远景目标纲要》的</w:t>
      </w:r>
    </w:p>
    <w:p>
      <w:pPr>
        <w:spacing w:after="0"/>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通</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知</w:t>
      </w:r>
    </w:p>
    <w:p>
      <w:pPr>
        <w:keepNext w:val="0"/>
        <w:keepLines w:val="0"/>
        <w:pageBreakBefore w:val="0"/>
        <w:widowControl w:val="0"/>
        <w:kinsoku/>
        <w:wordWrap/>
        <w:overflowPunct/>
        <w:topLinePunct w:val="0"/>
        <w:autoSpaceDE w:val="0"/>
        <w:autoSpaceDN w:val="0"/>
        <w:bidi w:val="0"/>
        <w:adjustRightInd/>
        <w:snapToGrid/>
        <w:spacing w:after="0" w:line="6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各镇人民政府、街道办事处，滕州市经济开发区管委会，市政府各部门单位，各企事业单位：</w:t>
      </w:r>
    </w:p>
    <w:p>
      <w:pPr>
        <w:keepNext w:val="0"/>
        <w:keepLines w:val="0"/>
        <w:pageBreakBefore w:val="0"/>
        <w:widowControl w:val="0"/>
        <w:kinsoku/>
        <w:wordWrap/>
        <w:overflowPunct/>
        <w:topLinePunct w:val="0"/>
        <w:autoSpaceDE w:val="0"/>
        <w:autoSpaceDN w:val="0"/>
        <w:bidi w:val="0"/>
        <w:adjustRightInd/>
        <w:snapToGrid/>
        <w:spacing w:after="0"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《滕州市国民经济和社会发展第十四个五年规划和2035年远景目标纲要》，已经滕州市第十八届人民代表大会第五次会议审议通过，现印发给你们，请认真贯彻落实</w:t>
      </w:r>
    </w:p>
    <w:p>
      <w:pPr>
        <w:keepNext w:val="0"/>
        <w:keepLines w:val="0"/>
        <w:pageBreakBefore w:val="0"/>
        <w:widowControl w:val="0"/>
        <w:kinsoku/>
        <w:wordWrap/>
        <w:overflowPunct/>
        <w:topLinePunct w:val="0"/>
        <w:autoSpaceDE w:val="0"/>
        <w:autoSpaceDN w:val="0"/>
        <w:bidi w:val="0"/>
        <w:adjustRightInd/>
        <w:snapToGrid/>
        <w:spacing w:after="0"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滕州市人民政府</w:t>
      </w:r>
    </w:p>
    <w:p>
      <w:pPr>
        <w:keepNext w:val="0"/>
        <w:keepLines w:val="0"/>
        <w:pageBreakBefore w:val="0"/>
        <w:widowControl w:val="0"/>
        <w:kinsoku/>
        <w:wordWrap/>
        <w:overflowPunct/>
        <w:topLinePunct w:val="0"/>
        <w:autoSpaceDE w:val="0"/>
        <w:autoSpaceDN w:val="0"/>
        <w:bidi w:val="0"/>
        <w:adjustRightInd/>
        <w:snapToGrid/>
        <w:spacing w:after="0" w:line="600" w:lineRule="exact"/>
        <w:jc w:val="righ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2021年8月12日</w:t>
      </w:r>
    </w:p>
    <w:p>
      <w:pPr>
        <w:keepNext w:val="0"/>
        <w:keepLines w:val="0"/>
        <w:pageBreakBefore w:val="0"/>
        <w:widowControl w:val="0"/>
        <w:kinsoku/>
        <w:wordWrap/>
        <w:overflowPunct/>
        <w:topLinePunct w:val="0"/>
        <w:autoSpaceDE w:val="0"/>
        <w:autoSpaceDN w:val="0"/>
        <w:bidi w:val="0"/>
        <w:adjustRightInd/>
        <w:snapToGrid/>
        <w:spacing w:after="0" w:line="600" w:lineRule="exact"/>
        <w:textAlignment w:val="auto"/>
        <w:rPr>
          <w:rFonts w:hint="eastAsia" w:ascii="仿宋_GB2312" w:hAnsi="仿宋_GB2312" w:eastAsia="仿宋_GB2312" w:cs="仿宋_GB2312"/>
          <w:sz w:val="32"/>
          <w:szCs w:val="32"/>
        </w:rPr>
        <w:sectPr>
          <w:type w:val="continuous"/>
          <w:pgSz w:w="11910" w:h="16840"/>
          <w:pgMar w:top="1580" w:right="1299" w:bottom="280" w:left="1380" w:header="720" w:footer="720" w:gutter="0"/>
          <w:cols w:space="720" w:num="1"/>
        </w:sectPr>
      </w:pPr>
      <w:r>
        <w:rPr>
          <w:rFonts w:hint="eastAsia" w:ascii="仿宋_GB2312" w:hAnsi="仿宋_GB2312" w:eastAsia="仿宋_GB2312" w:cs="仿宋_GB2312"/>
          <w:sz w:val="32"/>
          <w:szCs w:val="32"/>
        </w:rPr>
        <w:t>（此件公开发布）</w:t>
      </w:r>
    </w:p>
    <w:p>
      <w:pPr>
        <w:pStyle w:val="3"/>
        <w:ind w:left="0"/>
        <w:rPr>
          <w:rFonts w:ascii="Times New Roman"/>
          <w:sz w:val="20"/>
        </w:rPr>
      </w:pPr>
      <w:r>
        <mc:AlternateContent>
          <mc:Choice Requires="wps">
            <w:drawing>
              <wp:anchor distT="0" distB="0" distL="114300" distR="114300" simplePos="0" relativeHeight="249869312" behindDoc="1" locked="0" layoutInCell="1" allowOverlap="1">
                <wp:simplePos x="0" y="0"/>
                <wp:positionH relativeFrom="page">
                  <wp:posOffset>6423025</wp:posOffset>
                </wp:positionH>
                <wp:positionV relativeFrom="page">
                  <wp:posOffset>9735820</wp:posOffset>
                </wp:positionV>
                <wp:extent cx="57150" cy="1270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57150" cy="127000"/>
                        </a:xfrm>
                        <a:prstGeom prst="rect">
                          <a:avLst/>
                        </a:prstGeom>
                        <a:noFill/>
                        <a:ln>
                          <a:noFill/>
                        </a:ln>
                      </wps:spPr>
                      <wps:txbx>
                        <w:txbxContent>
                          <w:p>
                            <w:pPr>
                              <w:spacing w:before="0" w:line="199" w:lineRule="exact"/>
                              <w:ind w:left="0" w:right="0" w:firstLine="0"/>
                              <w:jc w:val="left"/>
                              <w:rPr>
                                <w:rFonts w:ascii="Times New Roman"/>
                                <w:sz w:val="18"/>
                              </w:rPr>
                            </w:pPr>
                            <w:r>
                              <w:rPr>
                                <w:rFonts w:ascii="Times New Roman"/>
                                <w:sz w:val="18"/>
                              </w:rPr>
                              <w:t>1</w:t>
                            </w:r>
                          </w:p>
                        </w:txbxContent>
                      </wps:txbx>
                      <wps:bodyPr lIns="0" tIns="0" rIns="0" bIns="0" upright="true"/>
                    </wps:wsp>
                  </a:graphicData>
                </a:graphic>
              </wp:anchor>
            </w:drawing>
          </mc:Choice>
          <mc:Fallback>
            <w:pict>
              <v:shape id="_x0000_s1026" o:spid="_x0000_s1026" o:spt="202" type="#_x0000_t202" style="position:absolute;left:0pt;margin-left:505.75pt;margin-top:766.6pt;height:10pt;width:4.5pt;mso-position-horizontal-relative:page;mso-position-vertical-relative:page;z-index:-253447168;mso-width-relative:page;mso-height-relative:page;" filled="f" stroked="f" coordsize="21600,21600" o:gfxdata="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uGaA5dkAAAAPAQAADwAAAAAAAAABACAAAAA4AAAAZHJzL2Rvd25yZXYueG1sUEsBAhQAFAAA&#10;AAgAh07iQBYjLsifAQAAKAMAAA4AAAAAAAAAAQAgAAAAPgEAAGRycy9lMm9Eb2MueG1sUEsFBgAA&#10;AAAGAAYAWQEAAE8FAAAAAA==&#10;">
                <v:fill on="f" focussize="0,0"/>
                <v:stroke on="f"/>
                <v:imagedata o:title=""/>
                <o:lock v:ext="edit" aspectratio="f"/>
                <v:textbox inset="0mm,0mm,0mm,0mm">
                  <w:txbxContent>
                    <w:p>
                      <w:pPr>
                        <w:spacing w:before="0" w:line="199" w:lineRule="exact"/>
                        <w:ind w:left="0" w:right="0" w:firstLine="0"/>
                        <w:jc w:val="left"/>
                        <w:rPr>
                          <w:rFonts w:ascii="Times New Roman"/>
                          <w:sz w:val="18"/>
                        </w:rPr>
                      </w:pPr>
                      <w:r>
                        <w:rPr>
                          <w:rFonts w:ascii="Times New Roman"/>
                          <w:sz w:val="18"/>
                        </w:rPr>
                        <w:t>1</w:t>
                      </w:r>
                    </w:p>
                  </w:txbxContent>
                </v:textbox>
              </v:shape>
            </w:pict>
          </mc:Fallback>
        </mc:AlternateContent>
      </w:r>
      <w:r>
        <mc:AlternateContent>
          <mc:Choice Requires="wps">
            <w:drawing>
              <wp:anchor distT="0" distB="0" distL="114300" distR="114300" simplePos="0" relativeHeight="251660288" behindDoc="0" locked="0" layoutInCell="1" allowOverlap="1">
                <wp:simplePos x="0" y="0"/>
                <wp:positionH relativeFrom="page">
                  <wp:posOffset>5793105</wp:posOffset>
                </wp:positionH>
                <wp:positionV relativeFrom="page">
                  <wp:posOffset>9325610</wp:posOffset>
                </wp:positionV>
                <wp:extent cx="1134745" cy="827405"/>
                <wp:effectExtent l="0" t="0" r="8255" b="10795"/>
                <wp:wrapNone/>
                <wp:docPr id="38" name="任意多边形 3"/>
                <wp:cNvGraphicFramePr/>
                <a:graphic xmlns:a="http://schemas.openxmlformats.org/drawingml/2006/main">
                  <a:graphicData uri="http://schemas.microsoft.com/office/word/2010/wordprocessingShape">
                    <wps:wsp>
                      <wps:cNvSpPr/>
                      <wps:spPr>
                        <a:xfrm>
                          <a:off x="0" y="0"/>
                          <a:ext cx="1134745" cy="827405"/>
                        </a:xfrm>
                        <a:custGeom>
                          <a:avLst/>
                          <a:gdLst/>
                          <a:ahLst/>
                          <a:cxnLst/>
                          <a:pathLst>
                            <a:path w="1787" h="1303">
                              <a:moveTo>
                                <a:pt x="1787" y="0"/>
                              </a:moveTo>
                              <a:lnTo>
                                <a:pt x="172" y="0"/>
                              </a:lnTo>
                              <a:lnTo>
                                <a:pt x="172" y="288"/>
                              </a:lnTo>
                              <a:lnTo>
                                <a:pt x="0" y="288"/>
                              </a:lnTo>
                              <a:lnTo>
                                <a:pt x="0" y="1303"/>
                              </a:lnTo>
                              <a:lnTo>
                                <a:pt x="1690" y="1303"/>
                              </a:lnTo>
                              <a:lnTo>
                                <a:pt x="1690" y="1295"/>
                              </a:lnTo>
                              <a:lnTo>
                                <a:pt x="1690" y="1288"/>
                              </a:lnTo>
                              <a:lnTo>
                                <a:pt x="1690" y="1240"/>
                              </a:lnTo>
                              <a:lnTo>
                                <a:pt x="1787" y="1240"/>
                              </a:lnTo>
                              <a:lnTo>
                                <a:pt x="1787" y="1232"/>
                              </a:lnTo>
                              <a:lnTo>
                                <a:pt x="1787" y="1225"/>
                              </a:lnTo>
                              <a:lnTo>
                                <a:pt x="1787" y="15"/>
                              </a:lnTo>
                              <a:lnTo>
                                <a:pt x="1787" y="7"/>
                              </a:lnTo>
                              <a:lnTo>
                                <a:pt x="1787" y="0"/>
                              </a:lnTo>
                            </a:path>
                          </a:pathLst>
                        </a:custGeom>
                        <a:solidFill>
                          <a:srgbClr val="FFFFFF"/>
                        </a:solidFill>
                        <a:ln>
                          <a:noFill/>
                        </a:ln>
                      </wps:spPr>
                      <wps:bodyPr upright="true"/>
                    </wps:wsp>
                  </a:graphicData>
                </a:graphic>
              </wp:anchor>
            </w:drawing>
          </mc:Choice>
          <mc:Fallback>
            <w:pict>
              <v:shape id="任意多边形 3" o:spid="_x0000_s1026" o:spt="100" style="position:absolute;left:0pt;margin-left:456.15pt;margin-top:734.3pt;height:65.15pt;width:89.35pt;mso-position-horizontal-relative:page;mso-position-vertical-relative:page;z-index:251660288;mso-width-relative:page;mso-height-relative:page;" fillcolor="#FFFFFF" filled="t" stroked="f" coordsize="1787,1303" o:gfxdata="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WAAAAZHJzL1BLAQIUABQAAAAIAIdO4kAg&#10;Xk633AAAAA4BAAAPAAAAAAAAAAEAIAAAADgAAABkcnMvZG93bnJldi54bWxQSwECFAAUAAAACACH&#10;TuJAMdThRUMCAADNBQAADgAAAAAAAAABACAAAABBAQAAZHJzL2Uyb0RvYy54bWxQSwUGAAAAAAYA&#10;BgBZAQAA9gUAAAAA&#10;" path="m1787,0l172,0,172,288,0,288,0,1303,1690,1303,1690,1295,1690,1288,1690,1240,1787,1240,1787,1232,1787,1225,1787,15,1787,7,1787,0e">
                <v:fill on="t" focussize="0,0"/>
                <v:stroke on="f"/>
                <v:imagedata o:title=""/>
                <o:lock v:ext="edit" aspectratio="f"/>
              </v:shape>
            </w:pict>
          </mc:Fallback>
        </mc:AlternateContent>
      </w: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pStyle w:val="3"/>
        <w:ind w:left="0"/>
        <w:rPr>
          <w:rFonts w:ascii="Times New Roman"/>
          <w:sz w:val="20"/>
        </w:rPr>
      </w:pPr>
    </w:p>
    <w:p>
      <w:pPr>
        <w:spacing w:before="243" w:line="172" w:lineRule="auto"/>
        <w:ind w:left="1823" w:right="694" w:hanging="1212"/>
        <w:jc w:val="left"/>
        <w:rPr>
          <w:rFonts w:hint="eastAsia" w:ascii="方正小标宋简体" w:eastAsia="方正小标宋简体"/>
          <w:i/>
          <w:sz w:val="44"/>
        </w:rPr>
      </w:pPr>
      <w:bookmarkStart w:id="1" w:name="20210812-滕州市十四五规划.pdf"/>
      <w:bookmarkEnd w:id="1"/>
      <w:r>
        <w:rPr>
          <w:rFonts w:hint="eastAsia" w:ascii="方正小标宋简体" w:eastAsia="方正小标宋简体"/>
          <w:i/>
          <w:sz w:val="44"/>
        </w:rPr>
        <w:t>滕州市国民经济和社会发展第十四个五年规划和 2035 年远景目标纲要</w:t>
      </w:r>
    </w:p>
    <w:p>
      <w:pPr>
        <w:pStyle w:val="3"/>
        <w:ind w:left="0"/>
        <w:rPr>
          <w:rFonts w:ascii="方正小标宋简体"/>
          <w:i/>
          <w:sz w:val="52"/>
        </w:rPr>
      </w:pPr>
    </w:p>
    <w:p>
      <w:pPr>
        <w:pStyle w:val="3"/>
        <w:ind w:left="0"/>
        <w:rPr>
          <w:rFonts w:ascii="方正小标宋简体"/>
          <w:i/>
          <w:sz w:val="52"/>
        </w:rPr>
      </w:pPr>
    </w:p>
    <w:p>
      <w:pPr>
        <w:pStyle w:val="3"/>
        <w:ind w:left="0"/>
        <w:rPr>
          <w:rFonts w:ascii="方正小标宋简体"/>
          <w:i/>
          <w:sz w:val="52"/>
        </w:rPr>
      </w:pPr>
    </w:p>
    <w:p>
      <w:pPr>
        <w:pStyle w:val="3"/>
        <w:ind w:left="0"/>
        <w:rPr>
          <w:rFonts w:ascii="方正小标宋简体"/>
          <w:i/>
          <w:sz w:val="52"/>
        </w:rPr>
      </w:pPr>
    </w:p>
    <w:p>
      <w:pPr>
        <w:pStyle w:val="3"/>
        <w:ind w:left="0"/>
        <w:rPr>
          <w:rFonts w:ascii="方正小标宋简体"/>
          <w:i/>
          <w:sz w:val="52"/>
        </w:rPr>
      </w:pPr>
    </w:p>
    <w:p>
      <w:pPr>
        <w:pStyle w:val="3"/>
        <w:ind w:left="0"/>
        <w:rPr>
          <w:rFonts w:ascii="方正小标宋简体"/>
          <w:i/>
          <w:sz w:val="52"/>
        </w:rPr>
      </w:pPr>
    </w:p>
    <w:p>
      <w:pPr>
        <w:pStyle w:val="3"/>
        <w:ind w:left="0"/>
        <w:rPr>
          <w:rFonts w:ascii="方正小标宋简体"/>
          <w:i/>
          <w:sz w:val="52"/>
        </w:rPr>
      </w:pPr>
    </w:p>
    <w:p>
      <w:pPr>
        <w:pStyle w:val="3"/>
        <w:spacing w:before="3"/>
        <w:ind w:left="0"/>
        <w:rPr>
          <w:rFonts w:ascii="方正小标宋简体"/>
          <w:i/>
          <w:sz w:val="75"/>
        </w:rPr>
      </w:pPr>
    </w:p>
    <w:p>
      <w:pPr>
        <w:pStyle w:val="2"/>
        <w:spacing w:line="240" w:lineRule="auto"/>
        <w:ind w:left="114" w:right="77"/>
        <w:jc w:val="center"/>
      </w:pPr>
      <w:r>
        <w:t>2021 年 8 月</w:t>
      </w:r>
    </w:p>
    <w:p>
      <w:pPr>
        <w:spacing w:after="0" w:line="240" w:lineRule="auto"/>
        <w:jc w:val="center"/>
        <w:sectPr>
          <w:pgSz w:w="11910" w:h="16840"/>
          <w:pgMar w:top="1580" w:right="1300" w:bottom="280" w:left="1380" w:header="720" w:footer="720" w:gutter="0"/>
          <w:cols w:space="720" w:num="1"/>
        </w:sectPr>
      </w:pPr>
    </w:p>
    <w:p>
      <w:pPr>
        <w:pStyle w:val="3"/>
        <w:spacing w:before="5"/>
        <w:ind w:left="0"/>
        <w:rPr>
          <w:rFonts w:ascii="Microsoft JhengHei"/>
          <w:b/>
          <w:sz w:val="20"/>
        </w:rPr>
      </w:pPr>
      <w:r>
        <mc:AlternateContent>
          <mc:Choice Requires="wps">
            <w:drawing>
              <wp:anchor distT="0" distB="0" distL="114300" distR="114300" simplePos="0" relativeHeight="251662336" behindDoc="0" locked="0" layoutInCell="1" allowOverlap="1">
                <wp:simplePos x="0" y="0"/>
                <wp:positionH relativeFrom="page">
                  <wp:posOffset>520700</wp:posOffset>
                </wp:positionH>
                <wp:positionV relativeFrom="page">
                  <wp:posOffset>9605010</wp:posOffset>
                </wp:positionV>
                <wp:extent cx="1025525" cy="882650"/>
                <wp:effectExtent l="0" t="0" r="3175" b="12700"/>
                <wp:wrapNone/>
                <wp:docPr id="40" name="任意多边形 4"/>
                <wp:cNvGraphicFramePr/>
                <a:graphic xmlns:a="http://schemas.openxmlformats.org/drawingml/2006/main">
                  <a:graphicData uri="http://schemas.microsoft.com/office/word/2010/wordprocessingShape">
                    <wps:wsp>
                      <wps:cNvSpPr/>
                      <wps:spPr>
                        <a:xfrm>
                          <a:off x="0" y="0"/>
                          <a:ext cx="1025525" cy="882650"/>
                        </a:xfrm>
                        <a:custGeom>
                          <a:avLst/>
                          <a:gdLst/>
                          <a:ahLst/>
                          <a:cxnLst/>
                          <a:pathLst>
                            <a:path w="1615" h="1390">
                              <a:moveTo>
                                <a:pt x="1615" y="0"/>
                              </a:moveTo>
                              <a:lnTo>
                                <a:pt x="0" y="0"/>
                              </a:lnTo>
                              <a:lnTo>
                                <a:pt x="0" y="1390"/>
                              </a:lnTo>
                              <a:lnTo>
                                <a:pt x="1615" y="1390"/>
                              </a:lnTo>
                              <a:lnTo>
                                <a:pt x="1615" y="1382"/>
                              </a:lnTo>
                              <a:lnTo>
                                <a:pt x="1615" y="1375"/>
                              </a:lnTo>
                              <a:lnTo>
                                <a:pt x="1615" y="15"/>
                              </a:lnTo>
                              <a:lnTo>
                                <a:pt x="1615" y="7"/>
                              </a:lnTo>
                              <a:lnTo>
                                <a:pt x="1615" y="0"/>
                              </a:lnTo>
                            </a:path>
                          </a:pathLst>
                        </a:custGeom>
                        <a:solidFill>
                          <a:srgbClr val="FFFFFF"/>
                        </a:solidFill>
                        <a:ln>
                          <a:noFill/>
                        </a:ln>
                      </wps:spPr>
                      <wps:bodyPr upright="true"/>
                    </wps:wsp>
                  </a:graphicData>
                </a:graphic>
              </wp:anchor>
            </w:drawing>
          </mc:Choice>
          <mc:Fallback>
            <w:pict>
              <v:shape id="任意多边形 4" o:spid="_x0000_s1026" o:spt="100" style="position:absolute;left:0pt;margin-left:41pt;margin-top:756.3pt;height:69.5pt;width:80.75pt;mso-position-horizontal-relative:page;mso-position-vertical-relative:page;z-index:251662336;mso-width-relative:page;mso-height-relative:page;" fillcolor="#FFFFFF" filled="t" stroked="f" coordsize="1615,1390" o:gfxdata="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A6p&#10;XR/aAAAADAEAAA8AAAAAAAAAAQAgAAAAOAAAAGRycy9kb3ducmV2LnhtbFBLAQIUABQAAAAIAIdO&#10;4kDZpd5TCwIAANUEAAAOAAAAAAAAAAEAIAAAAD8BAABkcnMvZTJvRG9jLnhtbFBLBQYAAAAABgAG&#10;AFkBAAC8BQAAAAA=&#10;" path="m1615,0l0,0,0,1390,1615,1390,1615,1382,1615,1375,1615,15,1615,7,1615,0e">
                <v:fill on="t" focussize="0,0"/>
                <v:stroke on="f"/>
                <v:imagedata o:title=""/>
                <o:lock v:ext="edit" aspectratio="f"/>
              </v:shape>
            </w:pict>
          </mc:Fallback>
        </mc:AlternateContent>
      </w:r>
    </w:p>
    <w:p>
      <w:pPr>
        <w:tabs>
          <w:tab w:val="left" w:pos="1319"/>
        </w:tabs>
        <w:spacing w:before="38"/>
        <w:ind w:left="0" w:right="77" w:firstLine="0"/>
        <w:jc w:val="center"/>
        <w:rPr>
          <w:rFonts w:hint="eastAsia" w:ascii="黑体" w:eastAsia="黑体"/>
          <w:sz w:val="44"/>
        </w:rPr>
      </w:pPr>
      <w:r>
        <w:rPr>
          <w:rFonts w:hint="eastAsia" w:ascii="黑体" w:eastAsia="黑体"/>
          <w:sz w:val="44"/>
        </w:rPr>
        <w:t>目</w:t>
      </w:r>
      <w:r>
        <w:rPr>
          <w:rFonts w:hint="eastAsia" w:ascii="黑体" w:eastAsia="黑体"/>
          <w:sz w:val="44"/>
        </w:rPr>
        <w:tab/>
      </w:r>
      <w:r>
        <w:rPr>
          <w:rFonts w:hint="eastAsia" w:ascii="黑体" w:eastAsia="黑体"/>
          <w:sz w:val="44"/>
        </w:rPr>
        <w:t>录</w:t>
      </w:r>
    </w:p>
    <w:p>
      <w:pPr>
        <w:tabs>
          <w:tab w:val="left" w:pos="1281"/>
          <w:tab w:val="right" w:leader="dot" w:pos="8824"/>
        </w:tabs>
        <w:spacing w:before="289"/>
        <w:ind w:left="321" w:right="0" w:firstLine="0"/>
        <w:jc w:val="left"/>
        <w:rPr>
          <w:rFonts w:ascii="Times New Roman" w:eastAsia="Times New Roman"/>
          <w:sz w:val="24"/>
        </w:rPr>
      </w:pPr>
      <w:r>
        <w:rPr>
          <w:rFonts w:hint="eastAsia" w:ascii="黑体" w:eastAsia="黑体"/>
          <w:sz w:val="24"/>
        </w:rPr>
        <w:t>第一章</w:t>
      </w:r>
      <w:r>
        <w:rPr>
          <w:rFonts w:hint="eastAsia" w:ascii="黑体" w:eastAsia="黑体"/>
          <w:sz w:val="24"/>
        </w:rPr>
        <w:tab/>
      </w:r>
      <w:r>
        <w:rPr>
          <w:rFonts w:hint="eastAsia" w:ascii="黑体" w:eastAsia="黑体"/>
          <w:sz w:val="24"/>
        </w:rPr>
        <w:t>开启建设新时代现代化强市新征程</w:t>
      </w:r>
      <w:r>
        <w:rPr>
          <w:rFonts w:hint="eastAsia" w:ascii="黑体" w:eastAsia="黑体"/>
          <w:sz w:val="24"/>
        </w:rPr>
        <w:tab/>
      </w:r>
      <w:r>
        <w:rPr>
          <w:rFonts w:ascii="Times New Roman" w:eastAsia="Times New Roman"/>
          <w:sz w:val="24"/>
        </w:rPr>
        <w:t>1</w:t>
      </w:r>
    </w:p>
    <w:p>
      <w:pPr>
        <w:tabs>
          <w:tab w:val="left" w:pos="1701"/>
          <w:tab w:val="right" w:leader="dot" w:pos="8824"/>
        </w:tabs>
        <w:spacing w:before="297"/>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决胜全面建成小康社会取得决定性成就</w:t>
      </w:r>
      <w:r>
        <w:rPr>
          <w:rFonts w:hint="eastAsia" w:ascii="宋体" w:eastAsia="宋体"/>
          <w:sz w:val="24"/>
        </w:rPr>
        <w:tab/>
      </w:r>
      <w:r>
        <w:rPr>
          <w:rFonts w:ascii="Times New Roman" w:eastAsia="Times New Roman"/>
          <w:sz w:val="24"/>
        </w:rPr>
        <w:t>1</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新发展阶段面临新形势新机遇新挑战</w:t>
      </w:r>
      <w:r>
        <w:rPr>
          <w:rFonts w:hint="eastAsia" w:ascii="宋体" w:eastAsia="宋体"/>
          <w:sz w:val="24"/>
        </w:rPr>
        <w:tab/>
      </w:r>
      <w:r>
        <w:rPr>
          <w:rFonts w:ascii="Times New Roman" w:eastAsia="Times New Roman"/>
          <w:sz w:val="24"/>
        </w:rPr>
        <w:t>10</w:t>
      </w:r>
    </w:p>
    <w:p>
      <w:pPr>
        <w:tabs>
          <w:tab w:val="left" w:pos="1701"/>
          <w:tab w:val="right" w:leader="dot" w:pos="8829"/>
        </w:tabs>
        <w:spacing w:before="132"/>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ascii="Times New Roman" w:eastAsia="Times New Roman"/>
          <w:sz w:val="24"/>
        </w:rPr>
        <w:t xml:space="preserve">2035 </w:t>
      </w:r>
      <w:r>
        <w:rPr>
          <w:rFonts w:hint="eastAsia" w:ascii="宋体" w:eastAsia="宋体"/>
          <w:sz w:val="24"/>
        </w:rPr>
        <w:t>年远景目标</w:t>
      </w:r>
      <w:r>
        <w:rPr>
          <w:rFonts w:hint="eastAsia" w:ascii="宋体" w:eastAsia="宋体"/>
          <w:sz w:val="24"/>
        </w:rPr>
        <w:tab/>
      </w:r>
      <w:r>
        <w:rPr>
          <w:rFonts w:ascii="Times New Roman" w:eastAsia="Times New Roman"/>
          <w:spacing w:val="-3"/>
          <w:sz w:val="24"/>
        </w:rPr>
        <w:t>11</w:t>
      </w:r>
    </w:p>
    <w:p>
      <w:pPr>
        <w:tabs>
          <w:tab w:val="left" w:pos="1281"/>
          <w:tab w:val="right" w:leader="dot" w:pos="8824"/>
        </w:tabs>
        <w:spacing w:before="321"/>
        <w:ind w:left="321" w:right="0" w:firstLine="0"/>
        <w:jc w:val="left"/>
        <w:rPr>
          <w:rFonts w:ascii="Times New Roman" w:hAnsi="Times New Roman" w:eastAsia="Times New Roman"/>
          <w:sz w:val="24"/>
        </w:rPr>
      </w:pPr>
      <w:r>
        <w:rPr>
          <w:rFonts w:hint="eastAsia" w:ascii="黑体" w:hAnsi="黑体" w:eastAsia="黑体"/>
          <w:sz w:val="24"/>
        </w:rPr>
        <w:t>第二章</w:t>
      </w:r>
      <w:r>
        <w:rPr>
          <w:rFonts w:hint="eastAsia" w:ascii="黑体" w:hAnsi="黑体" w:eastAsia="黑体"/>
          <w:sz w:val="24"/>
        </w:rPr>
        <w:tab/>
      </w:r>
      <w:r>
        <w:rPr>
          <w:rFonts w:hint="eastAsia" w:ascii="黑体" w:hAnsi="黑体" w:eastAsia="黑体"/>
          <w:sz w:val="24"/>
        </w:rPr>
        <w:t>“十四五”时期经济社会发展指导思想和主要目标</w:t>
      </w:r>
      <w:r>
        <w:rPr>
          <w:rFonts w:hint="eastAsia" w:ascii="黑体" w:hAnsi="黑体" w:eastAsia="黑体"/>
          <w:sz w:val="24"/>
        </w:rPr>
        <w:tab/>
      </w:r>
      <w:r>
        <w:rPr>
          <w:rFonts w:ascii="Times New Roman" w:hAnsi="Times New Roman" w:eastAsia="Times New Roman"/>
          <w:sz w:val="24"/>
        </w:rPr>
        <w:t>12</w:t>
      </w:r>
    </w:p>
    <w:p>
      <w:pPr>
        <w:tabs>
          <w:tab w:val="left" w:pos="1701"/>
          <w:tab w:val="right" w:leader="dot" w:pos="8824"/>
        </w:tabs>
        <w:spacing w:before="297"/>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指导思想</w:t>
      </w:r>
      <w:r>
        <w:rPr>
          <w:rFonts w:hint="eastAsia" w:ascii="宋体" w:eastAsia="宋体"/>
          <w:sz w:val="24"/>
        </w:rPr>
        <w:tab/>
      </w:r>
      <w:r>
        <w:rPr>
          <w:rFonts w:ascii="Times New Roman" w:eastAsia="Times New Roman"/>
          <w:sz w:val="24"/>
        </w:rPr>
        <w:t>12</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基本原则</w:t>
      </w:r>
      <w:r>
        <w:rPr>
          <w:rFonts w:hint="eastAsia" w:ascii="宋体" w:eastAsia="宋体"/>
          <w:sz w:val="24"/>
        </w:rPr>
        <w:tab/>
      </w:r>
      <w:r>
        <w:rPr>
          <w:rFonts w:ascii="Times New Roman" w:eastAsia="Times New Roman"/>
          <w:sz w:val="24"/>
        </w:rPr>
        <w:t>12</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发展定位</w:t>
      </w:r>
      <w:r>
        <w:rPr>
          <w:rFonts w:hint="eastAsia" w:ascii="宋体" w:eastAsia="宋体"/>
          <w:sz w:val="24"/>
        </w:rPr>
        <w:tab/>
      </w:r>
      <w:r>
        <w:rPr>
          <w:rFonts w:ascii="Times New Roman" w:eastAsia="Times New Roman"/>
          <w:sz w:val="24"/>
        </w:rPr>
        <w:t>13</w:t>
      </w:r>
    </w:p>
    <w:p>
      <w:pPr>
        <w:tabs>
          <w:tab w:val="left" w:pos="1701"/>
          <w:tab w:val="right" w:leader="dot" w:pos="8824"/>
        </w:tabs>
        <w:spacing w:before="134"/>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主要目标</w:t>
      </w:r>
      <w:r>
        <w:rPr>
          <w:rFonts w:hint="eastAsia" w:ascii="宋体" w:eastAsia="宋体"/>
          <w:sz w:val="24"/>
        </w:rPr>
        <w:tab/>
      </w:r>
      <w:r>
        <w:rPr>
          <w:rFonts w:ascii="Times New Roman" w:eastAsia="Times New Roman"/>
          <w:sz w:val="24"/>
        </w:rPr>
        <w:t>14</w:t>
      </w:r>
    </w:p>
    <w:p>
      <w:pPr>
        <w:tabs>
          <w:tab w:val="left" w:pos="1281"/>
          <w:tab w:val="right" w:leader="dot" w:pos="8824"/>
        </w:tabs>
        <w:spacing w:before="319"/>
        <w:ind w:left="321" w:right="0" w:firstLine="0"/>
        <w:jc w:val="left"/>
        <w:rPr>
          <w:rFonts w:ascii="Times New Roman" w:eastAsia="Times New Roman"/>
          <w:sz w:val="24"/>
        </w:rPr>
      </w:pPr>
      <w:r>
        <w:rPr>
          <w:rFonts w:hint="eastAsia" w:ascii="黑体" w:eastAsia="黑体"/>
          <w:sz w:val="24"/>
        </w:rPr>
        <w:t>第三章</w:t>
      </w:r>
      <w:r>
        <w:rPr>
          <w:rFonts w:hint="eastAsia" w:ascii="黑体" w:eastAsia="黑体"/>
          <w:sz w:val="24"/>
        </w:rPr>
        <w:tab/>
      </w:r>
      <w:r>
        <w:rPr>
          <w:rFonts w:hint="eastAsia" w:ascii="黑体" w:eastAsia="黑体"/>
          <w:sz w:val="24"/>
        </w:rPr>
        <w:t>坚持创新发展，培育高质量发展新动力</w:t>
      </w:r>
      <w:r>
        <w:rPr>
          <w:rFonts w:hint="eastAsia" w:ascii="黑体" w:eastAsia="黑体"/>
          <w:sz w:val="24"/>
        </w:rPr>
        <w:tab/>
      </w:r>
      <w:r>
        <w:rPr>
          <w:rFonts w:ascii="Times New Roman" w:eastAsia="Times New Roman"/>
          <w:sz w:val="24"/>
        </w:rPr>
        <w:t>16</w:t>
      </w:r>
    </w:p>
    <w:p>
      <w:pPr>
        <w:tabs>
          <w:tab w:val="left" w:pos="1701"/>
          <w:tab w:val="right" w:leader="dot" w:pos="8824"/>
        </w:tabs>
        <w:spacing w:before="297"/>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加快核心技术突破</w:t>
      </w:r>
      <w:r>
        <w:rPr>
          <w:rFonts w:hint="eastAsia" w:ascii="宋体" w:eastAsia="宋体"/>
          <w:sz w:val="24"/>
        </w:rPr>
        <w:tab/>
      </w:r>
      <w:r>
        <w:rPr>
          <w:rFonts w:ascii="Times New Roman" w:eastAsia="Times New Roman"/>
          <w:sz w:val="24"/>
        </w:rPr>
        <w:t>16</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强化企业主体地位</w:t>
      </w:r>
      <w:r>
        <w:rPr>
          <w:rFonts w:hint="eastAsia" w:ascii="宋体" w:eastAsia="宋体"/>
          <w:sz w:val="24"/>
        </w:rPr>
        <w:tab/>
      </w:r>
      <w:r>
        <w:rPr>
          <w:rFonts w:ascii="Times New Roman" w:eastAsia="Times New Roman"/>
          <w:sz w:val="24"/>
        </w:rPr>
        <w:t>17</w:t>
      </w:r>
    </w:p>
    <w:p>
      <w:pPr>
        <w:tabs>
          <w:tab w:val="left" w:pos="1701"/>
          <w:tab w:val="right" w:leader="dot" w:pos="8824"/>
        </w:tabs>
        <w:spacing w:before="134"/>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搭建科技创新平台</w:t>
      </w:r>
      <w:r>
        <w:rPr>
          <w:rFonts w:hint="eastAsia" w:ascii="宋体" w:eastAsia="宋体"/>
          <w:sz w:val="24"/>
        </w:rPr>
        <w:tab/>
      </w:r>
      <w:r>
        <w:rPr>
          <w:rFonts w:ascii="Times New Roman" w:eastAsia="Times New Roman"/>
          <w:sz w:val="24"/>
        </w:rPr>
        <w:t>19</w:t>
      </w:r>
    </w:p>
    <w:p>
      <w:pPr>
        <w:tabs>
          <w:tab w:val="left" w:pos="1701"/>
          <w:tab w:val="right" w:leader="dot" w:pos="8824"/>
        </w:tabs>
        <w:spacing w:before="131"/>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发挥人才关键作用</w:t>
      </w:r>
      <w:r>
        <w:rPr>
          <w:rFonts w:hint="eastAsia" w:ascii="宋体" w:eastAsia="宋体"/>
          <w:sz w:val="24"/>
        </w:rPr>
        <w:tab/>
      </w:r>
      <w:r>
        <w:rPr>
          <w:rFonts w:ascii="Times New Roman" w:eastAsia="Times New Roman"/>
          <w:sz w:val="24"/>
        </w:rPr>
        <w:t>20</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第五节</w:t>
      </w:r>
      <w:r>
        <w:rPr>
          <w:rFonts w:hint="eastAsia" w:ascii="宋体" w:eastAsia="宋体"/>
          <w:sz w:val="24"/>
        </w:rPr>
        <w:tab/>
      </w:r>
      <w:r>
        <w:rPr>
          <w:rFonts w:hint="eastAsia" w:ascii="宋体" w:eastAsia="宋体"/>
          <w:sz w:val="24"/>
        </w:rPr>
        <w:t>优化科技创新生态</w:t>
      </w:r>
      <w:r>
        <w:rPr>
          <w:rFonts w:hint="eastAsia" w:ascii="宋体" w:eastAsia="宋体"/>
          <w:sz w:val="24"/>
        </w:rPr>
        <w:tab/>
      </w:r>
      <w:r>
        <w:rPr>
          <w:rFonts w:ascii="Times New Roman" w:eastAsia="Times New Roman"/>
          <w:sz w:val="24"/>
        </w:rPr>
        <w:t>21</w:t>
      </w:r>
    </w:p>
    <w:p>
      <w:pPr>
        <w:tabs>
          <w:tab w:val="left" w:pos="1281"/>
          <w:tab w:val="right" w:leader="dot" w:pos="8824"/>
        </w:tabs>
        <w:spacing w:before="321"/>
        <w:ind w:left="321" w:right="0" w:firstLine="0"/>
        <w:jc w:val="left"/>
        <w:rPr>
          <w:rFonts w:ascii="Times New Roman" w:eastAsia="Times New Roman"/>
          <w:sz w:val="24"/>
        </w:rPr>
      </w:pPr>
      <w:r>
        <w:rPr>
          <w:rFonts w:hint="eastAsia" w:ascii="黑体" w:eastAsia="黑体"/>
          <w:sz w:val="24"/>
        </w:rPr>
        <w:t>第四章</w:t>
      </w:r>
      <w:r>
        <w:rPr>
          <w:rFonts w:hint="eastAsia" w:ascii="黑体" w:eastAsia="黑体"/>
          <w:sz w:val="24"/>
        </w:rPr>
        <w:tab/>
      </w:r>
      <w:r>
        <w:rPr>
          <w:rFonts w:hint="eastAsia" w:ascii="黑体" w:eastAsia="黑体"/>
          <w:sz w:val="24"/>
        </w:rPr>
        <w:t>做强实体经济，构建现代产业体系</w:t>
      </w:r>
      <w:r>
        <w:rPr>
          <w:rFonts w:hint="eastAsia" w:ascii="黑体" w:eastAsia="黑体"/>
          <w:sz w:val="24"/>
        </w:rPr>
        <w:tab/>
      </w:r>
      <w:r>
        <w:rPr>
          <w:rFonts w:ascii="Times New Roman" w:eastAsia="Times New Roman"/>
          <w:sz w:val="24"/>
        </w:rPr>
        <w:t>23</w:t>
      </w:r>
    </w:p>
    <w:p>
      <w:pPr>
        <w:tabs>
          <w:tab w:val="left" w:pos="1701"/>
          <w:tab w:val="right" w:leader="dot" w:pos="8824"/>
        </w:tabs>
        <w:spacing w:before="298"/>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推动工业强基增效</w:t>
      </w:r>
      <w:r>
        <w:rPr>
          <w:rFonts w:hint="eastAsia" w:ascii="宋体" w:eastAsia="宋体"/>
          <w:sz w:val="24"/>
        </w:rPr>
        <w:tab/>
      </w:r>
      <w:r>
        <w:rPr>
          <w:rFonts w:ascii="Times New Roman" w:eastAsia="Times New Roman"/>
          <w:sz w:val="24"/>
        </w:rPr>
        <w:t>23</w:t>
      </w:r>
    </w:p>
    <w:p>
      <w:pPr>
        <w:tabs>
          <w:tab w:val="left" w:pos="1701"/>
          <w:tab w:val="right" w:leader="dot" w:pos="8824"/>
        </w:tabs>
        <w:spacing w:before="131"/>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推进服务业提档升级</w:t>
      </w:r>
      <w:r>
        <w:rPr>
          <w:rFonts w:hint="eastAsia" w:ascii="宋体" w:eastAsia="宋体"/>
          <w:sz w:val="24"/>
        </w:rPr>
        <w:tab/>
      </w:r>
      <w:r>
        <w:rPr>
          <w:rFonts w:ascii="Times New Roman" w:eastAsia="Times New Roman"/>
          <w:sz w:val="24"/>
        </w:rPr>
        <w:t>31</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超前布局未来产业</w:t>
      </w:r>
      <w:r>
        <w:rPr>
          <w:rFonts w:hint="eastAsia" w:ascii="宋体" w:eastAsia="宋体"/>
          <w:sz w:val="24"/>
        </w:rPr>
        <w:tab/>
      </w:r>
      <w:r>
        <w:rPr>
          <w:rFonts w:ascii="Times New Roman" w:eastAsia="Times New Roman"/>
          <w:sz w:val="24"/>
        </w:rPr>
        <w:t>35</w:t>
      </w:r>
    </w:p>
    <w:p>
      <w:pPr>
        <w:tabs>
          <w:tab w:val="left" w:pos="1701"/>
          <w:tab w:val="right" w:leader="dot" w:pos="8824"/>
        </w:tabs>
        <w:spacing w:before="134"/>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深化经济领域改革</w:t>
      </w:r>
      <w:r>
        <w:rPr>
          <w:rFonts w:hint="eastAsia" w:ascii="宋体" w:eastAsia="宋体"/>
          <w:sz w:val="24"/>
        </w:rPr>
        <w:tab/>
      </w:r>
      <w:r>
        <w:rPr>
          <w:rFonts w:ascii="Times New Roman" w:eastAsia="Times New Roman"/>
          <w:sz w:val="24"/>
        </w:rPr>
        <w:t>37</w:t>
      </w:r>
    </w:p>
    <w:p>
      <w:pPr>
        <w:tabs>
          <w:tab w:val="left" w:pos="1281"/>
          <w:tab w:val="right" w:leader="dot" w:pos="8824"/>
        </w:tabs>
        <w:spacing w:before="319"/>
        <w:ind w:left="321" w:right="0" w:firstLine="0"/>
        <w:jc w:val="left"/>
        <w:rPr>
          <w:rFonts w:ascii="Times New Roman" w:eastAsia="Times New Roman"/>
          <w:sz w:val="24"/>
        </w:rPr>
      </w:pPr>
      <w:r>
        <w:rPr>
          <w:rFonts w:hint="eastAsia" w:ascii="黑体" w:eastAsia="黑体"/>
          <w:sz w:val="24"/>
        </w:rPr>
        <w:t>第五章</w:t>
      </w:r>
      <w:r>
        <w:rPr>
          <w:rFonts w:hint="eastAsia" w:ascii="黑体" w:eastAsia="黑体"/>
          <w:sz w:val="24"/>
        </w:rPr>
        <w:tab/>
      </w:r>
      <w:r>
        <w:rPr>
          <w:rFonts w:hint="eastAsia" w:ascii="黑体" w:eastAsia="黑体"/>
          <w:sz w:val="24"/>
        </w:rPr>
        <w:t>扩内需促开放，积极融入双循环发展新格局</w:t>
      </w:r>
      <w:r>
        <w:rPr>
          <w:rFonts w:hint="eastAsia" w:ascii="黑体" w:eastAsia="黑体"/>
          <w:sz w:val="24"/>
        </w:rPr>
        <w:tab/>
      </w:r>
      <w:r>
        <w:rPr>
          <w:rFonts w:ascii="Times New Roman" w:eastAsia="Times New Roman"/>
          <w:sz w:val="24"/>
        </w:rPr>
        <w:t>39</w:t>
      </w:r>
    </w:p>
    <w:p>
      <w:pPr>
        <w:tabs>
          <w:tab w:val="left" w:pos="1701"/>
          <w:tab w:val="right" w:leader="dot" w:pos="8824"/>
        </w:tabs>
        <w:spacing w:before="297"/>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深挖内需释放活力</w:t>
      </w:r>
      <w:r>
        <w:rPr>
          <w:rFonts w:hint="eastAsia" w:ascii="宋体" w:eastAsia="宋体"/>
          <w:sz w:val="24"/>
        </w:rPr>
        <w:tab/>
      </w:r>
      <w:r>
        <w:rPr>
          <w:rFonts w:ascii="Times New Roman" w:eastAsia="Times New Roman"/>
          <w:sz w:val="24"/>
        </w:rPr>
        <w:t>39</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扩大精准有效投资</w:t>
      </w:r>
      <w:r>
        <w:rPr>
          <w:rFonts w:hint="eastAsia" w:ascii="宋体" w:eastAsia="宋体"/>
          <w:sz w:val="24"/>
        </w:rPr>
        <w:tab/>
      </w:r>
      <w:r>
        <w:rPr>
          <w:rFonts w:ascii="Times New Roman" w:eastAsia="Times New Roman"/>
          <w:sz w:val="24"/>
        </w:rPr>
        <w:t>41</w:t>
      </w:r>
    </w:p>
    <w:p>
      <w:pPr>
        <w:tabs>
          <w:tab w:val="left" w:pos="1701"/>
          <w:tab w:val="right" w:leader="dot" w:pos="8824"/>
        </w:tabs>
        <w:spacing w:before="134"/>
        <w:ind w:left="741" w:right="0" w:firstLine="0"/>
        <w:jc w:val="left"/>
        <w:rPr>
          <w:rFonts w:ascii="Times New Roman" w:eastAsia="Times New Roman"/>
          <w:sz w:val="24"/>
        </w:rPr>
      </w:pPr>
      <w:r>
        <mc:AlternateContent>
          <mc:Choice Requires="wps">
            <w:drawing>
              <wp:anchor distT="0" distB="0" distL="114300" distR="114300" simplePos="0" relativeHeight="249871360" behindDoc="1" locked="0" layoutInCell="1" allowOverlap="1">
                <wp:simplePos x="0" y="0"/>
                <wp:positionH relativeFrom="page">
                  <wp:posOffset>1080135</wp:posOffset>
                </wp:positionH>
                <wp:positionV relativeFrom="paragraph">
                  <wp:posOffset>513080</wp:posOffset>
                </wp:positionV>
                <wp:extent cx="57150" cy="127000"/>
                <wp:effectExtent l="0" t="0" r="0" b="0"/>
                <wp:wrapNone/>
                <wp:docPr id="4" name="文本框 5"/>
                <wp:cNvGraphicFramePr/>
                <a:graphic xmlns:a="http://schemas.openxmlformats.org/drawingml/2006/main">
                  <a:graphicData uri="http://schemas.microsoft.com/office/word/2010/wordprocessingShape">
                    <wps:wsp>
                      <wps:cNvSpPr txBox="true"/>
                      <wps:spPr>
                        <a:xfrm>
                          <a:off x="0" y="0"/>
                          <a:ext cx="57150" cy="127000"/>
                        </a:xfrm>
                        <a:prstGeom prst="rect">
                          <a:avLst/>
                        </a:prstGeom>
                        <a:noFill/>
                        <a:ln>
                          <a:noFill/>
                        </a:ln>
                      </wps:spPr>
                      <wps:txbx>
                        <w:txbxContent>
                          <w:p>
                            <w:pPr>
                              <w:spacing w:before="0" w:line="199" w:lineRule="exact"/>
                              <w:ind w:left="0" w:right="0" w:firstLine="0"/>
                              <w:jc w:val="left"/>
                              <w:rPr>
                                <w:rFonts w:ascii="Times New Roman"/>
                                <w:sz w:val="18"/>
                              </w:rPr>
                            </w:pPr>
                            <w:r>
                              <w:rPr>
                                <w:rFonts w:ascii="Times New Roman"/>
                                <w:sz w:val="18"/>
                              </w:rPr>
                              <w:t>2</w:t>
                            </w:r>
                          </w:p>
                        </w:txbxContent>
                      </wps:txbx>
                      <wps:bodyPr lIns="0" tIns="0" rIns="0" bIns="0" upright="true"/>
                    </wps:wsp>
                  </a:graphicData>
                </a:graphic>
              </wp:anchor>
            </w:drawing>
          </mc:Choice>
          <mc:Fallback>
            <w:pict>
              <v:shape id="文本框 5" o:spid="_x0000_s1026" o:spt="202" type="#_x0000_t202" style="position:absolute;left:0pt;margin-left:85.05pt;margin-top:40.4pt;height:10pt;width:4.5pt;mso-position-horizontal-relative:page;z-index:-253445120;mso-width-relative:page;mso-height-relative:page;" filled="f" stroked="f" coordsize="21600,21600" o:gfxdata="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WAAAAZHJzL1BLAQIUABQAAAAIAIdO4kCP&#10;Ur4i1AAAAAoBAAAPAAAAAAAAAAEAIAAAADgAAABkcnMvZG93bnJldi54bWxQSwECFAAUAAAACACH&#10;TuJASZF4/aABAAAoAwAADgAAAAAAAAABACAAAAA5AQAAZHJzL2Uyb0RvYy54bWxQSwUGAAAAAAYA&#10;BgBZAQAASwUAAAAA&#10;">
                <v:fill on="f" focussize="0,0"/>
                <v:stroke on="f"/>
                <v:imagedata o:title=""/>
                <o:lock v:ext="edit" aspectratio="f"/>
                <v:textbox inset="0mm,0mm,0mm,0mm">
                  <w:txbxContent>
                    <w:p>
                      <w:pPr>
                        <w:spacing w:before="0" w:line="199" w:lineRule="exact"/>
                        <w:ind w:left="0" w:right="0" w:firstLine="0"/>
                        <w:jc w:val="left"/>
                        <w:rPr>
                          <w:rFonts w:ascii="Times New Roman"/>
                          <w:sz w:val="18"/>
                        </w:rPr>
                      </w:pPr>
                      <w:r>
                        <w:rPr>
                          <w:rFonts w:ascii="Times New Roman"/>
                          <w:sz w:val="18"/>
                        </w:rPr>
                        <w:t>2</w:t>
                      </w:r>
                    </w:p>
                  </w:txbxContent>
                </v:textbox>
              </v:shape>
            </w:pict>
          </mc:Fallback>
        </mc:AlternateContent>
      </w:r>
      <w:r>
        <w:rPr>
          <w:rFonts w:hint="eastAsia" w:ascii="宋体" w:eastAsia="宋体"/>
          <w:sz w:val="24"/>
        </w:rPr>
        <w:t>第三节</w:t>
      </w:r>
      <w:r>
        <w:rPr>
          <w:rFonts w:hint="eastAsia" w:ascii="宋体" w:eastAsia="宋体"/>
          <w:sz w:val="24"/>
        </w:rPr>
        <w:tab/>
      </w:r>
      <w:r>
        <w:rPr>
          <w:rFonts w:hint="eastAsia" w:ascii="宋体" w:eastAsia="宋体"/>
          <w:sz w:val="24"/>
        </w:rPr>
        <w:t>拓宽领域扩大开放</w:t>
      </w:r>
      <w:r>
        <w:rPr>
          <w:rFonts w:hint="eastAsia" w:ascii="宋体" w:eastAsia="宋体"/>
          <w:sz w:val="24"/>
        </w:rPr>
        <w:tab/>
      </w:r>
      <w:r>
        <w:rPr>
          <w:rFonts w:ascii="Times New Roman" w:eastAsia="Times New Roman"/>
          <w:sz w:val="24"/>
        </w:rPr>
        <w:t>42</w:t>
      </w:r>
    </w:p>
    <w:p>
      <w:pPr>
        <w:spacing w:after="0"/>
        <w:jc w:val="left"/>
        <w:rPr>
          <w:rFonts w:ascii="Times New Roman" w:eastAsia="Times New Roman"/>
          <w:sz w:val="24"/>
        </w:rPr>
        <w:sectPr>
          <w:pgSz w:w="11910" w:h="16840"/>
          <w:pgMar w:top="1580" w:right="1300" w:bottom="0" w:left="1380" w:header="720" w:footer="720" w:gutter="0"/>
          <w:cols w:space="720" w:num="1"/>
        </w:sectPr>
      </w:pPr>
    </w:p>
    <w:p>
      <w:pPr>
        <w:pStyle w:val="3"/>
        <w:spacing w:before="8"/>
        <w:ind w:left="0"/>
        <w:rPr>
          <w:rFonts w:ascii="Times New Roman"/>
          <w:sz w:val="14"/>
        </w:rPr>
      </w:pPr>
      <w:r>
        <mc:AlternateContent>
          <mc:Choice Requires="wps">
            <w:drawing>
              <wp:anchor distT="0" distB="0" distL="114300" distR="114300" simplePos="0" relativeHeight="251664384" behindDoc="0" locked="0" layoutInCell="1" allowOverlap="1">
                <wp:simplePos x="0" y="0"/>
                <wp:positionH relativeFrom="page">
                  <wp:posOffset>5949950</wp:posOffset>
                </wp:positionH>
                <wp:positionV relativeFrom="page">
                  <wp:posOffset>9582150</wp:posOffset>
                </wp:positionV>
                <wp:extent cx="1025525" cy="787400"/>
                <wp:effectExtent l="0" t="0" r="3175" b="12700"/>
                <wp:wrapNone/>
                <wp:docPr id="42" name="任意多边形 6"/>
                <wp:cNvGraphicFramePr/>
                <a:graphic xmlns:a="http://schemas.openxmlformats.org/drawingml/2006/main">
                  <a:graphicData uri="http://schemas.microsoft.com/office/word/2010/wordprocessingShape">
                    <wps:wsp>
                      <wps:cNvSpPr/>
                      <wps:spPr>
                        <a:xfrm>
                          <a:off x="0" y="0"/>
                          <a:ext cx="1025525" cy="787400"/>
                        </a:xfrm>
                        <a:custGeom>
                          <a:avLst/>
                          <a:gdLst/>
                          <a:ahLst/>
                          <a:cxnLst/>
                          <a:pathLst>
                            <a:path w="1615" h="1240">
                              <a:moveTo>
                                <a:pt x="1615" y="0"/>
                              </a:moveTo>
                              <a:lnTo>
                                <a:pt x="0" y="0"/>
                              </a:lnTo>
                              <a:lnTo>
                                <a:pt x="0" y="1240"/>
                              </a:lnTo>
                              <a:lnTo>
                                <a:pt x="1615" y="1240"/>
                              </a:lnTo>
                              <a:lnTo>
                                <a:pt x="1615" y="1232"/>
                              </a:lnTo>
                              <a:lnTo>
                                <a:pt x="1615" y="1225"/>
                              </a:lnTo>
                              <a:lnTo>
                                <a:pt x="1615" y="15"/>
                              </a:lnTo>
                              <a:lnTo>
                                <a:pt x="1615" y="7"/>
                              </a:lnTo>
                              <a:lnTo>
                                <a:pt x="1615" y="0"/>
                              </a:lnTo>
                            </a:path>
                          </a:pathLst>
                        </a:custGeom>
                        <a:solidFill>
                          <a:srgbClr val="FFFFFF"/>
                        </a:solidFill>
                        <a:ln>
                          <a:noFill/>
                        </a:ln>
                      </wps:spPr>
                      <wps:bodyPr upright="true"/>
                    </wps:wsp>
                  </a:graphicData>
                </a:graphic>
              </wp:anchor>
            </w:drawing>
          </mc:Choice>
          <mc:Fallback>
            <w:pict>
              <v:shape id="任意多边形 6" o:spid="_x0000_s1026" o:spt="100" style="position:absolute;left:0pt;margin-left:468.5pt;margin-top:754.5pt;height:62pt;width:80.75pt;mso-position-horizontal-relative:page;mso-position-vertical-relative:page;z-index:251664384;mso-width-relative:page;mso-height-relative:page;" fillcolor="#FFFFFF" filled="t" stroked="f" coordsize="1615,1240" o:gfxdata="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FgAAAGRycy9QSwECFAAUAAAACACHTuJA&#10;O18vqdwAAAAOAQAADwAAAAAAAAABACAAAAA4AAAAZHJzL2Rvd25yZXYueG1sUEsBAhQAFAAAAAgA&#10;h07iQN3mWFoLAgAA1QQAAA4AAAAAAAAAAQAgAAAAQQEAAGRycy9lMm9Eb2MueG1sUEsFBgAAAAAG&#10;AAYAWQEAAL4FAAAAAA==&#10;" path="m1615,0l0,0,0,1240,1615,1240,1615,1232,1615,1225,1615,15,1615,7,1615,0e">
                <v:fill on="t" focussize="0,0"/>
                <v:stroke on="f"/>
                <v:imagedata o:title=""/>
                <o:lock v:ext="edit" aspectratio="f"/>
              </v:shape>
            </w:pict>
          </mc:Fallback>
        </mc:AlternateContent>
      </w:r>
    </w:p>
    <w:p>
      <w:pPr>
        <w:tabs>
          <w:tab w:val="left" w:pos="1281"/>
          <w:tab w:val="right" w:leader="dot" w:pos="8826"/>
        </w:tabs>
        <w:spacing w:before="89"/>
        <w:ind w:left="321" w:right="0" w:firstLine="0"/>
        <w:jc w:val="left"/>
        <w:rPr>
          <w:rFonts w:ascii="Times New Roman" w:eastAsia="Times New Roman"/>
          <w:sz w:val="28"/>
        </w:rPr>
      </w:pPr>
      <w:r>
        <w:rPr>
          <w:rFonts w:hint="eastAsia" w:ascii="黑体" w:eastAsia="黑体"/>
          <w:sz w:val="24"/>
        </w:rPr>
        <w:t>第六章</w:t>
      </w:r>
      <w:r>
        <w:rPr>
          <w:rFonts w:hint="eastAsia" w:ascii="黑体" w:eastAsia="黑体"/>
          <w:sz w:val="24"/>
        </w:rPr>
        <w:tab/>
      </w:r>
      <w:r>
        <w:rPr>
          <w:rFonts w:hint="eastAsia" w:ascii="黑体" w:eastAsia="黑体"/>
          <w:sz w:val="24"/>
        </w:rPr>
        <w:t>优先发展农业农村，全面推动乡村振兴</w:t>
      </w:r>
      <w:r>
        <w:rPr>
          <w:rFonts w:hint="eastAsia" w:ascii="黑体" w:eastAsia="黑体"/>
          <w:sz w:val="24"/>
        </w:rPr>
        <w:tab/>
      </w:r>
      <w:r>
        <w:rPr>
          <w:rFonts w:ascii="Times New Roman" w:eastAsia="Times New Roman"/>
          <w:sz w:val="28"/>
        </w:rPr>
        <w:t>44</w:t>
      </w:r>
    </w:p>
    <w:p>
      <w:pPr>
        <w:tabs>
          <w:tab w:val="left" w:pos="1701"/>
          <w:tab w:val="right" w:leader="dot" w:pos="8824"/>
        </w:tabs>
        <w:spacing w:before="369"/>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推进农业高质高效发展</w:t>
      </w:r>
      <w:r>
        <w:rPr>
          <w:rFonts w:hint="eastAsia" w:ascii="宋体" w:eastAsia="宋体"/>
          <w:sz w:val="24"/>
        </w:rPr>
        <w:tab/>
      </w:r>
      <w:r>
        <w:rPr>
          <w:rFonts w:ascii="Times New Roman" w:eastAsia="Times New Roman"/>
          <w:sz w:val="24"/>
        </w:rPr>
        <w:t>44</w:t>
      </w:r>
    </w:p>
    <w:p>
      <w:pPr>
        <w:tabs>
          <w:tab w:val="left" w:pos="1701"/>
          <w:tab w:val="right" w:leader="dot" w:pos="8824"/>
        </w:tabs>
        <w:spacing w:before="211"/>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大力实施乡村建设行动</w:t>
      </w:r>
      <w:r>
        <w:rPr>
          <w:rFonts w:hint="eastAsia" w:ascii="宋体" w:eastAsia="宋体"/>
          <w:sz w:val="24"/>
        </w:rPr>
        <w:tab/>
      </w:r>
      <w:r>
        <w:rPr>
          <w:rFonts w:ascii="Times New Roman" w:eastAsia="Times New Roman"/>
          <w:sz w:val="24"/>
        </w:rPr>
        <w:t>47</w:t>
      </w:r>
    </w:p>
    <w:p>
      <w:pPr>
        <w:tabs>
          <w:tab w:val="left" w:pos="1701"/>
          <w:tab w:val="right" w:leader="dot" w:pos="8824"/>
        </w:tabs>
        <w:spacing w:before="214"/>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巩固拓展脱贫攻坚成果</w:t>
      </w:r>
      <w:r>
        <w:rPr>
          <w:rFonts w:hint="eastAsia" w:ascii="宋体" w:eastAsia="宋体"/>
          <w:sz w:val="24"/>
        </w:rPr>
        <w:tab/>
      </w:r>
      <w:r>
        <w:rPr>
          <w:rFonts w:ascii="Times New Roman" w:eastAsia="Times New Roman"/>
          <w:sz w:val="24"/>
        </w:rPr>
        <w:t>50</w:t>
      </w:r>
    </w:p>
    <w:p>
      <w:pPr>
        <w:tabs>
          <w:tab w:val="left" w:pos="1281"/>
          <w:tab w:val="right" w:leader="dot" w:pos="8826"/>
        </w:tabs>
        <w:spacing w:before="348"/>
        <w:ind w:left="321" w:right="0" w:firstLine="0"/>
        <w:jc w:val="left"/>
        <w:rPr>
          <w:rFonts w:ascii="Times New Roman" w:eastAsia="Times New Roman"/>
          <w:sz w:val="28"/>
        </w:rPr>
      </w:pPr>
      <w:r>
        <w:rPr>
          <w:rFonts w:hint="eastAsia" w:ascii="黑体" w:eastAsia="黑体"/>
          <w:sz w:val="24"/>
        </w:rPr>
        <w:t>第七章</w:t>
      </w:r>
      <w:r>
        <w:rPr>
          <w:rFonts w:hint="eastAsia" w:ascii="黑体" w:eastAsia="黑体"/>
          <w:sz w:val="24"/>
        </w:rPr>
        <w:tab/>
      </w:r>
      <w:r>
        <w:rPr>
          <w:rFonts w:hint="eastAsia" w:ascii="黑体" w:eastAsia="黑体"/>
          <w:sz w:val="24"/>
        </w:rPr>
        <w:t>加快基础设施建设，提升综合承载能力</w:t>
      </w:r>
      <w:r>
        <w:rPr>
          <w:rFonts w:hint="eastAsia" w:ascii="黑体" w:eastAsia="黑体"/>
          <w:sz w:val="24"/>
        </w:rPr>
        <w:tab/>
      </w:r>
      <w:r>
        <w:rPr>
          <w:rFonts w:ascii="Times New Roman" w:eastAsia="Times New Roman"/>
          <w:sz w:val="28"/>
        </w:rPr>
        <w:t>51</w:t>
      </w:r>
    </w:p>
    <w:p>
      <w:pPr>
        <w:tabs>
          <w:tab w:val="left" w:pos="1701"/>
          <w:tab w:val="right" w:leader="dot" w:pos="8824"/>
        </w:tabs>
        <w:spacing w:before="366"/>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加快新型基础设施建设</w:t>
      </w:r>
      <w:r>
        <w:rPr>
          <w:rFonts w:hint="eastAsia" w:ascii="宋体" w:eastAsia="宋体"/>
          <w:sz w:val="24"/>
        </w:rPr>
        <w:tab/>
      </w:r>
      <w:r>
        <w:rPr>
          <w:rFonts w:ascii="Times New Roman" w:eastAsia="Times New Roman"/>
          <w:sz w:val="24"/>
        </w:rPr>
        <w:t>51</w:t>
      </w:r>
    </w:p>
    <w:p>
      <w:pPr>
        <w:tabs>
          <w:tab w:val="left" w:pos="1701"/>
          <w:tab w:val="right" w:leader="dot" w:pos="8824"/>
        </w:tabs>
        <w:spacing w:before="214"/>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加快交通基础设施建设</w:t>
      </w:r>
      <w:r>
        <w:rPr>
          <w:rFonts w:hint="eastAsia" w:ascii="宋体" w:eastAsia="宋体"/>
          <w:sz w:val="24"/>
        </w:rPr>
        <w:tab/>
      </w:r>
      <w:r>
        <w:rPr>
          <w:rFonts w:ascii="Times New Roman" w:eastAsia="Times New Roman"/>
          <w:sz w:val="24"/>
        </w:rPr>
        <w:t>52</w:t>
      </w:r>
    </w:p>
    <w:p>
      <w:pPr>
        <w:tabs>
          <w:tab w:val="left" w:pos="1701"/>
          <w:tab w:val="right" w:leader="dot" w:pos="8824"/>
        </w:tabs>
        <w:spacing w:before="213"/>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加快能源基础设施建设</w:t>
      </w:r>
      <w:r>
        <w:rPr>
          <w:rFonts w:hint="eastAsia" w:ascii="宋体" w:eastAsia="宋体"/>
          <w:sz w:val="24"/>
        </w:rPr>
        <w:tab/>
      </w:r>
      <w:r>
        <w:rPr>
          <w:rFonts w:ascii="Times New Roman" w:eastAsia="Times New Roman"/>
          <w:sz w:val="24"/>
        </w:rPr>
        <w:t>54</w:t>
      </w:r>
    </w:p>
    <w:p>
      <w:pPr>
        <w:tabs>
          <w:tab w:val="left" w:pos="1701"/>
          <w:tab w:val="right" w:leader="dot" w:pos="8824"/>
        </w:tabs>
        <w:spacing w:before="211"/>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加快水利基础设施建设</w:t>
      </w:r>
      <w:r>
        <w:rPr>
          <w:rFonts w:hint="eastAsia" w:ascii="宋体" w:eastAsia="宋体"/>
          <w:sz w:val="24"/>
        </w:rPr>
        <w:tab/>
      </w:r>
      <w:r>
        <w:rPr>
          <w:rFonts w:ascii="Times New Roman" w:eastAsia="Times New Roman"/>
          <w:sz w:val="24"/>
        </w:rPr>
        <w:t>55</w:t>
      </w:r>
    </w:p>
    <w:p>
      <w:pPr>
        <w:tabs>
          <w:tab w:val="left" w:pos="1281"/>
          <w:tab w:val="right" w:leader="dot" w:pos="8826"/>
        </w:tabs>
        <w:spacing w:before="348"/>
        <w:ind w:left="321" w:right="0" w:firstLine="0"/>
        <w:jc w:val="left"/>
        <w:rPr>
          <w:rFonts w:ascii="Times New Roman" w:eastAsia="Times New Roman"/>
          <w:sz w:val="28"/>
        </w:rPr>
      </w:pPr>
      <w:r>
        <w:rPr>
          <w:rFonts w:hint="eastAsia" w:ascii="黑体" w:eastAsia="黑体"/>
          <w:sz w:val="24"/>
        </w:rPr>
        <w:t>第八章</w:t>
      </w:r>
      <w:r>
        <w:rPr>
          <w:rFonts w:hint="eastAsia" w:ascii="黑体" w:eastAsia="黑体"/>
          <w:sz w:val="24"/>
        </w:rPr>
        <w:tab/>
      </w:r>
      <w:r>
        <w:rPr>
          <w:rFonts w:hint="eastAsia" w:ascii="黑体" w:eastAsia="黑体"/>
          <w:sz w:val="24"/>
        </w:rPr>
        <w:t>优化空间布局，加快推进城乡融合发展</w:t>
      </w:r>
      <w:r>
        <w:rPr>
          <w:rFonts w:hint="eastAsia" w:ascii="黑体" w:eastAsia="黑体"/>
          <w:sz w:val="24"/>
        </w:rPr>
        <w:tab/>
      </w:r>
      <w:r>
        <w:rPr>
          <w:rFonts w:ascii="Times New Roman" w:eastAsia="Times New Roman"/>
          <w:sz w:val="28"/>
        </w:rPr>
        <w:t>56</w:t>
      </w:r>
    </w:p>
    <w:p>
      <w:pPr>
        <w:tabs>
          <w:tab w:val="left" w:pos="1701"/>
          <w:tab w:val="right" w:leader="dot" w:pos="8824"/>
        </w:tabs>
        <w:spacing w:before="369"/>
        <w:ind w:left="741" w:right="0" w:firstLine="0"/>
        <w:jc w:val="left"/>
        <w:rPr>
          <w:rFonts w:ascii="Times New Roman" w:hAnsi="Times New Roman" w:eastAsia="Times New Roman"/>
          <w:sz w:val="24"/>
        </w:rPr>
      </w:pPr>
      <w:r>
        <w:rPr>
          <w:rFonts w:hint="eastAsia" w:ascii="宋体" w:hAnsi="宋体" w:eastAsia="宋体"/>
          <w:sz w:val="24"/>
        </w:rPr>
        <w:t>第一节</w:t>
      </w:r>
      <w:r>
        <w:rPr>
          <w:rFonts w:hint="eastAsia" w:ascii="宋体" w:hAnsi="宋体" w:eastAsia="宋体"/>
          <w:sz w:val="24"/>
        </w:rPr>
        <w:tab/>
      </w:r>
      <w:r>
        <w:rPr>
          <w:rFonts w:hint="eastAsia" w:ascii="宋体" w:hAnsi="宋体" w:eastAsia="宋体"/>
          <w:sz w:val="24"/>
        </w:rPr>
        <w:t>构建“一核三区多点”发展格局</w:t>
      </w:r>
      <w:r>
        <w:rPr>
          <w:rFonts w:hint="eastAsia" w:ascii="宋体" w:hAnsi="宋体" w:eastAsia="宋体"/>
          <w:sz w:val="24"/>
        </w:rPr>
        <w:tab/>
      </w:r>
      <w:r>
        <w:rPr>
          <w:rFonts w:ascii="Times New Roman" w:hAnsi="Times New Roman" w:eastAsia="Times New Roman"/>
          <w:sz w:val="24"/>
        </w:rPr>
        <w:t>56</w:t>
      </w:r>
    </w:p>
    <w:p>
      <w:pPr>
        <w:tabs>
          <w:tab w:val="left" w:pos="1701"/>
          <w:tab w:val="right" w:leader="dot" w:pos="8824"/>
        </w:tabs>
        <w:spacing w:before="211"/>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明确城市空间发展战略</w:t>
      </w:r>
      <w:r>
        <w:rPr>
          <w:rFonts w:hint="eastAsia" w:ascii="宋体" w:eastAsia="宋体"/>
          <w:sz w:val="24"/>
        </w:rPr>
        <w:tab/>
      </w:r>
      <w:r>
        <w:rPr>
          <w:rFonts w:ascii="Times New Roman" w:eastAsia="Times New Roman"/>
          <w:sz w:val="24"/>
        </w:rPr>
        <w:t>57</w:t>
      </w:r>
    </w:p>
    <w:p>
      <w:pPr>
        <w:tabs>
          <w:tab w:val="left" w:pos="1701"/>
          <w:tab w:val="right" w:leader="dot" w:pos="8824"/>
        </w:tabs>
        <w:spacing w:before="213"/>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统筹三类空间布局，坚守三线要求</w:t>
      </w:r>
      <w:r>
        <w:rPr>
          <w:rFonts w:hint="eastAsia" w:ascii="宋体" w:eastAsia="宋体"/>
          <w:sz w:val="24"/>
        </w:rPr>
        <w:tab/>
      </w:r>
      <w:r>
        <w:rPr>
          <w:rFonts w:ascii="Times New Roman" w:eastAsia="Times New Roman"/>
          <w:sz w:val="24"/>
        </w:rPr>
        <w:t>58</w:t>
      </w:r>
    </w:p>
    <w:p>
      <w:pPr>
        <w:tabs>
          <w:tab w:val="left" w:pos="1701"/>
          <w:tab w:val="right" w:leader="dot" w:pos="8824"/>
        </w:tabs>
        <w:spacing w:before="214"/>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不断提高城市功能品质</w:t>
      </w:r>
      <w:r>
        <w:rPr>
          <w:rFonts w:hint="eastAsia" w:ascii="宋体" w:eastAsia="宋体"/>
          <w:sz w:val="24"/>
        </w:rPr>
        <w:tab/>
      </w:r>
      <w:r>
        <w:rPr>
          <w:rFonts w:ascii="Times New Roman" w:eastAsia="Times New Roman"/>
          <w:sz w:val="24"/>
        </w:rPr>
        <w:t>59</w:t>
      </w:r>
    </w:p>
    <w:p>
      <w:pPr>
        <w:tabs>
          <w:tab w:val="left" w:pos="1281"/>
          <w:tab w:val="right" w:leader="dot" w:pos="8826"/>
        </w:tabs>
        <w:spacing w:before="345"/>
        <w:ind w:left="321" w:right="0" w:firstLine="0"/>
        <w:jc w:val="left"/>
        <w:rPr>
          <w:rFonts w:ascii="Times New Roman" w:eastAsia="Times New Roman"/>
          <w:sz w:val="28"/>
        </w:rPr>
      </w:pPr>
      <w:r>
        <w:rPr>
          <w:rFonts w:hint="eastAsia" w:ascii="黑体" w:eastAsia="黑体"/>
          <w:sz w:val="24"/>
        </w:rPr>
        <w:t>第九章</w:t>
      </w:r>
      <w:r>
        <w:rPr>
          <w:rFonts w:hint="eastAsia" w:ascii="黑体" w:eastAsia="黑体"/>
          <w:sz w:val="24"/>
        </w:rPr>
        <w:tab/>
      </w:r>
      <w:r>
        <w:rPr>
          <w:rFonts w:hint="eastAsia" w:ascii="黑体" w:eastAsia="黑体"/>
          <w:sz w:val="24"/>
        </w:rPr>
        <w:t>推动绿色发展，持续改善环境质量</w:t>
      </w:r>
      <w:r>
        <w:rPr>
          <w:rFonts w:hint="eastAsia" w:ascii="黑体" w:eastAsia="黑体"/>
          <w:sz w:val="24"/>
        </w:rPr>
        <w:tab/>
      </w:r>
      <w:r>
        <w:rPr>
          <w:rFonts w:ascii="Times New Roman" w:eastAsia="Times New Roman"/>
          <w:sz w:val="28"/>
        </w:rPr>
        <w:t>61</w:t>
      </w:r>
    </w:p>
    <w:p>
      <w:pPr>
        <w:tabs>
          <w:tab w:val="left" w:pos="1701"/>
          <w:tab w:val="right" w:leader="dot" w:pos="8824"/>
        </w:tabs>
        <w:spacing w:before="369"/>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全面加强生态保护修复</w:t>
      </w:r>
      <w:r>
        <w:rPr>
          <w:rFonts w:hint="eastAsia" w:ascii="宋体" w:eastAsia="宋体"/>
          <w:sz w:val="24"/>
        </w:rPr>
        <w:tab/>
      </w:r>
      <w:r>
        <w:rPr>
          <w:rFonts w:ascii="Times New Roman" w:eastAsia="Times New Roman"/>
          <w:sz w:val="24"/>
        </w:rPr>
        <w:t>61</w:t>
      </w:r>
    </w:p>
    <w:p>
      <w:pPr>
        <w:tabs>
          <w:tab w:val="left" w:pos="1701"/>
          <w:tab w:val="right" w:leader="dot" w:pos="8824"/>
        </w:tabs>
        <w:spacing w:before="214"/>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推进重点污染系统治理</w:t>
      </w:r>
      <w:r>
        <w:rPr>
          <w:rFonts w:hint="eastAsia" w:ascii="宋体" w:eastAsia="宋体"/>
          <w:sz w:val="24"/>
        </w:rPr>
        <w:tab/>
      </w:r>
      <w:r>
        <w:rPr>
          <w:rFonts w:ascii="Times New Roman" w:eastAsia="Times New Roman"/>
          <w:sz w:val="24"/>
        </w:rPr>
        <w:t>62</w:t>
      </w:r>
    </w:p>
    <w:p>
      <w:pPr>
        <w:tabs>
          <w:tab w:val="left" w:pos="1701"/>
          <w:tab w:val="right" w:leader="dot" w:pos="8824"/>
        </w:tabs>
        <w:spacing w:before="211"/>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强化资源节约集约利用</w:t>
      </w:r>
      <w:r>
        <w:rPr>
          <w:rFonts w:hint="eastAsia" w:ascii="宋体" w:eastAsia="宋体"/>
          <w:sz w:val="24"/>
        </w:rPr>
        <w:tab/>
      </w:r>
      <w:r>
        <w:rPr>
          <w:rFonts w:ascii="Times New Roman" w:eastAsia="Times New Roman"/>
          <w:sz w:val="24"/>
        </w:rPr>
        <w:t>63</w:t>
      </w:r>
    </w:p>
    <w:p>
      <w:pPr>
        <w:tabs>
          <w:tab w:val="left" w:pos="1701"/>
          <w:tab w:val="right" w:leader="dot" w:pos="8824"/>
        </w:tabs>
        <w:spacing w:before="213"/>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加快推动绿色低碳发展</w:t>
      </w:r>
      <w:r>
        <w:rPr>
          <w:rFonts w:hint="eastAsia" w:ascii="宋体" w:eastAsia="宋体"/>
          <w:sz w:val="24"/>
        </w:rPr>
        <w:tab/>
      </w:r>
      <w:r>
        <w:rPr>
          <w:rFonts w:ascii="Times New Roman" w:eastAsia="Times New Roman"/>
          <w:sz w:val="24"/>
        </w:rPr>
        <w:t>64</w:t>
      </w:r>
    </w:p>
    <w:p>
      <w:pPr>
        <w:tabs>
          <w:tab w:val="left" w:pos="1281"/>
          <w:tab w:val="right" w:leader="dot" w:pos="8826"/>
        </w:tabs>
        <w:spacing w:before="348"/>
        <w:ind w:left="321" w:right="0" w:firstLine="0"/>
        <w:jc w:val="left"/>
        <w:rPr>
          <w:rFonts w:ascii="Times New Roman" w:eastAsia="Times New Roman"/>
          <w:sz w:val="28"/>
        </w:rPr>
      </w:pPr>
      <w:r>
        <w:rPr>
          <w:rFonts w:hint="eastAsia" w:ascii="黑体" w:eastAsia="黑体"/>
          <w:sz w:val="24"/>
        </w:rPr>
        <w:t>第十章</w:t>
      </w:r>
      <w:r>
        <w:rPr>
          <w:rFonts w:hint="eastAsia" w:ascii="黑体" w:eastAsia="黑体"/>
          <w:sz w:val="24"/>
        </w:rPr>
        <w:tab/>
      </w:r>
      <w:r>
        <w:rPr>
          <w:rFonts w:hint="eastAsia" w:ascii="黑体" w:eastAsia="黑体"/>
          <w:sz w:val="24"/>
        </w:rPr>
        <w:t>提高公共服务水平，推动社会事业迈上新台阶</w:t>
      </w:r>
      <w:r>
        <w:rPr>
          <w:rFonts w:hint="eastAsia" w:ascii="黑体" w:eastAsia="黑体"/>
          <w:sz w:val="24"/>
        </w:rPr>
        <w:tab/>
      </w:r>
      <w:r>
        <w:rPr>
          <w:rFonts w:ascii="Times New Roman" w:eastAsia="Times New Roman"/>
          <w:sz w:val="28"/>
        </w:rPr>
        <w:t>65</w:t>
      </w:r>
    </w:p>
    <w:p>
      <w:pPr>
        <w:tabs>
          <w:tab w:val="left" w:pos="1701"/>
          <w:tab w:val="right" w:leader="dot" w:pos="8824"/>
        </w:tabs>
        <w:spacing w:before="367"/>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推进教育均衡优质发展</w:t>
      </w:r>
      <w:r>
        <w:rPr>
          <w:rFonts w:hint="eastAsia" w:ascii="宋体" w:eastAsia="宋体"/>
          <w:sz w:val="24"/>
        </w:rPr>
        <w:tab/>
      </w:r>
      <w:r>
        <w:rPr>
          <w:rFonts w:ascii="Times New Roman" w:eastAsia="Times New Roman"/>
          <w:sz w:val="24"/>
        </w:rPr>
        <w:t>65</w:t>
      </w:r>
    </w:p>
    <w:p>
      <w:pPr>
        <w:tabs>
          <w:tab w:val="left" w:pos="1701"/>
          <w:tab w:val="right" w:leader="dot" w:pos="8824"/>
        </w:tabs>
        <w:spacing w:before="213"/>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推动文化事业繁荣发展</w:t>
      </w:r>
      <w:r>
        <w:rPr>
          <w:rFonts w:hint="eastAsia" w:ascii="宋体" w:eastAsia="宋体"/>
          <w:sz w:val="24"/>
        </w:rPr>
        <w:tab/>
      </w:r>
      <w:r>
        <w:rPr>
          <w:rFonts w:ascii="Times New Roman" w:eastAsia="Times New Roman"/>
          <w:sz w:val="24"/>
        </w:rPr>
        <w:t>67</w:t>
      </w:r>
    </w:p>
    <w:p>
      <w:pPr>
        <w:tabs>
          <w:tab w:val="left" w:pos="1701"/>
          <w:tab w:val="right" w:leader="dot" w:pos="8824"/>
        </w:tabs>
        <w:spacing w:before="213"/>
        <w:ind w:left="741" w:right="0" w:firstLine="0"/>
        <w:jc w:val="left"/>
        <w:rPr>
          <w:rFonts w:ascii="Times New Roman" w:eastAsia="Times New Roman"/>
          <w:sz w:val="24"/>
        </w:rPr>
      </w:pPr>
      <w:r>
        <mc:AlternateContent>
          <mc:Choice Requires="wps">
            <w:drawing>
              <wp:anchor distT="0" distB="0" distL="114300" distR="114300" simplePos="0" relativeHeight="249873408" behindDoc="1" locked="0" layoutInCell="1" allowOverlap="1">
                <wp:simplePos x="0" y="0"/>
                <wp:positionH relativeFrom="page">
                  <wp:posOffset>6423025</wp:posOffset>
                </wp:positionH>
                <wp:positionV relativeFrom="paragraph">
                  <wp:posOffset>456565</wp:posOffset>
                </wp:positionV>
                <wp:extent cx="57150" cy="127000"/>
                <wp:effectExtent l="0" t="0" r="0" b="0"/>
                <wp:wrapNone/>
                <wp:docPr id="6" name="文本框 7"/>
                <wp:cNvGraphicFramePr/>
                <a:graphic xmlns:a="http://schemas.openxmlformats.org/drawingml/2006/main">
                  <a:graphicData uri="http://schemas.microsoft.com/office/word/2010/wordprocessingShape">
                    <wps:wsp>
                      <wps:cNvSpPr txBox="true"/>
                      <wps:spPr>
                        <a:xfrm>
                          <a:off x="0" y="0"/>
                          <a:ext cx="57150" cy="127000"/>
                        </a:xfrm>
                        <a:prstGeom prst="rect">
                          <a:avLst/>
                        </a:prstGeom>
                        <a:noFill/>
                        <a:ln>
                          <a:noFill/>
                        </a:ln>
                      </wps:spPr>
                      <wps:txbx>
                        <w:txbxContent>
                          <w:p>
                            <w:pPr>
                              <w:spacing w:before="0" w:line="199" w:lineRule="exact"/>
                              <w:ind w:left="0" w:right="0" w:firstLine="0"/>
                              <w:jc w:val="left"/>
                              <w:rPr>
                                <w:rFonts w:ascii="Times New Roman"/>
                                <w:sz w:val="18"/>
                              </w:rPr>
                            </w:pPr>
                            <w:r>
                              <w:rPr>
                                <w:rFonts w:ascii="Times New Roman"/>
                                <w:sz w:val="18"/>
                              </w:rPr>
                              <w:t>3</w:t>
                            </w:r>
                          </w:p>
                        </w:txbxContent>
                      </wps:txbx>
                      <wps:bodyPr lIns="0" tIns="0" rIns="0" bIns="0" upright="true"/>
                    </wps:wsp>
                  </a:graphicData>
                </a:graphic>
              </wp:anchor>
            </w:drawing>
          </mc:Choice>
          <mc:Fallback>
            <w:pict>
              <v:shape id="文本框 7" o:spid="_x0000_s1026" o:spt="202" type="#_x0000_t202" style="position:absolute;left:0pt;margin-left:505.75pt;margin-top:35.95pt;height:10pt;width:4.5pt;mso-position-horizontal-relative:page;z-index:-253443072;mso-width-relative:page;mso-height-relative:page;" filled="f" stroked="f" coordsize="21600,21600" o:gfxdata="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BYAAABkcnMvUEsBAhQAFAAAAAgAh07i&#10;QJroqFDXAAAACwEAAA8AAAAAAAAAAQAgAAAAOAAAAGRycy9kb3ducmV2LnhtbFBLAQIUABQAAAAI&#10;AIdO4kAd6AjknwEAACgDAAAOAAAAAAAAAAEAIAAAADwBAABkcnMvZTJvRG9jLnhtbFBLBQYAAAAA&#10;BgAGAFkBAABNBQAAAAA=&#10;">
                <v:fill on="f" focussize="0,0"/>
                <v:stroke on="f"/>
                <v:imagedata o:title=""/>
                <o:lock v:ext="edit" aspectratio="f"/>
                <v:textbox inset="0mm,0mm,0mm,0mm">
                  <w:txbxContent>
                    <w:p>
                      <w:pPr>
                        <w:spacing w:before="0" w:line="199" w:lineRule="exact"/>
                        <w:ind w:left="0" w:right="0" w:firstLine="0"/>
                        <w:jc w:val="left"/>
                        <w:rPr>
                          <w:rFonts w:ascii="Times New Roman"/>
                          <w:sz w:val="18"/>
                        </w:rPr>
                      </w:pPr>
                      <w:r>
                        <w:rPr>
                          <w:rFonts w:ascii="Times New Roman"/>
                          <w:sz w:val="18"/>
                        </w:rPr>
                        <w:t>3</w:t>
                      </w:r>
                    </w:p>
                  </w:txbxContent>
                </v:textbox>
              </v:shape>
            </w:pict>
          </mc:Fallback>
        </mc:AlternateContent>
      </w:r>
      <w:r>
        <w:rPr>
          <w:rFonts w:hint="eastAsia" w:ascii="宋体" w:eastAsia="宋体"/>
          <w:sz w:val="24"/>
        </w:rPr>
        <w:t>第三节</w:t>
      </w:r>
      <w:r>
        <w:rPr>
          <w:rFonts w:hint="eastAsia" w:ascii="宋体" w:eastAsia="宋体"/>
          <w:sz w:val="24"/>
        </w:rPr>
        <w:tab/>
      </w:r>
      <w:r>
        <w:rPr>
          <w:rFonts w:hint="eastAsia" w:ascii="宋体" w:eastAsia="宋体"/>
          <w:sz w:val="24"/>
        </w:rPr>
        <w:t>打造更高水平健康滕州</w:t>
      </w:r>
      <w:r>
        <w:rPr>
          <w:rFonts w:hint="eastAsia" w:ascii="宋体" w:eastAsia="宋体"/>
          <w:sz w:val="24"/>
        </w:rPr>
        <w:tab/>
      </w:r>
      <w:r>
        <w:rPr>
          <w:rFonts w:ascii="Times New Roman" w:eastAsia="Times New Roman"/>
          <w:sz w:val="24"/>
        </w:rPr>
        <w:t>69</w:t>
      </w:r>
    </w:p>
    <w:p>
      <w:pPr>
        <w:spacing w:after="0"/>
        <w:jc w:val="left"/>
        <w:rPr>
          <w:rFonts w:ascii="Times New Roman" w:eastAsia="Times New Roman"/>
          <w:sz w:val="24"/>
        </w:rPr>
        <w:sectPr>
          <w:pgSz w:w="11910" w:h="16840"/>
          <w:pgMar w:top="1580" w:right="1300" w:bottom="280" w:left="1380" w:header="720" w:footer="720" w:gutter="0"/>
          <w:cols w:space="720" w:num="1"/>
        </w:sectPr>
      </w:pPr>
    </w:p>
    <w:p>
      <w:pPr>
        <w:pStyle w:val="3"/>
        <w:spacing w:before="8"/>
        <w:ind w:left="0"/>
        <w:rPr>
          <w:rFonts w:ascii="Times New Roman"/>
          <w:sz w:val="14"/>
        </w:rPr>
      </w:pPr>
      <w:r>
        <mc:AlternateContent>
          <mc:Choice Requires="wps">
            <w:drawing>
              <wp:anchor distT="0" distB="0" distL="114300" distR="114300" simplePos="0" relativeHeight="249875456" behindDoc="1" locked="0" layoutInCell="1" allowOverlap="1">
                <wp:simplePos x="0" y="0"/>
                <wp:positionH relativeFrom="page">
                  <wp:posOffset>1080135</wp:posOffset>
                </wp:positionH>
                <wp:positionV relativeFrom="page">
                  <wp:posOffset>9670415</wp:posOffset>
                </wp:positionV>
                <wp:extent cx="57150" cy="1270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57150" cy="127000"/>
                        </a:xfrm>
                        <a:prstGeom prst="rect">
                          <a:avLst/>
                        </a:prstGeom>
                        <a:noFill/>
                        <a:ln>
                          <a:noFill/>
                        </a:ln>
                      </wps:spPr>
                      <wps:txbx>
                        <w:txbxContent>
                          <w:p>
                            <w:pPr>
                              <w:spacing w:before="0" w:line="199" w:lineRule="exact"/>
                              <w:ind w:left="0" w:right="0" w:firstLine="0"/>
                              <w:jc w:val="left"/>
                              <w:rPr>
                                <w:rFonts w:ascii="Times New Roman"/>
                                <w:sz w:val="18"/>
                              </w:rPr>
                            </w:pPr>
                            <w:r>
                              <w:rPr>
                                <w:rFonts w:ascii="Times New Roman"/>
                                <w:sz w:val="18"/>
                              </w:rPr>
                              <w:t>4</w:t>
                            </w:r>
                          </w:p>
                        </w:txbxContent>
                      </wps:txbx>
                      <wps:bodyPr lIns="0" tIns="0" rIns="0" bIns="0" upright="true"/>
                    </wps:wsp>
                  </a:graphicData>
                </a:graphic>
              </wp:anchor>
            </w:drawing>
          </mc:Choice>
          <mc:Fallback>
            <w:pict>
              <v:shape id="_x0000_s1026" o:spid="_x0000_s1026" o:spt="202" type="#_x0000_t202" style="position:absolute;left:0pt;margin-left:85.05pt;margin-top:761.45pt;height:10pt;width:4.5pt;mso-position-horizontal-relative:page;mso-position-vertical-relative:page;z-index:-253441024;mso-width-relative:page;mso-height-relative:page;" filled="f" stroked="f" coordsize="21600,21600" o:gfxdata="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FgAAAGRycy9QSwECFAAUAAAACACH&#10;TuJAk+wm7dkAAAANAQAADwAAAAAAAAABACAAAAA4AAAAZHJzL2Rvd25yZXYueG1sUEsBAhQAFAAA&#10;AAgAh07iQBK/n7SfAQAAKAMAAA4AAAAAAAAAAQAgAAAAPgEAAGRycy9lMm9Eb2MueG1sUEsFBgAA&#10;AAAGAAYAWQEAAE8FAAAAAA==&#10;">
                <v:fill on="f" focussize="0,0"/>
                <v:stroke on="f"/>
                <v:imagedata o:title=""/>
                <o:lock v:ext="edit" aspectratio="f"/>
                <v:textbox inset="0mm,0mm,0mm,0mm">
                  <w:txbxContent>
                    <w:p>
                      <w:pPr>
                        <w:spacing w:before="0" w:line="199" w:lineRule="exact"/>
                        <w:ind w:left="0" w:right="0" w:firstLine="0"/>
                        <w:jc w:val="left"/>
                        <w:rPr>
                          <w:rFonts w:ascii="Times New Roman"/>
                          <w:sz w:val="18"/>
                        </w:rPr>
                      </w:pPr>
                      <w:r>
                        <w:rPr>
                          <w:rFonts w:ascii="Times New Roman"/>
                          <w:sz w:val="18"/>
                        </w:rPr>
                        <w:t>4</w:t>
                      </w:r>
                    </w:p>
                  </w:txbxContent>
                </v:textbox>
              </v:shape>
            </w:pict>
          </mc:Fallback>
        </mc:AlternateContent>
      </w:r>
      <w:r>
        <mc:AlternateContent>
          <mc:Choice Requires="wps">
            <w:drawing>
              <wp:anchor distT="0" distB="0" distL="114300" distR="114300" simplePos="0" relativeHeight="251666432" behindDoc="0" locked="0" layoutInCell="1" allowOverlap="1">
                <wp:simplePos x="0" y="0"/>
                <wp:positionH relativeFrom="page">
                  <wp:posOffset>663575</wp:posOffset>
                </wp:positionH>
                <wp:positionV relativeFrom="page">
                  <wp:posOffset>9518650</wp:posOffset>
                </wp:positionV>
                <wp:extent cx="1025525" cy="787400"/>
                <wp:effectExtent l="0" t="0" r="3175" b="12700"/>
                <wp:wrapNone/>
                <wp:docPr id="44" name="任意多边形 9"/>
                <wp:cNvGraphicFramePr/>
                <a:graphic xmlns:a="http://schemas.openxmlformats.org/drawingml/2006/main">
                  <a:graphicData uri="http://schemas.microsoft.com/office/word/2010/wordprocessingShape">
                    <wps:wsp>
                      <wps:cNvSpPr/>
                      <wps:spPr>
                        <a:xfrm>
                          <a:off x="0" y="0"/>
                          <a:ext cx="1025525" cy="787400"/>
                        </a:xfrm>
                        <a:custGeom>
                          <a:avLst/>
                          <a:gdLst/>
                          <a:ahLst/>
                          <a:cxnLst/>
                          <a:pathLst>
                            <a:path w="1615" h="1240">
                              <a:moveTo>
                                <a:pt x="1615" y="0"/>
                              </a:moveTo>
                              <a:lnTo>
                                <a:pt x="0" y="0"/>
                              </a:lnTo>
                              <a:lnTo>
                                <a:pt x="0" y="1240"/>
                              </a:lnTo>
                              <a:lnTo>
                                <a:pt x="1615" y="1240"/>
                              </a:lnTo>
                              <a:lnTo>
                                <a:pt x="1615" y="1232"/>
                              </a:lnTo>
                              <a:lnTo>
                                <a:pt x="1615" y="1225"/>
                              </a:lnTo>
                              <a:lnTo>
                                <a:pt x="1615" y="15"/>
                              </a:lnTo>
                              <a:lnTo>
                                <a:pt x="1615" y="7"/>
                              </a:lnTo>
                              <a:lnTo>
                                <a:pt x="1615" y="0"/>
                              </a:lnTo>
                            </a:path>
                          </a:pathLst>
                        </a:custGeom>
                        <a:solidFill>
                          <a:srgbClr val="FFFFFF"/>
                        </a:solidFill>
                        <a:ln>
                          <a:noFill/>
                        </a:ln>
                      </wps:spPr>
                      <wps:bodyPr upright="true"/>
                    </wps:wsp>
                  </a:graphicData>
                </a:graphic>
              </wp:anchor>
            </w:drawing>
          </mc:Choice>
          <mc:Fallback>
            <w:pict>
              <v:shape id="任意多边形 9" o:spid="_x0000_s1026" o:spt="100" style="position:absolute;left:0pt;margin-left:52.25pt;margin-top:749.5pt;height:62pt;width:80.75pt;mso-position-horizontal-relative:page;mso-position-vertical-relative:page;z-index:251666432;mso-width-relative:page;mso-height-relative:page;" fillcolor="#FFFFFF" filled="t" stroked="f" coordsize="1615,1240" o:gfxdata="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KUN&#10;DJbZAAAADQEAAA8AAAAAAAAAAQAgAAAAOAAAAGRycy9kb3ducmV2LnhtbFBLAQIUABQAAAAIAIdO&#10;4kCY6ebcDAIAANUEAAAOAAAAAAAAAAEAIAAAAD4BAABkcnMvZTJvRG9jLnhtbFBLBQYAAAAABgAG&#10;AFkBAAC8BQAAAAA=&#10;" path="m1615,0l0,0,0,1240,1615,1240,1615,1232,1615,1225,1615,15,1615,7,1615,0e">
                <v:fill on="t" focussize="0,0"/>
                <v:stroke on="f"/>
                <v:imagedata o:title=""/>
                <o:lock v:ext="edit" aspectratio="f"/>
              </v:shape>
            </w:pict>
          </mc:Fallback>
        </mc:AlternateContent>
      </w:r>
    </w:p>
    <w:p>
      <w:pPr>
        <w:tabs>
          <w:tab w:val="left" w:pos="1521"/>
          <w:tab w:val="right" w:leader="dot" w:pos="8826"/>
        </w:tabs>
        <w:spacing w:before="89"/>
        <w:ind w:left="321" w:right="0" w:firstLine="0"/>
        <w:jc w:val="left"/>
        <w:rPr>
          <w:rFonts w:ascii="Times New Roman" w:eastAsia="Times New Roman"/>
          <w:sz w:val="28"/>
        </w:rPr>
      </w:pPr>
      <w:r>
        <w:rPr>
          <w:rFonts w:hint="eastAsia" w:ascii="黑体" w:eastAsia="黑体"/>
          <w:sz w:val="24"/>
        </w:rPr>
        <w:t>第十一章</w:t>
      </w:r>
      <w:r>
        <w:rPr>
          <w:rFonts w:hint="eastAsia" w:ascii="黑体" w:eastAsia="黑体"/>
          <w:sz w:val="24"/>
        </w:rPr>
        <w:tab/>
      </w:r>
      <w:r>
        <w:rPr>
          <w:rFonts w:hint="eastAsia" w:ascii="黑体" w:eastAsia="黑体"/>
          <w:sz w:val="24"/>
        </w:rPr>
        <w:t>增进民生福祉，健全完善社会保障体系</w:t>
      </w:r>
      <w:r>
        <w:rPr>
          <w:rFonts w:hint="eastAsia" w:ascii="黑体" w:eastAsia="黑体"/>
          <w:sz w:val="24"/>
        </w:rPr>
        <w:tab/>
      </w:r>
      <w:r>
        <w:rPr>
          <w:rFonts w:ascii="Times New Roman" w:eastAsia="Times New Roman"/>
          <w:sz w:val="28"/>
        </w:rPr>
        <w:t>71</w:t>
      </w:r>
    </w:p>
    <w:p>
      <w:pPr>
        <w:tabs>
          <w:tab w:val="left" w:pos="1701"/>
          <w:tab w:val="right" w:leader="dot" w:pos="8824"/>
        </w:tabs>
        <w:spacing w:before="369"/>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实现更加充分和更高质量就业</w:t>
      </w:r>
      <w:r>
        <w:rPr>
          <w:rFonts w:hint="eastAsia" w:ascii="宋体" w:eastAsia="宋体"/>
          <w:sz w:val="24"/>
        </w:rPr>
        <w:tab/>
      </w:r>
      <w:r>
        <w:rPr>
          <w:rFonts w:ascii="Times New Roman" w:eastAsia="Times New Roman"/>
          <w:sz w:val="24"/>
        </w:rPr>
        <w:t>71</w:t>
      </w:r>
    </w:p>
    <w:p>
      <w:pPr>
        <w:tabs>
          <w:tab w:val="left" w:pos="1701"/>
          <w:tab w:val="right" w:leader="dot" w:pos="8824"/>
        </w:tabs>
        <w:spacing w:before="211"/>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全面加强社会保障体系建设</w:t>
      </w:r>
      <w:r>
        <w:rPr>
          <w:rFonts w:hint="eastAsia" w:ascii="宋体" w:eastAsia="宋体"/>
          <w:sz w:val="24"/>
        </w:rPr>
        <w:tab/>
      </w:r>
      <w:r>
        <w:rPr>
          <w:rFonts w:ascii="Times New Roman" w:eastAsia="Times New Roman"/>
          <w:sz w:val="24"/>
        </w:rPr>
        <w:t>72</w:t>
      </w:r>
    </w:p>
    <w:p>
      <w:pPr>
        <w:tabs>
          <w:tab w:val="left" w:pos="1701"/>
          <w:tab w:val="right" w:leader="dot" w:pos="8824"/>
        </w:tabs>
        <w:spacing w:before="214"/>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全力促进人口长期均衡发展</w:t>
      </w:r>
      <w:r>
        <w:rPr>
          <w:rFonts w:hint="eastAsia" w:ascii="宋体" w:eastAsia="宋体"/>
          <w:sz w:val="24"/>
        </w:rPr>
        <w:tab/>
      </w:r>
      <w:r>
        <w:rPr>
          <w:rFonts w:ascii="Times New Roman" w:eastAsia="Times New Roman"/>
          <w:sz w:val="24"/>
        </w:rPr>
        <w:t>74</w:t>
      </w:r>
    </w:p>
    <w:p>
      <w:pPr>
        <w:tabs>
          <w:tab w:val="left" w:pos="1521"/>
          <w:tab w:val="right" w:leader="dot" w:pos="8826"/>
        </w:tabs>
        <w:spacing w:before="314"/>
        <w:ind w:left="321" w:right="0" w:firstLine="0"/>
        <w:jc w:val="left"/>
        <w:rPr>
          <w:rFonts w:ascii="Times New Roman" w:eastAsia="Times New Roman"/>
          <w:sz w:val="28"/>
        </w:rPr>
      </w:pPr>
      <w:r>
        <w:rPr>
          <w:rFonts w:hint="eastAsia" w:ascii="黑体" w:eastAsia="黑体"/>
          <w:sz w:val="24"/>
        </w:rPr>
        <w:t>第十二章</w:t>
      </w:r>
      <w:r>
        <w:rPr>
          <w:rFonts w:hint="eastAsia" w:ascii="黑体" w:eastAsia="黑体"/>
          <w:sz w:val="24"/>
        </w:rPr>
        <w:tab/>
      </w:r>
      <w:r>
        <w:rPr>
          <w:rFonts w:hint="eastAsia" w:ascii="黑体" w:eastAsia="黑体"/>
          <w:sz w:val="24"/>
        </w:rPr>
        <w:t>坚持德治法治相结合，推进社会治理现代化</w:t>
      </w:r>
      <w:r>
        <w:rPr>
          <w:rFonts w:hint="eastAsia" w:ascii="黑体" w:eastAsia="黑体"/>
          <w:sz w:val="24"/>
        </w:rPr>
        <w:tab/>
      </w:r>
      <w:r>
        <w:rPr>
          <w:rFonts w:ascii="Times New Roman" w:eastAsia="Times New Roman"/>
          <w:sz w:val="28"/>
        </w:rPr>
        <w:t>75</w:t>
      </w:r>
    </w:p>
    <w:p>
      <w:pPr>
        <w:tabs>
          <w:tab w:val="left" w:pos="1701"/>
          <w:tab w:val="right" w:leader="dot" w:pos="8824"/>
        </w:tabs>
        <w:spacing w:before="297"/>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建设美德滕州</w:t>
      </w:r>
      <w:r>
        <w:rPr>
          <w:rFonts w:hint="eastAsia" w:ascii="宋体" w:eastAsia="宋体"/>
          <w:sz w:val="24"/>
        </w:rPr>
        <w:tab/>
      </w:r>
      <w:r>
        <w:rPr>
          <w:rFonts w:ascii="Times New Roman" w:eastAsia="Times New Roman"/>
          <w:sz w:val="24"/>
        </w:rPr>
        <w:t>75</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建设文明滕州</w:t>
      </w:r>
      <w:r>
        <w:rPr>
          <w:rFonts w:hint="eastAsia" w:ascii="宋体" w:eastAsia="宋体"/>
          <w:sz w:val="24"/>
        </w:rPr>
        <w:tab/>
      </w:r>
      <w:r>
        <w:rPr>
          <w:rFonts w:ascii="Times New Roman" w:eastAsia="Times New Roman"/>
          <w:sz w:val="24"/>
        </w:rPr>
        <w:t>75</w:t>
      </w:r>
    </w:p>
    <w:p>
      <w:pPr>
        <w:tabs>
          <w:tab w:val="left" w:pos="1701"/>
          <w:tab w:val="right" w:leader="dot" w:pos="8824"/>
        </w:tabs>
        <w:spacing w:before="134"/>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建设法治滕州</w:t>
      </w:r>
      <w:r>
        <w:rPr>
          <w:rFonts w:hint="eastAsia" w:ascii="宋体" w:eastAsia="宋体"/>
          <w:sz w:val="24"/>
        </w:rPr>
        <w:tab/>
      </w:r>
      <w:r>
        <w:rPr>
          <w:rFonts w:ascii="Times New Roman" w:eastAsia="Times New Roman"/>
          <w:sz w:val="24"/>
        </w:rPr>
        <w:t>76</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建设平安滕州</w:t>
      </w:r>
      <w:r>
        <w:rPr>
          <w:rFonts w:hint="eastAsia" w:ascii="宋体" w:eastAsia="宋体"/>
          <w:sz w:val="24"/>
        </w:rPr>
        <w:tab/>
      </w:r>
      <w:r>
        <w:rPr>
          <w:rFonts w:ascii="Times New Roman" w:eastAsia="Times New Roman"/>
          <w:sz w:val="24"/>
        </w:rPr>
        <w:t>77</w:t>
      </w:r>
    </w:p>
    <w:p>
      <w:pPr>
        <w:tabs>
          <w:tab w:val="left" w:pos="1521"/>
          <w:tab w:val="right" w:leader="dot" w:pos="8826"/>
        </w:tabs>
        <w:spacing w:before="300"/>
        <w:ind w:left="321" w:right="0" w:firstLine="0"/>
        <w:jc w:val="left"/>
        <w:rPr>
          <w:rFonts w:ascii="Times New Roman" w:eastAsia="Times New Roman"/>
          <w:sz w:val="28"/>
        </w:rPr>
      </w:pPr>
      <w:r>
        <w:rPr>
          <w:rFonts w:hint="eastAsia" w:ascii="黑体" w:eastAsia="黑体"/>
          <w:sz w:val="24"/>
        </w:rPr>
        <w:t>第十三章</w:t>
      </w:r>
      <w:r>
        <w:rPr>
          <w:rFonts w:hint="eastAsia" w:ascii="黑体" w:eastAsia="黑体"/>
          <w:sz w:val="24"/>
        </w:rPr>
        <w:tab/>
      </w:r>
      <w:r>
        <w:rPr>
          <w:rFonts w:hint="eastAsia" w:ascii="黑体" w:eastAsia="黑体"/>
          <w:sz w:val="24"/>
        </w:rPr>
        <w:t>凝聚强大合力，确保规划顺利实施</w:t>
      </w:r>
      <w:r>
        <w:rPr>
          <w:rFonts w:hint="eastAsia" w:ascii="黑体" w:eastAsia="黑体"/>
          <w:sz w:val="24"/>
        </w:rPr>
        <w:tab/>
      </w:r>
      <w:r>
        <w:rPr>
          <w:rFonts w:ascii="Times New Roman" w:eastAsia="Times New Roman"/>
          <w:sz w:val="28"/>
        </w:rPr>
        <w:t>78</w:t>
      </w:r>
    </w:p>
    <w:p>
      <w:pPr>
        <w:tabs>
          <w:tab w:val="left" w:pos="1701"/>
          <w:tab w:val="right" w:leader="dot" w:pos="8824"/>
        </w:tabs>
        <w:spacing w:before="294"/>
        <w:ind w:left="741" w:right="0" w:firstLine="0"/>
        <w:jc w:val="left"/>
        <w:rPr>
          <w:rFonts w:ascii="Times New Roman" w:eastAsia="Times New Roman"/>
          <w:sz w:val="24"/>
        </w:rPr>
      </w:pPr>
      <w:r>
        <w:rPr>
          <w:rFonts w:hint="eastAsia" w:ascii="宋体" w:eastAsia="宋体"/>
          <w:sz w:val="24"/>
        </w:rPr>
        <w:t>第一节</w:t>
      </w:r>
      <w:r>
        <w:rPr>
          <w:rFonts w:hint="eastAsia" w:ascii="宋体" w:eastAsia="宋体"/>
          <w:sz w:val="24"/>
        </w:rPr>
        <w:tab/>
      </w:r>
      <w:r>
        <w:rPr>
          <w:rFonts w:hint="eastAsia" w:ascii="宋体" w:eastAsia="宋体"/>
          <w:sz w:val="24"/>
        </w:rPr>
        <w:t>坚持党的全面领导</w:t>
      </w:r>
      <w:r>
        <w:rPr>
          <w:rFonts w:hint="eastAsia" w:ascii="宋体" w:eastAsia="宋体"/>
          <w:sz w:val="24"/>
        </w:rPr>
        <w:tab/>
      </w:r>
      <w:r>
        <w:rPr>
          <w:rFonts w:ascii="Times New Roman" w:eastAsia="Times New Roman"/>
          <w:sz w:val="24"/>
        </w:rPr>
        <w:t>78</w:t>
      </w:r>
    </w:p>
    <w:p>
      <w:pPr>
        <w:tabs>
          <w:tab w:val="left" w:pos="1701"/>
          <w:tab w:val="right" w:leader="dot" w:pos="8824"/>
        </w:tabs>
        <w:spacing w:before="135"/>
        <w:ind w:left="741" w:right="0" w:firstLine="0"/>
        <w:jc w:val="left"/>
        <w:rPr>
          <w:rFonts w:ascii="Times New Roman" w:eastAsia="Times New Roman"/>
          <w:sz w:val="24"/>
        </w:rPr>
      </w:pPr>
      <w:r>
        <w:rPr>
          <w:rFonts w:hint="eastAsia" w:ascii="宋体" w:eastAsia="宋体"/>
          <w:sz w:val="24"/>
        </w:rPr>
        <w:t>第二节</w:t>
      </w:r>
      <w:r>
        <w:rPr>
          <w:rFonts w:hint="eastAsia" w:ascii="宋体" w:eastAsia="宋体"/>
          <w:sz w:val="24"/>
        </w:rPr>
        <w:tab/>
      </w:r>
      <w:r>
        <w:rPr>
          <w:rFonts w:hint="eastAsia" w:ascii="宋体" w:eastAsia="宋体"/>
          <w:sz w:val="24"/>
        </w:rPr>
        <w:t>凝聚开拓奋进合力</w:t>
      </w:r>
      <w:r>
        <w:rPr>
          <w:rFonts w:hint="eastAsia" w:ascii="宋体" w:eastAsia="宋体"/>
          <w:sz w:val="24"/>
        </w:rPr>
        <w:tab/>
      </w:r>
      <w:r>
        <w:rPr>
          <w:rFonts w:ascii="Times New Roman" w:eastAsia="Times New Roman"/>
          <w:sz w:val="24"/>
        </w:rPr>
        <w:t>79</w:t>
      </w:r>
    </w:p>
    <w:p>
      <w:pPr>
        <w:tabs>
          <w:tab w:val="left" w:pos="1701"/>
          <w:tab w:val="right" w:leader="dot" w:pos="8824"/>
        </w:tabs>
        <w:spacing w:before="131"/>
        <w:ind w:left="741" w:right="0" w:firstLine="0"/>
        <w:jc w:val="left"/>
        <w:rPr>
          <w:rFonts w:ascii="Times New Roman" w:eastAsia="Times New Roman"/>
          <w:sz w:val="24"/>
        </w:rPr>
      </w:pPr>
      <w:r>
        <w:rPr>
          <w:rFonts w:hint="eastAsia" w:ascii="宋体" w:eastAsia="宋体"/>
          <w:sz w:val="24"/>
        </w:rPr>
        <w:t>第三节</w:t>
      </w:r>
      <w:r>
        <w:rPr>
          <w:rFonts w:hint="eastAsia" w:ascii="宋体" w:eastAsia="宋体"/>
          <w:sz w:val="24"/>
        </w:rPr>
        <w:tab/>
      </w:r>
      <w:r>
        <w:rPr>
          <w:rFonts w:hint="eastAsia" w:ascii="宋体" w:eastAsia="宋体"/>
          <w:sz w:val="24"/>
        </w:rPr>
        <w:t>健全规划实施机制</w:t>
      </w:r>
      <w:r>
        <w:rPr>
          <w:rFonts w:hint="eastAsia" w:ascii="宋体" w:eastAsia="宋体"/>
          <w:sz w:val="24"/>
        </w:rPr>
        <w:tab/>
      </w:r>
      <w:r>
        <w:rPr>
          <w:rFonts w:ascii="Times New Roman" w:eastAsia="Times New Roman"/>
          <w:sz w:val="24"/>
        </w:rPr>
        <w:t>79</w:t>
      </w:r>
    </w:p>
    <w:p>
      <w:pPr>
        <w:tabs>
          <w:tab w:val="left" w:pos="1701"/>
          <w:tab w:val="right" w:leader="dot" w:pos="8824"/>
        </w:tabs>
        <w:spacing w:before="132"/>
        <w:ind w:left="741" w:right="0" w:firstLine="0"/>
        <w:jc w:val="left"/>
        <w:rPr>
          <w:rFonts w:ascii="Times New Roman" w:eastAsia="Times New Roman"/>
          <w:sz w:val="24"/>
        </w:rPr>
      </w:pPr>
      <w:r>
        <w:rPr>
          <w:rFonts w:hint="eastAsia" w:ascii="宋体" w:eastAsia="宋体"/>
          <w:sz w:val="24"/>
        </w:rPr>
        <w:t>第四节</w:t>
      </w:r>
      <w:r>
        <w:rPr>
          <w:rFonts w:hint="eastAsia" w:ascii="宋体" w:eastAsia="宋体"/>
          <w:sz w:val="24"/>
        </w:rPr>
        <w:tab/>
      </w:r>
      <w:r>
        <w:rPr>
          <w:rFonts w:hint="eastAsia" w:ascii="宋体" w:eastAsia="宋体"/>
          <w:sz w:val="24"/>
        </w:rPr>
        <w:t>强化规划评估监督</w:t>
      </w:r>
      <w:r>
        <w:rPr>
          <w:rFonts w:hint="eastAsia" w:ascii="宋体" w:eastAsia="宋体"/>
          <w:sz w:val="24"/>
        </w:rPr>
        <w:tab/>
      </w:r>
      <w:r>
        <w:rPr>
          <w:rFonts w:ascii="Times New Roman" w:eastAsia="Times New Roman"/>
          <w:sz w:val="24"/>
        </w:rPr>
        <w:t>80</w:t>
      </w:r>
    </w:p>
    <w:p>
      <w:pPr>
        <w:spacing w:after="0"/>
        <w:jc w:val="left"/>
        <w:rPr>
          <w:rFonts w:ascii="Times New Roman" w:eastAsia="Times New Roman"/>
          <w:sz w:val="24"/>
        </w:rPr>
        <w:sectPr>
          <w:pgSz w:w="11910" w:h="16840"/>
          <w:pgMar w:top="1580" w:right="1300" w:bottom="280" w:left="1380" w:header="720" w:footer="720" w:gutter="0"/>
          <w:cols w:space="720" w:num="1"/>
        </w:sectPr>
      </w:pPr>
    </w:p>
    <w:p>
      <w:pPr>
        <w:pStyle w:val="3"/>
        <w:ind w:left="0"/>
        <w:rPr>
          <w:rFonts w:ascii="Times New Roman"/>
          <w:sz w:val="20"/>
        </w:rPr>
      </w:pPr>
    </w:p>
    <w:p>
      <w:pPr>
        <w:pStyle w:val="3"/>
        <w:ind w:left="0"/>
        <w:rPr>
          <w:rFonts w:ascii="Times New Roman"/>
          <w:sz w:val="20"/>
        </w:rPr>
      </w:pPr>
    </w:p>
    <w:p>
      <w:pPr>
        <w:spacing w:before="253" w:line="172" w:lineRule="auto"/>
        <w:ind w:left="2032" w:right="692" w:hanging="1421"/>
        <w:jc w:val="left"/>
        <w:rPr>
          <w:rFonts w:hint="eastAsia" w:ascii="方正小标宋简体" w:eastAsia="方正小标宋简体"/>
          <w:sz w:val="44"/>
        </w:rPr>
      </w:pPr>
      <w:r>
        <w:rPr>
          <w:rFonts w:hint="eastAsia" w:ascii="方正小标宋简体" w:eastAsia="方正小标宋简体"/>
          <w:sz w:val="44"/>
        </w:rPr>
        <w:t xml:space="preserve">滕州市国民经济和社会发展第十四个五年规划和 </w:t>
      </w:r>
      <w:r>
        <w:rPr>
          <w:rFonts w:ascii="Times New Roman" w:eastAsia="Times New Roman"/>
          <w:sz w:val="44"/>
        </w:rPr>
        <w:t xml:space="preserve">2035 </w:t>
      </w:r>
      <w:r>
        <w:rPr>
          <w:rFonts w:hint="eastAsia" w:ascii="方正小标宋简体" w:eastAsia="方正小标宋简体"/>
          <w:sz w:val="44"/>
        </w:rPr>
        <w:t>年远景目标纲要</w:t>
      </w:r>
    </w:p>
    <w:p>
      <w:pPr>
        <w:pStyle w:val="3"/>
        <w:spacing w:before="15"/>
        <w:ind w:left="0"/>
        <w:rPr>
          <w:rFonts w:ascii="方正小标宋简体"/>
          <w:sz w:val="34"/>
        </w:rPr>
      </w:pPr>
    </w:p>
    <w:p>
      <w:pPr>
        <w:pStyle w:val="3"/>
        <w:spacing w:line="328" w:lineRule="auto"/>
        <w:ind w:right="399" w:firstLine="638"/>
        <w:jc w:val="both"/>
      </w:pPr>
      <w:r>
        <w:rPr>
          <w:spacing w:val="-1"/>
        </w:rPr>
        <w:t xml:space="preserve">《滕州市国民经济和社会发展第十四个五年规划和 </w:t>
      </w:r>
      <w:r>
        <w:rPr>
          <w:spacing w:val="-3"/>
        </w:rPr>
        <w:t xml:space="preserve">2035 </w:t>
      </w:r>
      <w:r>
        <w:rPr>
          <w:spacing w:val="-11"/>
          <w:w w:val="95"/>
        </w:rPr>
        <w:t xml:space="preserve">年远景目标纲要》是根据中央精神和省、市委部署要求，按照 </w:t>
      </w:r>
      <w:r>
        <w:rPr>
          <w:spacing w:val="-15"/>
        </w:rPr>
        <w:t>中共滕州市委《关于制定国民经济和社会发展第十四个五年规</w:t>
      </w:r>
      <w:r>
        <w:rPr>
          <w:spacing w:val="-15"/>
          <w:w w:val="95"/>
        </w:rPr>
        <w:t>划和二</w:t>
      </w:r>
      <w:r>
        <w:rPr>
          <w:rFonts w:hint="eastAsia" w:ascii="宋体" w:eastAsia="宋体"/>
          <w:spacing w:val="-15"/>
          <w:w w:val="95"/>
        </w:rPr>
        <w:t>〇</w:t>
      </w:r>
      <w:r>
        <w:rPr>
          <w:spacing w:val="-18"/>
          <w:w w:val="95"/>
        </w:rPr>
        <w:t xml:space="preserve">三五年远景目标的建议》编制，主要阐明市委市政府 </w:t>
      </w:r>
      <w:r>
        <w:rPr>
          <w:spacing w:val="-16"/>
          <w:w w:val="95"/>
        </w:rPr>
        <w:t xml:space="preserve">战略意图，明确经济社会发展重点，是未来五年和今后一段时 </w:t>
      </w:r>
      <w:r>
        <w:rPr>
          <w:spacing w:val="6"/>
          <w:w w:val="95"/>
        </w:rPr>
        <w:t xml:space="preserve">期引领全市高质量发展的宏伟蓝图，对引导规范市场主体行 </w:t>
      </w:r>
      <w:r>
        <w:rPr>
          <w:spacing w:val="6"/>
        </w:rPr>
        <w:t>为、汇聚全市人民共同愿景意义重大。</w:t>
      </w:r>
    </w:p>
    <w:p>
      <w:pPr>
        <w:pStyle w:val="3"/>
        <w:tabs>
          <w:tab w:val="left" w:pos="1279"/>
        </w:tabs>
        <w:spacing w:before="146"/>
        <w:ind w:left="0" w:right="77"/>
        <w:jc w:val="center"/>
        <w:rPr>
          <w:rFonts w:hint="eastAsia" w:ascii="黑体" w:eastAsia="黑体"/>
        </w:rPr>
      </w:pPr>
      <w:bookmarkStart w:id="2" w:name="第一章  开启建设新时代现代化强市新征程"/>
      <w:bookmarkEnd w:id="2"/>
      <w:r>
        <w:rPr>
          <w:rFonts w:hint="eastAsia" w:ascii="黑体" w:eastAsia="黑体"/>
        </w:rPr>
        <w:t>第一章</w:t>
      </w:r>
      <w:r>
        <w:rPr>
          <w:rFonts w:hint="eastAsia" w:ascii="黑体" w:eastAsia="黑体"/>
        </w:rPr>
        <w:tab/>
      </w:r>
      <w:r>
        <w:rPr>
          <w:rFonts w:hint="eastAsia" w:ascii="黑体" w:eastAsia="黑体"/>
        </w:rPr>
        <w:t>开启建设新时代现代化强市新征程</w:t>
      </w:r>
    </w:p>
    <w:p>
      <w:pPr>
        <w:pStyle w:val="3"/>
        <w:spacing w:before="149" w:line="328" w:lineRule="auto"/>
        <w:ind w:right="399" w:firstLine="638"/>
        <w:jc w:val="both"/>
      </w:pPr>
      <w:r>
        <w:rPr>
          <w:spacing w:val="-13"/>
        </w:rPr>
        <w:t>“十四五”时期是我国全面建成小康社会、实现第一个百</w:t>
      </w:r>
      <w:r>
        <w:rPr>
          <w:spacing w:val="-16"/>
          <w:w w:val="95"/>
        </w:rPr>
        <w:t xml:space="preserve">年奋斗目标之后，乘势而上开启全面建设社会主义现代化国家 </w:t>
      </w:r>
      <w:r>
        <w:rPr>
          <w:spacing w:val="-15"/>
          <w:w w:val="95"/>
        </w:rPr>
        <w:t xml:space="preserve">新征程、向第二个百年奋斗目标进军的第一个五年；是我市贯 </w:t>
      </w:r>
      <w:r>
        <w:rPr>
          <w:spacing w:val="-17"/>
        </w:rPr>
        <w:t>彻落实省委省政府“七个走在前列”“九个强省突破”重大战</w:t>
      </w:r>
      <w:r>
        <w:rPr>
          <w:spacing w:val="-14"/>
          <w:w w:val="95"/>
        </w:rPr>
        <w:t xml:space="preserve">略，加快新旧动能转换、推进高质量发展的关键五年；是我市 </w:t>
      </w:r>
      <w:r>
        <w:rPr>
          <w:spacing w:val="-16"/>
          <w:w w:val="95"/>
        </w:rPr>
        <w:t xml:space="preserve">立足新发展阶段、贯彻新发展理念、融入新发展格局，奋力开 </w:t>
      </w:r>
      <w:r>
        <w:rPr>
          <w:spacing w:val="-16"/>
        </w:rPr>
        <w:t>创新时代现代化强市建设新局面的重要五年。</w:t>
      </w:r>
    </w:p>
    <w:p>
      <w:pPr>
        <w:pStyle w:val="3"/>
        <w:tabs>
          <w:tab w:val="left" w:pos="1281"/>
        </w:tabs>
        <w:spacing w:before="50"/>
        <w:ind w:left="0" w:right="80"/>
        <w:jc w:val="center"/>
        <w:rPr>
          <w:rFonts w:hint="eastAsia" w:ascii="宋体" w:eastAsia="宋体"/>
        </w:rPr>
      </w:pPr>
      <w:bookmarkStart w:id="3" w:name="第一节  决胜全面建成小康社会取得决定性成就"/>
      <w:bookmarkEnd w:id="3"/>
      <w:r>
        <w:rPr>
          <w:rFonts w:hint="eastAsia" w:ascii="宋体" w:eastAsia="宋体"/>
        </w:rPr>
        <w:t>第一节</w:t>
      </w:r>
      <w:r>
        <w:rPr>
          <w:rFonts w:hint="eastAsia" w:ascii="宋体" w:eastAsia="宋体"/>
        </w:rPr>
        <w:tab/>
      </w:r>
      <w:r>
        <w:rPr>
          <w:rFonts w:hint="eastAsia" w:ascii="宋体" w:eastAsia="宋体"/>
        </w:rPr>
        <w:t>决胜全面建成小康社会取得决定性成就</w:t>
      </w:r>
    </w:p>
    <w:p>
      <w:pPr>
        <w:pStyle w:val="3"/>
        <w:spacing w:before="151" w:line="326" w:lineRule="auto"/>
        <w:ind w:right="399" w:firstLine="638"/>
        <w:jc w:val="both"/>
      </w:pPr>
      <w:r>
        <w:rPr>
          <w:spacing w:val="-12"/>
        </w:rPr>
        <w:t>“十三五”期间，国际国内发展环境复杂多变，全市人民</w:t>
      </w:r>
      <w:r>
        <w:rPr>
          <w:spacing w:val="-18"/>
          <w:w w:val="95"/>
        </w:rPr>
        <w:t xml:space="preserve">以习近平新时代中国特色社会主义思想为指导，全面贯彻落实 </w:t>
      </w:r>
      <w:r>
        <w:rPr>
          <w:spacing w:val="-19"/>
          <w:w w:val="95"/>
        </w:rPr>
        <w:t>党的十九大和十九届二中、三中、四中、五中全会精神，紧紧</w:t>
      </w:r>
    </w:p>
    <w:p>
      <w:pPr>
        <w:spacing w:after="0" w:line="326" w:lineRule="auto"/>
        <w:jc w:val="both"/>
        <w:sectPr>
          <w:footerReference r:id="rId5" w:type="default"/>
          <w:footerReference r:id="rId6" w:type="even"/>
          <w:pgSz w:w="11910" w:h="16840"/>
          <w:pgMar w:top="1580" w:right="1300" w:bottom="1460" w:left="1380" w:header="0" w:footer="1277" w:gutter="0"/>
          <w:pgNumType w:start="1"/>
          <w:cols w:space="720" w:num="1"/>
        </w:sectPr>
      </w:pPr>
    </w:p>
    <w:p>
      <w:pPr>
        <w:pStyle w:val="3"/>
        <w:spacing w:before="10"/>
        <w:ind w:left="0"/>
        <w:rPr>
          <w:sz w:val="13"/>
        </w:rPr>
      </w:pPr>
    </w:p>
    <w:p>
      <w:pPr>
        <w:pStyle w:val="3"/>
        <w:spacing w:before="54" w:line="328" w:lineRule="auto"/>
        <w:ind w:right="238"/>
      </w:pPr>
      <w:r>
        <w:rPr>
          <w:spacing w:val="-12"/>
        </w:rPr>
        <w:t xml:space="preserve">围绕省委省政府“走在前列、全面开创”目标和枣庄市委市政府“先把经济搞上去”部署要求，坚持稳中求进工作总基调， </w:t>
      </w:r>
      <w:r>
        <w:rPr>
          <w:spacing w:val="-17"/>
        </w:rPr>
        <w:t>认真落实新发展理念，以供给侧结构性改革为主线，以新旧动</w:t>
      </w:r>
      <w:r>
        <w:rPr>
          <w:spacing w:val="-22"/>
        </w:rPr>
        <w:t xml:space="preserve">能转换为统领，深化美德滕州、文明滕州、富强滕州发展导向， </w:t>
      </w:r>
      <w:r>
        <w:rPr>
          <w:spacing w:val="4"/>
        </w:rPr>
        <w:t>率先走出“五闯五攻五样板”发展之路。</w:t>
      </w:r>
      <w:r>
        <w:t>2020</w:t>
      </w:r>
      <w:r>
        <w:rPr>
          <w:spacing w:val="-9"/>
        </w:rPr>
        <w:t xml:space="preserve"> 年，新冠疫情</w:t>
      </w:r>
      <w:r>
        <w:rPr>
          <w:spacing w:val="-14"/>
        </w:rPr>
        <w:t>突如其来，全市人民众志成城，排除万难，敢于牺牲，控制疫情，扎实做好“六稳”工作，全面落实“六保”任务，“十三五”规划目标任务基本完成，全面建成小康社会如期实现。</w:t>
      </w:r>
    </w:p>
    <w:p>
      <w:pPr>
        <w:spacing w:before="0" w:line="470" w:lineRule="exact"/>
        <w:ind w:left="0" w:right="398" w:firstLine="0"/>
        <w:jc w:val="right"/>
        <w:rPr>
          <w:sz w:val="32"/>
        </w:rPr>
      </w:pPr>
      <w:r>
        <w:rPr>
          <w:rFonts w:ascii="Times New Roman" w:hAnsi="Times New Roman" w:eastAsia="Times New Roman"/>
          <w:b/>
          <w:spacing w:val="3"/>
          <w:sz w:val="32"/>
        </w:rPr>
        <w:t>——</w:t>
      </w:r>
      <w:r>
        <w:rPr>
          <w:rFonts w:hint="eastAsia" w:ascii="Microsoft JhengHei" w:hAnsi="Microsoft JhengHei" w:eastAsia="Microsoft JhengHei"/>
          <w:b/>
          <w:spacing w:val="5"/>
          <w:sz w:val="32"/>
        </w:rPr>
        <w:t>经济实力大幅跃升。</w:t>
      </w:r>
      <w:r>
        <w:rPr>
          <w:b/>
          <w:spacing w:val="5"/>
          <w:sz w:val="32"/>
        </w:rPr>
        <w:t>经济运行平稳有序。</w:t>
      </w:r>
      <w:r>
        <w:rPr>
          <w:sz w:val="32"/>
        </w:rPr>
        <w:t>2020</w:t>
      </w:r>
      <w:r>
        <w:rPr>
          <w:spacing w:val="-36"/>
          <w:sz w:val="32"/>
        </w:rPr>
        <w:t xml:space="preserve"> 年，</w:t>
      </w:r>
    </w:p>
    <w:p>
      <w:pPr>
        <w:pStyle w:val="3"/>
        <w:spacing w:before="77"/>
        <w:ind w:left="0" w:right="399"/>
        <w:jc w:val="right"/>
      </w:pPr>
      <w:r>
        <w:rPr>
          <w:spacing w:val="-2"/>
        </w:rPr>
        <w:t xml:space="preserve">预计全市地区生产总值达到 </w:t>
      </w:r>
      <w:r>
        <w:t>750</w:t>
      </w:r>
      <w:r>
        <w:rPr>
          <w:spacing w:val="-2"/>
        </w:rPr>
        <w:t xml:space="preserve"> 亿元，比“十二五”末增长</w:t>
      </w:r>
    </w:p>
    <w:p>
      <w:pPr>
        <w:pStyle w:val="3"/>
        <w:spacing w:before="156" w:line="326" w:lineRule="auto"/>
        <w:ind w:right="242"/>
      </w:pPr>
      <w:r>
        <w:rPr>
          <w:spacing w:val="2"/>
        </w:rPr>
        <w:t>25.6</w:t>
      </w:r>
      <w:r>
        <w:rPr>
          <w:spacing w:val="-159"/>
        </w:rPr>
        <w:t xml:space="preserve"> </w:t>
      </w:r>
      <w:r>
        <w:rPr>
          <w:spacing w:val="11"/>
          <w:w w:val="99"/>
        </w:rPr>
        <w:drawing>
          <wp:inline distT="0" distB="0" distL="0" distR="0">
            <wp:extent cx="85090" cy="154940"/>
            <wp:effectExtent l="0" t="0" r="0" b="0"/>
            <wp:docPr id="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rPr>
        <w:t>；</w:t>
      </w:r>
      <w:r>
        <w:rPr>
          <w:spacing w:val="7"/>
        </w:rPr>
        <w:t>可</w:t>
      </w:r>
      <w:r>
        <w:rPr>
          <w:spacing w:val="5"/>
        </w:rPr>
        <w:t>用财</w:t>
      </w:r>
      <w:r>
        <w:rPr>
          <w:spacing w:val="7"/>
        </w:rPr>
        <w:t>力</w:t>
      </w:r>
      <w:r>
        <w:rPr>
          <w:spacing w:val="5"/>
        </w:rPr>
        <w:t>比“十</w:t>
      </w:r>
      <w:r>
        <w:rPr>
          <w:spacing w:val="7"/>
        </w:rPr>
        <w:t>二</w:t>
      </w:r>
      <w:r>
        <w:rPr>
          <w:spacing w:val="5"/>
        </w:rPr>
        <w:t>五”末</w:t>
      </w:r>
      <w:r>
        <w:rPr>
          <w:spacing w:val="7"/>
        </w:rPr>
        <w:t>增</w:t>
      </w:r>
      <w:r>
        <w:t>长</w:t>
      </w:r>
      <w:r>
        <w:rPr>
          <w:spacing w:val="-89"/>
        </w:rPr>
        <w:t xml:space="preserve"> </w:t>
      </w:r>
      <w:r>
        <w:rPr>
          <w:spacing w:val="2"/>
        </w:rPr>
        <w:t>16.4</w:t>
      </w:r>
      <w:r>
        <w:rPr>
          <w:spacing w:val="11"/>
          <w:w w:val="99"/>
        </w:rPr>
        <w:drawing>
          <wp:inline distT="0" distB="0" distL="0" distR="0">
            <wp:extent cx="85090" cy="154940"/>
            <wp:effectExtent l="0" t="0" r="0" b="0"/>
            <wp:docPr id="5"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rPr>
        <w:t>；</w:t>
      </w:r>
      <w:r>
        <w:rPr>
          <w:spacing w:val="7"/>
        </w:rPr>
        <w:t>规</w:t>
      </w:r>
      <w:r>
        <w:rPr>
          <w:spacing w:val="5"/>
        </w:rPr>
        <w:t>模以</w:t>
      </w:r>
      <w:r>
        <w:rPr>
          <w:spacing w:val="7"/>
        </w:rPr>
        <w:t>上</w:t>
      </w:r>
      <w:r>
        <w:rPr>
          <w:spacing w:val="5"/>
        </w:rPr>
        <w:t>工</w:t>
      </w:r>
      <w:r>
        <w:t>业</w:t>
      </w:r>
      <w:r>
        <w:rPr>
          <w:position w:val="1"/>
        </w:rPr>
        <w:t>增加值</w:t>
      </w:r>
      <w:r>
        <w:rPr>
          <w:spacing w:val="-17"/>
          <w:position w:val="1"/>
        </w:rPr>
        <w:t>比</w:t>
      </w:r>
      <w:r>
        <w:rPr>
          <w:spacing w:val="-3"/>
          <w:position w:val="1"/>
        </w:rPr>
        <w:t>“</w:t>
      </w:r>
      <w:r>
        <w:rPr>
          <w:position w:val="1"/>
        </w:rPr>
        <w:t>十二五</w:t>
      </w:r>
      <w:r>
        <w:rPr>
          <w:spacing w:val="-17"/>
          <w:position w:val="1"/>
        </w:rPr>
        <w:t>”</w:t>
      </w:r>
      <w:r>
        <w:rPr>
          <w:position w:val="1"/>
        </w:rPr>
        <w:t>末增长</w:t>
      </w:r>
      <w:r>
        <w:rPr>
          <w:spacing w:val="-84"/>
          <w:position w:val="1"/>
        </w:rPr>
        <w:t xml:space="preserve"> </w:t>
      </w:r>
      <w:r>
        <w:rPr>
          <w:spacing w:val="2"/>
          <w:position w:val="1"/>
        </w:rPr>
        <w:t>20.4</w:t>
      </w:r>
      <w:r>
        <w:rPr>
          <w:spacing w:val="11"/>
          <w:w w:val="99"/>
        </w:rPr>
        <w:drawing>
          <wp:inline distT="0" distB="0" distL="0" distR="0">
            <wp:extent cx="85090" cy="154940"/>
            <wp:effectExtent l="0" t="0" r="0" b="0"/>
            <wp:docPr id="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19"/>
          <w:position w:val="1"/>
        </w:rPr>
        <w:t>；</w:t>
      </w:r>
      <w:r>
        <w:rPr>
          <w:position w:val="1"/>
        </w:rPr>
        <w:t>重要粮食农产品得到有效</w:t>
      </w:r>
      <w:r>
        <w:rPr>
          <w:spacing w:val="-8"/>
        </w:rPr>
        <w:t xml:space="preserve">供给，粮食总产量达到 </w:t>
      </w:r>
      <w:r>
        <w:t>85</w:t>
      </w:r>
      <w:r>
        <w:rPr>
          <w:spacing w:val="-21"/>
        </w:rPr>
        <w:t xml:space="preserve"> 万吨。</w:t>
      </w:r>
      <w:r>
        <w:rPr>
          <w:b/>
        </w:rPr>
        <w:t>居民收入与经济同步增长。</w:t>
      </w:r>
      <w:r>
        <w:rPr>
          <w:spacing w:val="5"/>
        </w:rPr>
        <w:t>城</w:t>
      </w:r>
      <w:r>
        <w:rPr>
          <w:spacing w:val="7"/>
        </w:rPr>
        <w:t>镇</w:t>
      </w:r>
      <w:r>
        <w:rPr>
          <w:spacing w:val="5"/>
        </w:rPr>
        <w:t>居民</w:t>
      </w:r>
      <w:r>
        <w:rPr>
          <w:spacing w:val="7"/>
        </w:rPr>
        <w:t>人</w:t>
      </w:r>
      <w:r>
        <w:rPr>
          <w:spacing w:val="5"/>
        </w:rPr>
        <w:t>均可支</w:t>
      </w:r>
      <w:r>
        <w:rPr>
          <w:spacing w:val="7"/>
        </w:rPr>
        <w:t>配</w:t>
      </w:r>
      <w:r>
        <w:rPr>
          <w:spacing w:val="5"/>
        </w:rPr>
        <w:t>收入</w:t>
      </w:r>
      <w:r>
        <w:rPr>
          <w:spacing w:val="7"/>
        </w:rPr>
        <w:t>达</w:t>
      </w:r>
      <w:r>
        <w:t>到</w:t>
      </w:r>
      <w:r>
        <w:rPr>
          <w:spacing w:val="-83"/>
        </w:rPr>
        <w:t xml:space="preserve"> </w:t>
      </w:r>
      <w:r>
        <w:t>38485</w:t>
      </w:r>
      <w:r>
        <w:rPr>
          <w:spacing w:val="-82"/>
        </w:rPr>
        <w:t xml:space="preserve"> </w:t>
      </w:r>
      <w:r>
        <w:rPr>
          <w:spacing w:val="5"/>
        </w:rPr>
        <w:t>元</w:t>
      </w:r>
      <w:r>
        <w:rPr>
          <w:spacing w:val="7"/>
        </w:rPr>
        <w:t>，</w:t>
      </w:r>
      <w:r>
        <w:rPr>
          <w:spacing w:val="5"/>
        </w:rPr>
        <w:t>年均</w:t>
      </w:r>
      <w:r>
        <w:rPr>
          <w:spacing w:val="7"/>
        </w:rPr>
        <w:t>增</w:t>
      </w:r>
      <w:r>
        <w:t>长</w:t>
      </w:r>
      <w:r>
        <w:rPr>
          <w:spacing w:val="-83"/>
        </w:rPr>
        <w:t xml:space="preserve"> </w:t>
      </w:r>
      <w:r>
        <w:rPr>
          <w:spacing w:val="3"/>
        </w:rPr>
        <w:t>6.1</w:t>
      </w:r>
      <w:r>
        <w:rPr>
          <w:spacing w:val="11"/>
          <w:w w:val="99"/>
        </w:rPr>
        <w:drawing>
          <wp:inline distT="0" distB="0" distL="0" distR="0">
            <wp:extent cx="85090" cy="154940"/>
            <wp:effectExtent l="0" t="0" r="0" b="0"/>
            <wp:docPr id="9"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9"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rPr>
        <w:t>；</w:t>
      </w:r>
      <w:r>
        <w:t>农</w:t>
      </w:r>
      <w:r>
        <w:rPr>
          <w:spacing w:val="5"/>
          <w:position w:val="1"/>
        </w:rPr>
        <w:t>村</w:t>
      </w:r>
      <w:r>
        <w:rPr>
          <w:spacing w:val="7"/>
          <w:position w:val="1"/>
        </w:rPr>
        <w:t>居</w:t>
      </w:r>
      <w:r>
        <w:rPr>
          <w:spacing w:val="5"/>
          <w:position w:val="1"/>
        </w:rPr>
        <w:t>民人均</w:t>
      </w:r>
      <w:r>
        <w:rPr>
          <w:spacing w:val="7"/>
          <w:position w:val="1"/>
        </w:rPr>
        <w:t>可</w:t>
      </w:r>
      <w:r>
        <w:rPr>
          <w:spacing w:val="5"/>
          <w:position w:val="1"/>
        </w:rPr>
        <w:t>支配收</w:t>
      </w:r>
      <w:r>
        <w:rPr>
          <w:spacing w:val="7"/>
          <w:position w:val="1"/>
        </w:rPr>
        <w:t>入</w:t>
      </w:r>
      <w:r>
        <w:rPr>
          <w:spacing w:val="5"/>
          <w:position w:val="1"/>
        </w:rPr>
        <w:t>达</w:t>
      </w:r>
      <w:r>
        <w:rPr>
          <w:position w:val="1"/>
        </w:rPr>
        <w:t>到</w:t>
      </w:r>
      <w:r>
        <w:rPr>
          <w:spacing w:val="-83"/>
          <w:position w:val="1"/>
        </w:rPr>
        <w:t xml:space="preserve"> </w:t>
      </w:r>
      <w:r>
        <w:rPr>
          <w:position w:val="1"/>
        </w:rPr>
        <w:t>18586</w:t>
      </w:r>
      <w:r>
        <w:rPr>
          <w:spacing w:val="-82"/>
          <w:position w:val="1"/>
        </w:rPr>
        <w:t xml:space="preserve"> </w:t>
      </w:r>
      <w:r>
        <w:rPr>
          <w:spacing w:val="5"/>
          <w:position w:val="1"/>
        </w:rPr>
        <w:t>元</w:t>
      </w:r>
      <w:r>
        <w:rPr>
          <w:spacing w:val="7"/>
          <w:position w:val="1"/>
        </w:rPr>
        <w:t>，</w:t>
      </w:r>
      <w:r>
        <w:rPr>
          <w:spacing w:val="5"/>
          <w:position w:val="1"/>
        </w:rPr>
        <w:t>年均增</w:t>
      </w:r>
      <w:r>
        <w:rPr>
          <w:position w:val="1"/>
        </w:rPr>
        <w:t>长</w:t>
      </w:r>
      <w:r>
        <w:rPr>
          <w:spacing w:val="-80"/>
          <w:position w:val="1"/>
        </w:rPr>
        <w:t xml:space="preserve"> </w:t>
      </w:r>
      <w:r>
        <w:rPr>
          <w:spacing w:val="3"/>
          <w:position w:val="1"/>
        </w:rPr>
        <w:t>7.5</w:t>
      </w:r>
      <w:r>
        <w:rPr>
          <w:spacing w:val="8"/>
          <w:w w:val="99"/>
        </w:rPr>
        <w:drawing>
          <wp:inline distT="0" distB="0" distL="0" distR="0">
            <wp:extent cx="85090" cy="154940"/>
            <wp:effectExtent l="0" t="0" r="0" b="0"/>
            <wp:docPr id="11"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1"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position w:val="1"/>
        </w:rPr>
        <w:t>。</w:t>
      </w:r>
      <w:r>
        <w:rPr>
          <w:b/>
          <w:spacing w:val="7"/>
          <w:position w:val="1"/>
        </w:rPr>
        <w:t>经</w:t>
      </w:r>
      <w:r>
        <w:rPr>
          <w:b/>
          <w:position w:val="1"/>
        </w:rPr>
        <w:t>济</w:t>
      </w:r>
      <w:r>
        <w:rPr>
          <w:b/>
          <w:spacing w:val="-8"/>
        </w:rPr>
        <w:t>发展能力不断增强。</w:t>
      </w:r>
      <w:r>
        <w:rPr>
          <w:spacing w:val="-8"/>
        </w:rPr>
        <w:t>全社会固定资产投资、社会消费品零售总额</w:t>
      </w:r>
      <w:r>
        <w:rPr>
          <w:spacing w:val="-113"/>
        </w:rPr>
        <w:t>、</w:t>
      </w:r>
      <w:r>
        <w:t>进出口总额分别</w:t>
      </w:r>
      <w:r>
        <w:rPr>
          <w:spacing w:val="-113"/>
        </w:rPr>
        <w:t>比</w:t>
      </w:r>
      <w:r>
        <w:t>“十二五</w:t>
      </w:r>
      <w:r>
        <w:rPr>
          <w:spacing w:val="-113"/>
        </w:rPr>
        <w:t>”</w:t>
      </w:r>
      <w:r>
        <w:t>末增长</w:t>
      </w:r>
      <w:r>
        <w:rPr>
          <w:spacing w:val="-90"/>
        </w:rPr>
        <w:t xml:space="preserve"> </w:t>
      </w:r>
      <w:r>
        <w:rPr>
          <w:spacing w:val="3"/>
        </w:rPr>
        <w:t>9.1</w:t>
      </w:r>
      <w:r>
        <w:rPr>
          <w:spacing w:val="11"/>
          <w:w w:val="99"/>
        </w:rPr>
        <w:drawing>
          <wp:inline distT="0" distB="0" distL="0" distR="0">
            <wp:extent cx="85090" cy="154940"/>
            <wp:effectExtent l="0" t="0" r="0" b="0"/>
            <wp:docPr id="1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3"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113"/>
        </w:rPr>
        <w:t>、</w:t>
      </w:r>
      <w:r>
        <w:rPr>
          <w:spacing w:val="2"/>
        </w:rPr>
        <w:t>38.2</w:t>
      </w:r>
      <w:r>
        <w:rPr>
          <w:spacing w:val="-160"/>
        </w:rPr>
        <w:t xml:space="preserve"> </w:t>
      </w:r>
      <w:r>
        <w:rPr>
          <w:spacing w:val="11"/>
          <w:w w:val="99"/>
        </w:rPr>
        <w:drawing>
          <wp:inline distT="0" distB="0" distL="0" distR="0">
            <wp:extent cx="85090" cy="154940"/>
            <wp:effectExtent l="0" t="0" r="0" b="0"/>
            <wp:docPr id="15"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5"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和</w:t>
      </w:r>
      <w:r>
        <w:rPr>
          <w:spacing w:val="-79"/>
        </w:rPr>
        <w:t xml:space="preserve"> </w:t>
      </w:r>
      <w:r>
        <w:rPr>
          <w:spacing w:val="2"/>
        </w:rPr>
        <w:t>26.3</w:t>
      </w:r>
      <w:r>
        <w:rPr>
          <w:spacing w:val="11"/>
          <w:w w:val="99"/>
        </w:rPr>
        <w:drawing>
          <wp:inline distT="0" distB="0" distL="0" distR="0">
            <wp:extent cx="85090" cy="154940"/>
            <wp:effectExtent l="0" t="0" r="0" b="0"/>
            <wp:docPr id="1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7"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 xml:space="preserve">， </w:t>
      </w:r>
      <w:r>
        <w:rPr>
          <w:spacing w:val="-17"/>
        </w:rPr>
        <w:t xml:space="preserve">分别达到 </w:t>
      </w:r>
      <w:r>
        <w:t>276</w:t>
      </w:r>
      <w:r>
        <w:rPr>
          <w:spacing w:val="-21"/>
        </w:rPr>
        <w:t xml:space="preserve"> 亿元、</w:t>
      </w:r>
      <w:r>
        <w:t>385</w:t>
      </w:r>
      <w:r>
        <w:rPr>
          <w:spacing w:val="-21"/>
        </w:rPr>
        <w:t xml:space="preserve"> 亿元、</w:t>
      </w:r>
      <w:r>
        <w:t>42</w:t>
      </w:r>
      <w:r>
        <w:rPr>
          <w:spacing w:val="-21"/>
        </w:rPr>
        <w:t xml:space="preserve"> 亿元。</w:t>
      </w:r>
    </w:p>
    <w:p>
      <w:pPr>
        <w:pStyle w:val="2"/>
        <w:spacing w:line="495" w:lineRule="exact"/>
        <w:rPr>
          <w:rFonts w:hint="eastAsia" w:ascii="仿宋_GB2312" w:hAnsi="仿宋_GB2312" w:eastAsia="仿宋_GB2312"/>
          <w:b w:val="0"/>
        </w:rPr>
      </w:pPr>
      <w:r>
        <w:rPr>
          <w:rFonts w:ascii="Times New Roman" w:hAnsi="Times New Roman" w:eastAsia="Times New Roman"/>
        </w:rPr>
        <w:t>——</w:t>
      </w:r>
      <w:r>
        <w:t>动能转换成效初显。</w:t>
      </w:r>
      <w:r>
        <w:rPr>
          <w:rFonts w:hint="eastAsia" w:ascii="仿宋_GB2312" w:hAnsi="仿宋_GB2312" w:eastAsia="仿宋_GB2312"/>
        </w:rPr>
        <w:t>产业结构优化升级。</w:t>
      </w:r>
      <w:r>
        <w:rPr>
          <w:rFonts w:hint="eastAsia" w:ascii="仿宋_GB2312" w:hAnsi="仿宋_GB2312" w:eastAsia="仿宋_GB2312"/>
          <w:b w:val="0"/>
        </w:rPr>
        <w:t>产业结构调</w:t>
      </w:r>
    </w:p>
    <w:p>
      <w:pPr>
        <w:pStyle w:val="3"/>
        <w:spacing w:before="79"/>
        <w:jc w:val="both"/>
      </w:pPr>
      <w:r>
        <w:rPr>
          <w:spacing w:val="-15"/>
        </w:rPr>
        <w:t xml:space="preserve">整步伐加快，三次产业由 </w:t>
      </w:r>
      <w:r>
        <w:t>2015</w:t>
      </w:r>
      <w:r>
        <w:rPr>
          <w:spacing w:val="-55"/>
        </w:rPr>
        <w:t xml:space="preserve"> 年 </w:t>
      </w:r>
      <w:r>
        <w:t>11.2:53.6:35.2</w:t>
      </w:r>
      <w:r>
        <w:rPr>
          <w:spacing w:val="-34"/>
        </w:rPr>
        <w:t xml:space="preserve"> 调整为 </w:t>
      </w:r>
      <w:r>
        <w:t>10：</w:t>
      </w:r>
    </w:p>
    <w:p>
      <w:pPr>
        <w:pStyle w:val="3"/>
        <w:spacing w:before="149" w:line="328" w:lineRule="auto"/>
        <w:ind w:right="399"/>
        <w:jc w:val="both"/>
      </w:pPr>
      <w:r>
        <w:rPr>
          <w:spacing w:val="-9"/>
        </w:rPr>
        <w:t>45.5：44.5</w:t>
      </w:r>
      <w:r>
        <w:rPr>
          <w:spacing w:val="-12"/>
        </w:rPr>
        <w:t xml:space="preserve">，第三产业占比提高 </w:t>
      </w:r>
      <w:r>
        <w:t>9.3</w:t>
      </w:r>
      <w:r>
        <w:rPr>
          <w:spacing w:val="-13"/>
        </w:rPr>
        <w:t xml:space="preserve"> 个百分点。重大项目培育</w:t>
      </w:r>
      <w:r>
        <w:rPr>
          <w:spacing w:val="-16"/>
        </w:rPr>
        <w:t xml:space="preserve">建设成效显著，实施滕州市重点项目 </w:t>
      </w:r>
      <w:r>
        <w:t>395</w:t>
      </w:r>
      <w:r>
        <w:rPr>
          <w:spacing w:val="-31"/>
        </w:rPr>
        <w:t xml:space="preserve"> 个，</w:t>
      </w:r>
      <w:r>
        <w:rPr>
          <w:spacing w:val="-7"/>
        </w:rPr>
        <w:t>187</w:t>
      </w:r>
      <w:r>
        <w:rPr>
          <w:spacing w:val="-15"/>
        </w:rPr>
        <w:t xml:space="preserve"> 个项目建成</w:t>
      </w:r>
      <w:r>
        <w:rPr>
          <w:spacing w:val="-24"/>
        </w:rPr>
        <w:t xml:space="preserve">投产，完成投资 </w:t>
      </w:r>
      <w:r>
        <w:t>1055</w:t>
      </w:r>
      <w:r>
        <w:rPr>
          <w:spacing w:val="-14"/>
        </w:rPr>
        <w:t xml:space="preserve"> 亿元，列入枣庄市重点项目 </w:t>
      </w:r>
      <w:r>
        <w:t>103</w:t>
      </w:r>
      <w:r>
        <w:rPr>
          <w:spacing w:val="-20"/>
        </w:rPr>
        <w:t xml:space="preserve"> 个、省</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2"/>
      </w:pPr>
      <w:r>
        <w:rPr>
          <w:spacing w:val="-17"/>
        </w:rPr>
        <w:t xml:space="preserve">重大项目 </w:t>
      </w:r>
      <w:r>
        <w:t>11</w:t>
      </w:r>
      <w:r>
        <w:rPr>
          <w:spacing w:val="-37"/>
        </w:rPr>
        <w:t xml:space="preserve"> 个。</w:t>
      </w:r>
      <w:r>
        <w:t>29</w:t>
      </w:r>
      <w:r>
        <w:rPr>
          <w:spacing w:val="-11"/>
        </w:rPr>
        <w:t xml:space="preserve"> 个项目入选省新旧动能转换优选项目。获</w:t>
      </w:r>
      <w:r>
        <w:rPr>
          <w:spacing w:val="-15"/>
        </w:rPr>
        <w:t>评全省县域经济高质量发展十强县。</w:t>
      </w:r>
      <w:r>
        <w:rPr>
          <w:b/>
          <w:spacing w:val="-8"/>
        </w:rPr>
        <w:t>创新能力持续增强。</w:t>
      </w:r>
      <w:r>
        <w:t>成立</w:t>
      </w:r>
      <w:r>
        <w:rPr>
          <w:spacing w:val="-7"/>
        </w:rPr>
        <w:t>滕州人才创新驱动中心暨科技创新创业基地、中科院化工新材料创新与产业化联盟</w:t>
      </w:r>
      <w:r>
        <w:rPr>
          <w:b/>
          <w:spacing w:val="-7"/>
        </w:rPr>
        <w:t>，</w:t>
      </w:r>
      <w:r>
        <w:rPr>
          <w:spacing w:val="-7"/>
        </w:rPr>
        <w:t>与中科院、华中科技、北理工、北航、</w:t>
      </w:r>
      <w:r>
        <w:rPr>
          <w:spacing w:val="-15"/>
        </w:rPr>
        <w:t xml:space="preserve">山大、西安交大等 </w:t>
      </w:r>
      <w:r>
        <w:t>80</w:t>
      </w:r>
      <w:r>
        <w:rPr>
          <w:spacing w:val="-9"/>
        </w:rPr>
        <w:t xml:space="preserve"> 余家高校及科研院所建立产学研合作关</w:t>
      </w:r>
    </w:p>
    <w:p>
      <w:pPr>
        <w:pStyle w:val="3"/>
        <w:spacing w:line="402" w:lineRule="exact"/>
      </w:pPr>
      <w:r>
        <w:rPr>
          <w:spacing w:val="-6"/>
        </w:rPr>
        <w:t xml:space="preserve">系，举办高规格产学研活动 </w:t>
      </w:r>
      <w:r>
        <w:t>20</w:t>
      </w:r>
      <w:r>
        <w:rPr>
          <w:spacing w:val="-9"/>
        </w:rPr>
        <w:t xml:space="preserve"> 余次。承担国家、省、市科技</w:t>
      </w:r>
    </w:p>
    <w:p>
      <w:pPr>
        <w:pStyle w:val="3"/>
        <w:spacing w:before="149"/>
      </w:pPr>
      <w:r>
        <w:rPr>
          <w:spacing w:val="-16"/>
        </w:rPr>
        <w:t xml:space="preserve">计划项目 </w:t>
      </w:r>
      <w:r>
        <w:t>80</w:t>
      </w:r>
      <w:r>
        <w:rPr>
          <w:spacing w:val="-14"/>
        </w:rPr>
        <w:t xml:space="preserve"> 余项，引进培养省级以上高层次人才 </w:t>
      </w:r>
      <w:r>
        <w:t>171</w:t>
      </w:r>
      <w:r>
        <w:rPr>
          <w:spacing w:val="-21"/>
        </w:rPr>
        <w:t xml:space="preserve"> 人，国</w:t>
      </w:r>
    </w:p>
    <w:p>
      <w:pPr>
        <w:pStyle w:val="3"/>
        <w:spacing w:before="152"/>
      </w:pPr>
      <w:r>
        <w:rPr>
          <w:spacing w:val="3"/>
        </w:rPr>
        <w:t xml:space="preserve">家高新技术企业发展到 </w:t>
      </w:r>
      <w:r>
        <w:t>92</w:t>
      </w:r>
      <w:r>
        <w:rPr>
          <w:spacing w:val="3"/>
        </w:rPr>
        <w:t xml:space="preserve"> 家，高新技术产业产值占比达到</w:t>
      </w:r>
    </w:p>
    <w:p>
      <w:pPr>
        <w:pStyle w:val="3"/>
        <w:spacing w:before="144" w:line="328" w:lineRule="auto"/>
        <w:ind w:right="104"/>
      </w:pPr>
      <w:r>
        <w:rPr>
          <w:spacing w:val="6"/>
          <w:w w:val="95"/>
          <w:position w:val="1"/>
        </w:rPr>
        <w:t>49</w:t>
      </w:r>
      <w:r>
        <w:rPr>
          <w:spacing w:val="-137"/>
          <w:w w:val="95"/>
          <w:position w:val="1"/>
        </w:rPr>
        <w:t xml:space="preserve"> </w:t>
      </w:r>
      <w:r>
        <w:rPr>
          <w:spacing w:val="11"/>
          <w:w w:val="99"/>
        </w:rPr>
        <w:drawing>
          <wp:inline distT="0" distB="0" distL="0" distR="0">
            <wp:extent cx="85090" cy="154940"/>
            <wp:effectExtent l="0" t="0" r="0" b="0"/>
            <wp:docPr id="19"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9"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3"/>
          <w:position w:val="1"/>
        </w:rPr>
        <w:t>，</w:t>
      </w:r>
      <w:r>
        <w:rPr>
          <w:position w:val="1"/>
        </w:rPr>
        <w:t>研发投入占</w:t>
      </w:r>
      <w:r>
        <w:rPr>
          <w:spacing w:val="-83"/>
          <w:position w:val="1"/>
        </w:rPr>
        <w:t xml:space="preserve"> </w:t>
      </w:r>
      <w:r>
        <w:rPr>
          <w:position w:val="1"/>
        </w:rPr>
        <w:t>GDP</w:t>
      </w:r>
      <w:r>
        <w:rPr>
          <w:spacing w:val="-83"/>
          <w:position w:val="1"/>
        </w:rPr>
        <w:t xml:space="preserve"> </w:t>
      </w:r>
      <w:r>
        <w:rPr>
          <w:position w:val="1"/>
        </w:rPr>
        <w:t>比重</w:t>
      </w:r>
      <w:r>
        <w:rPr>
          <w:spacing w:val="-55"/>
          <w:position w:val="1"/>
        </w:rPr>
        <w:t>由</w:t>
      </w:r>
      <w:r>
        <w:rPr>
          <w:position w:val="1"/>
        </w:rPr>
        <w:t>“十二五</w:t>
      </w:r>
      <w:r>
        <w:rPr>
          <w:spacing w:val="-53"/>
          <w:position w:val="1"/>
        </w:rPr>
        <w:t>”</w:t>
      </w:r>
      <w:r>
        <w:rPr>
          <w:position w:val="1"/>
        </w:rPr>
        <w:t>末的</w:t>
      </w:r>
      <w:r>
        <w:rPr>
          <w:spacing w:val="-82"/>
          <w:position w:val="1"/>
        </w:rPr>
        <w:t xml:space="preserve"> </w:t>
      </w:r>
      <w:r>
        <w:rPr>
          <w:spacing w:val="2"/>
          <w:position w:val="1"/>
        </w:rPr>
        <w:t>1.55</w:t>
      </w:r>
      <w:r>
        <w:rPr>
          <w:spacing w:val="11"/>
          <w:w w:val="99"/>
        </w:rPr>
        <w:drawing>
          <wp:inline distT="0" distB="0" distL="0" distR="0">
            <wp:extent cx="85090" cy="154940"/>
            <wp:effectExtent l="0" t="0" r="0" b="0"/>
            <wp:docPr id="21"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1"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position w:val="1"/>
        </w:rPr>
        <w:t>提高</w:t>
      </w:r>
      <w:r>
        <w:rPr>
          <w:spacing w:val="-55"/>
          <w:position w:val="1"/>
        </w:rPr>
        <w:t>至</w:t>
      </w:r>
      <w:r>
        <w:rPr>
          <w:position w:val="1"/>
        </w:rPr>
        <w:t>“十 三五</w:t>
      </w:r>
      <w:r>
        <w:rPr>
          <w:spacing w:val="-19"/>
          <w:position w:val="1"/>
        </w:rPr>
        <w:t>”</w:t>
      </w:r>
      <w:r>
        <w:rPr>
          <w:position w:val="1"/>
        </w:rPr>
        <w:t>末的</w:t>
      </w:r>
      <w:r>
        <w:rPr>
          <w:spacing w:val="-83"/>
          <w:position w:val="1"/>
        </w:rPr>
        <w:t xml:space="preserve"> </w:t>
      </w:r>
      <w:r>
        <w:rPr>
          <w:spacing w:val="2"/>
          <w:position w:val="1"/>
        </w:rPr>
        <w:t>2.84</w:t>
      </w:r>
      <w:r>
        <w:rPr>
          <w:spacing w:val="11"/>
          <w:w w:val="99"/>
        </w:rPr>
        <w:drawing>
          <wp:inline distT="0" distB="0" distL="0" distR="0">
            <wp:extent cx="85090" cy="154940"/>
            <wp:effectExtent l="0" t="0" r="0" b="0"/>
            <wp:docPr id="2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3"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19"/>
          <w:position w:val="1"/>
        </w:rPr>
        <w:t>，</w:t>
      </w:r>
      <w:r>
        <w:rPr>
          <w:position w:val="1"/>
        </w:rPr>
        <w:t>省级以上各类人才平台达</w:t>
      </w:r>
      <w:r>
        <w:rPr>
          <w:spacing w:val="-80"/>
          <w:position w:val="1"/>
        </w:rPr>
        <w:t xml:space="preserve"> </w:t>
      </w:r>
      <w:r>
        <w:rPr>
          <w:position w:val="1"/>
        </w:rPr>
        <w:t>110</w:t>
      </w:r>
      <w:r>
        <w:rPr>
          <w:spacing w:val="-81"/>
          <w:position w:val="1"/>
        </w:rPr>
        <w:t xml:space="preserve"> </w:t>
      </w:r>
      <w:r>
        <w:rPr>
          <w:position w:val="1"/>
        </w:rPr>
        <w:t>家</w:t>
      </w:r>
      <w:r>
        <w:rPr>
          <w:spacing w:val="-19"/>
          <w:position w:val="1"/>
        </w:rPr>
        <w:t>。</w:t>
      </w:r>
      <w:r>
        <w:rPr>
          <w:b/>
          <w:position w:val="1"/>
        </w:rPr>
        <w:t>工业经</w:t>
      </w:r>
      <w:r>
        <w:rPr>
          <w:b/>
        </w:rPr>
        <w:t xml:space="preserve"> </w:t>
      </w:r>
      <w:r>
        <w:rPr>
          <w:b/>
          <w:spacing w:val="-26"/>
        </w:rPr>
        <w:t>济提质增效。</w:t>
      </w:r>
      <w:r>
        <w:rPr>
          <w:spacing w:val="-10"/>
        </w:rPr>
        <w:t>先后入选全国产业集群区域品牌建设</w:t>
      </w:r>
      <w:r>
        <w:rPr>
          <w:spacing w:val="-3"/>
        </w:rPr>
        <w:t>（</w:t>
      </w:r>
      <w:r>
        <w:t xml:space="preserve">机床产业） </w:t>
      </w:r>
      <w:r>
        <w:rPr>
          <w:spacing w:val="-13"/>
        </w:rPr>
        <w:t>试点、国家新型工业化产业示范基地、全国机械工业引领高质</w:t>
      </w:r>
      <w:r>
        <w:rPr>
          <w:spacing w:val="-2"/>
          <w:w w:val="99"/>
        </w:rPr>
        <w:t>量创新发展产业集聚区</w:t>
      </w:r>
      <w:r>
        <w:rPr>
          <w:spacing w:val="-20"/>
          <w:w w:val="99"/>
        </w:rPr>
        <w:t>，“中国中小机床之都”成功通过复审。</w:t>
      </w:r>
      <w:r>
        <w:rPr>
          <w:spacing w:val="-21"/>
        </w:rPr>
        <w:t>益康药业获评国家首批专精特新“小巨人”企业，中联水泥等 5</w:t>
      </w:r>
      <w:r>
        <w:rPr>
          <w:spacing w:val="-8"/>
        </w:rPr>
        <w:t xml:space="preserve"> 家企业获评国家级“绿色工厂”，普鲁特机床国家 </w:t>
      </w:r>
      <w:r>
        <w:t>04</w:t>
      </w:r>
      <w:r>
        <w:rPr>
          <w:spacing w:val="-26"/>
        </w:rPr>
        <w:t xml:space="preserve"> 重大</w:t>
      </w:r>
      <w:r>
        <w:rPr>
          <w:spacing w:val="-14"/>
        </w:rPr>
        <w:t>专项“国产光栅制造技术在数控机床运动精度提升中的示范应用”顺利通过院士和专家鉴定，鲍沟中国玻璃城获评省级工艺</w:t>
      </w:r>
      <w:r>
        <w:rPr>
          <w:spacing w:val="-19"/>
        </w:rPr>
        <w:t xml:space="preserve">玻璃特色产业小镇，大明消毒等 </w:t>
      </w:r>
      <w:r>
        <w:t>11</w:t>
      </w:r>
      <w:r>
        <w:rPr>
          <w:spacing w:val="-9"/>
        </w:rPr>
        <w:t xml:space="preserve"> 家企业成功入选省“瞪羚</w:t>
      </w:r>
      <w:r>
        <w:rPr>
          <w:spacing w:val="-18"/>
        </w:rPr>
        <w:t xml:space="preserve">企业”，腾达紧固科技等 </w:t>
      </w:r>
      <w:r>
        <w:t>4</w:t>
      </w:r>
      <w:r>
        <w:rPr>
          <w:spacing w:val="-14"/>
        </w:rPr>
        <w:t xml:space="preserve"> 家企业获评省“制造业单项冠军”， 山森数控等 </w:t>
      </w:r>
      <w:r>
        <w:t>4</w:t>
      </w:r>
      <w:r>
        <w:rPr>
          <w:spacing w:val="-16"/>
        </w:rPr>
        <w:t xml:space="preserve"> 家企业获评省中小企业“隐形冠军”，联泓新科</w:t>
      </w:r>
      <w:r>
        <w:rPr>
          <w:spacing w:val="-25"/>
        </w:rPr>
        <w:t xml:space="preserve">获评省优秀企业并入选全省民营企业百强，省级“一企一技术” </w:t>
      </w:r>
      <w:r>
        <w:rPr>
          <w:spacing w:val="-29"/>
        </w:rPr>
        <w:t xml:space="preserve">研发中心和创新型企业发展到 </w:t>
      </w:r>
      <w:r>
        <w:t>42</w:t>
      </w:r>
      <w:r>
        <w:rPr>
          <w:spacing w:val="-9"/>
        </w:rPr>
        <w:t xml:space="preserve"> 家，省级“专精特新”中小</w:t>
      </w:r>
      <w:r>
        <w:rPr>
          <w:spacing w:val="-21"/>
        </w:rPr>
        <w:t xml:space="preserve">企业发展到 </w:t>
      </w:r>
      <w:r>
        <w:t>47</w:t>
      </w:r>
      <w:r>
        <w:rPr>
          <w:spacing w:val="-28"/>
        </w:rPr>
        <w:t xml:space="preserve"> 家。</w:t>
      </w:r>
      <w:r>
        <w:rPr>
          <w:b/>
        </w:rPr>
        <w:t>服务业提档升级。</w:t>
      </w:r>
      <w:r>
        <w:t>新增规上服务业及限上</w:t>
      </w:r>
    </w:p>
    <w:p>
      <w:pPr>
        <w:spacing w:after="0" w:line="328" w:lineRule="auto"/>
        <w:sectPr>
          <w:pgSz w:w="11910" w:h="16840"/>
          <w:pgMar w:top="1580" w:right="1300" w:bottom="1540" w:left="1380" w:header="0" w:footer="1277" w:gutter="0"/>
          <w:cols w:space="720" w:num="1"/>
        </w:sectPr>
      </w:pPr>
    </w:p>
    <w:p>
      <w:pPr>
        <w:pStyle w:val="3"/>
        <w:spacing w:before="10"/>
        <w:ind w:left="0"/>
        <w:rPr>
          <w:sz w:val="13"/>
        </w:rPr>
      </w:pPr>
    </w:p>
    <w:p>
      <w:pPr>
        <w:pStyle w:val="3"/>
        <w:spacing w:before="54" w:line="328" w:lineRule="auto"/>
        <w:ind w:right="399"/>
        <w:jc w:val="both"/>
      </w:pPr>
      <w:r>
        <w:rPr>
          <w:spacing w:val="-12"/>
        </w:rPr>
        <w:t xml:space="preserve">批零住餐企业 </w:t>
      </w:r>
      <w:r>
        <w:t>72</w:t>
      </w:r>
      <w:r>
        <w:rPr>
          <w:spacing w:val="-9"/>
        </w:rPr>
        <w:t xml:space="preserve"> 家，万达广场、人和广场、中万国际广场、</w:t>
      </w:r>
      <w:r>
        <w:rPr>
          <w:spacing w:val="-16"/>
          <w:w w:val="95"/>
        </w:rPr>
        <w:t xml:space="preserve">红星美凯龙开业运营，红鹦鹉传媒、九伍传媒等经济新业态快 </w:t>
      </w:r>
      <w:r>
        <w:rPr>
          <w:spacing w:val="-1"/>
        </w:rPr>
        <w:t>速发展。国家</w:t>
      </w:r>
      <w:r>
        <w:t>A</w:t>
      </w:r>
      <w:r>
        <w:rPr>
          <w:spacing w:val="-21"/>
        </w:rPr>
        <w:t xml:space="preserve"> 级旅游景区达 </w:t>
      </w:r>
      <w:r>
        <w:t>22</w:t>
      </w:r>
      <w:r>
        <w:rPr>
          <w:spacing w:val="-9"/>
        </w:rPr>
        <w:t xml:space="preserve"> 处，“墨子鲁班故里</w:t>
      </w:r>
      <w:r>
        <w:t>·湿地</w:t>
      </w:r>
      <w:r>
        <w:rPr>
          <w:spacing w:val="-13"/>
          <w:w w:val="95"/>
        </w:rPr>
        <w:t xml:space="preserve">红荷之都”城市品牌影响力不断增强，荣登中国诗意休闲百城 </w:t>
      </w:r>
      <w:r>
        <w:rPr>
          <w:spacing w:val="-14"/>
          <w:w w:val="95"/>
        </w:rPr>
        <w:t xml:space="preserve">榜，获评中国最美文化生态旅游城市、全国县域旅游综合实力 </w:t>
      </w:r>
      <w:r>
        <w:rPr>
          <w:spacing w:val="-17"/>
        </w:rPr>
        <w:t xml:space="preserve">百强县。全市从事电子商务企业达到 </w:t>
      </w:r>
      <w:r>
        <w:t>870</w:t>
      </w:r>
      <w:r>
        <w:rPr>
          <w:spacing w:val="-18"/>
        </w:rPr>
        <w:t xml:space="preserve"> 多家，开设网店超过</w:t>
      </w:r>
    </w:p>
    <w:p>
      <w:pPr>
        <w:pStyle w:val="3"/>
        <w:spacing w:line="328" w:lineRule="auto"/>
        <w:ind w:right="401"/>
        <w:jc w:val="both"/>
      </w:pPr>
      <w:r>
        <w:t>17600</w:t>
      </w:r>
      <w:r>
        <w:rPr>
          <w:spacing w:val="-22"/>
        </w:rPr>
        <w:t xml:space="preserve"> 家，年交易额突破 </w:t>
      </w:r>
      <w:r>
        <w:t>200</w:t>
      </w:r>
      <w:r>
        <w:rPr>
          <w:spacing w:val="-12"/>
        </w:rPr>
        <w:t xml:space="preserve"> 亿元，获评国家电子商务进农村综合示范县。</w:t>
      </w:r>
    </w:p>
    <w:p>
      <w:pPr>
        <w:pStyle w:val="2"/>
        <w:spacing w:line="480" w:lineRule="exact"/>
        <w:rPr>
          <w:rFonts w:hint="eastAsia" w:ascii="仿宋_GB2312" w:hAnsi="仿宋_GB2312" w:eastAsia="仿宋_GB2312"/>
          <w:b w:val="0"/>
        </w:rPr>
      </w:pPr>
      <w:r>
        <w:rPr>
          <w:rFonts w:ascii="Times New Roman" w:hAnsi="Times New Roman" w:eastAsia="Times New Roman"/>
        </w:rPr>
        <w:t>——</w:t>
      </w:r>
      <w:r>
        <w:t>乡村振兴步伐加快。</w:t>
      </w:r>
      <w:r>
        <w:rPr>
          <w:rFonts w:hint="eastAsia" w:ascii="仿宋_GB2312" w:hAnsi="仿宋_GB2312" w:eastAsia="仿宋_GB2312"/>
        </w:rPr>
        <w:t>农业现代化基本建成。</w:t>
      </w:r>
      <w:r>
        <w:rPr>
          <w:rFonts w:hint="eastAsia" w:ascii="仿宋_GB2312" w:hAnsi="仿宋_GB2312" w:eastAsia="仿宋_GB2312"/>
          <w:b w:val="0"/>
        </w:rPr>
        <w:t>各类新型</w:t>
      </w:r>
    </w:p>
    <w:p>
      <w:pPr>
        <w:pStyle w:val="3"/>
        <w:spacing w:before="66" w:line="328" w:lineRule="auto"/>
        <w:ind w:right="260"/>
        <w:jc w:val="both"/>
      </w:pPr>
      <w:r>
        <w:rPr>
          <w:spacing w:val="-5"/>
        </w:rPr>
        <w:t xml:space="preserve">农业经营主体发展到 </w:t>
      </w:r>
      <w:r>
        <w:t>60</w:t>
      </w:r>
      <w:r>
        <w:rPr>
          <w:spacing w:val="-4"/>
        </w:rPr>
        <w:t xml:space="preserve"> 余家，新认证“三品一标”</w:t>
      </w:r>
      <w:r>
        <w:t>223</w:t>
      </w:r>
      <w:r>
        <w:rPr>
          <w:spacing w:val="-26"/>
        </w:rPr>
        <w:t xml:space="preserve"> 个， </w:t>
      </w:r>
      <w:r>
        <w:rPr>
          <w:spacing w:val="-27"/>
        </w:rPr>
        <w:t>恒仁工贸被认定为农业产业化国家重点龙头企业，先后获评国</w:t>
      </w:r>
      <w:r>
        <w:rPr>
          <w:spacing w:val="-20"/>
        </w:rPr>
        <w:t>家现代农业示范区、国家农村改革试验区、国家农业可持续发</w:t>
      </w:r>
      <w:r>
        <w:rPr>
          <w:spacing w:val="-17"/>
        </w:rPr>
        <w:t>展试验示范区、国家现代农业示范区改革与建设试点县和首批</w:t>
      </w:r>
      <w:r>
        <w:rPr>
          <w:spacing w:val="-24"/>
        </w:rPr>
        <w:t>省级农业对外开放合作试验区建设试点县。</w:t>
      </w:r>
      <w:r>
        <w:rPr>
          <w:b/>
        </w:rPr>
        <w:t>农村生态环境明显改善。</w:t>
      </w:r>
      <w:r>
        <w:rPr>
          <w:spacing w:val="-10"/>
        </w:rPr>
        <w:t xml:space="preserve">建成美丽宜居乡村 </w:t>
      </w:r>
      <w:r>
        <w:t>644</w:t>
      </w:r>
      <w:r>
        <w:rPr>
          <w:spacing w:val="-10"/>
        </w:rPr>
        <w:t xml:space="preserve"> 个，城乡环卫一体化规范运行，</w:t>
      </w:r>
    </w:p>
    <w:p>
      <w:pPr>
        <w:pStyle w:val="3"/>
        <w:spacing w:line="328" w:lineRule="auto"/>
        <w:ind w:right="238"/>
        <w:jc w:val="both"/>
      </w:pPr>
      <w:r>
        <w:t>21</w:t>
      </w:r>
      <w:r>
        <w:rPr>
          <w:spacing w:val="-6"/>
        </w:rPr>
        <w:t xml:space="preserve"> 个镇街驻地实现机械化深度保洁全覆盖，农村生活垃圾无</w:t>
      </w:r>
      <w:r>
        <w:rPr>
          <w:spacing w:val="-8"/>
        </w:rPr>
        <w:t>害化处理实现全覆盖；完成“四好农村路”</w:t>
      </w:r>
      <w:r>
        <w:rPr>
          <w:spacing w:val="-4"/>
        </w:rPr>
        <w:t>596</w:t>
      </w:r>
      <w:r>
        <w:rPr>
          <w:spacing w:val="-15"/>
        </w:rPr>
        <w:t xml:space="preserve"> 公里、农村公</w:t>
      </w:r>
      <w:r>
        <w:rPr>
          <w:spacing w:val="-25"/>
        </w:rPr>
        <w:t xml:space="preserve">路路面大中修 </w:t>
      </w:r>
      <w:r>
        <w:t>626</w:t>
      </w:r>
      <w:r>
        <w:rPr>
          <w:spacing w:val="-16"/>
        </w:rPr>
        <w:t xml:space="preserve"> 公里；探索出有动力、微动力、零耗电、无</w:t>
      </w:r>
      <w:r>
        <w:rPr>
          <w:spacing w:val="-7"/>
          <w:w w:val="99"/>
        </w:rPr>
        <w:t>动力生物氧化塘及纳入污水处理厂集中处理“五种模式”，逐</w:t>
      </w:r>
      <w:r>
        <w:rPr>
          <w:spacing w:val="-14"/>
        </w:rPr>
        <w:t>步消除农村黑臭水体。</w:t>
      </w:r>
      <w:r>
        <w:rPr>
          <w:b/>
        </w:rPr>
        <w:t>基层社会治理能力逐步提升</w:t>
      </w:r>
      <w:r>
        <w:rPr>
          <w:spacing w:val="-16"/>
        </w:rPr>
        <w:t>。创新基层</w:t>
      </w:r>
      <w:r>
        <w:rPr>
          <w:spacing w:val="-13"/>
        </w:rPr>
        <w:t>社会治理模式，打造了“</w:t>
      </w:r>
      <w:r>
        <w:t>e</w:t>
      </w:r>
      <w:r>
        <w:rPr>
          <w:spacing w:val="-12"/>
        </w:rPr>
        <w:t xml:space="preserve"> 呼善应”社会治理品牌。探索建立</w:t>
      </w:r>
      <w:r>
        <w:rPr>
          <w:spacing w:val="-17"/>
        </w:rPr>
        <w:t xml:space="preserve">了“三三制”多元化解综合机制，调解各类矛盾纠纷 </w:t>
      </w:r>
      <w:r>
        <w:t>6956</w:t>
      </w:r>
      <w:r>
        <w:rPr>
          <w:spacing w:val="-28"/>
        </w:rPr>
        <w:t xml:space="preserve"> 件，</w:t>
      </w:r>
    </w:p>
    <w:p>
      <w:pPr>
        <w:pStyle w:val="3"/>
        <w:spacing w:line="395" w:lineRule="exact"/>
        <w:jc w:val="both"/>
      </w:pPr>
      <w:r>
        <w:rPr>
          <w:position w:val="1"/>
        </w:rPr>
        <w:t>调解成功</w:t>
      </w:r>
      <w:r>
        <w:rPr>
          <w:spacing w:val="-84"/>
          <w:position w:val="1"/>
        </w:rPr>
        <w:t xml:space="preserve"> </w:t>
      </w:r>
      <w:r>
        <w:rPr>
          <w:position w:val="1"/>
        </w:rPr>
        <w:t>6804</w:t>
      </w:r>
      <w:r>
        <w:rPr>
          <w:spacing w:val="-83"/>
          <w:position w:val="1"/>
        </w:rPr>
        <w:t xml:space="preserve"> </w:t>
      </w:r>
      <w:r>
        <w:rPr>
          <w:position w:val="1"/>
        </w:rPr>
        <w:t>件</w:t>
      </w:r>
      <w:r>
        <w:rPr>
          <w:spacing w:val="-29"/>
          <w:position w:val="1"/>
        </w:rPr>
        <w:t>，</w:t>
      </w:r>
      <w:r>
        <w:rPr>
          <w:position w:val="1"/>
        </w:rPr>
        <w:t>调解成功率</w:t>
      </w:r>
      <w:r>
        <w:rPr>
          <w:spacing w:val="-81"/>
          <w:position w:val="1"/>
        </w:rPr>
        <w:t xml:space="preserve"> </w:t>
      </w:r>
      <w:r>
        <w:rPr>
          <w:spacing w:val="6"/>
          <w:position w:val="1"/>
        </w:rPr>
        <w:t>98</w:t>
      </w:r>
      <w:r>
        <w:rPr>
          <w:spacing w:val="11"/>
          <w:w w:val="99"/>
        </w:rPr>
        <w:drawing>
          <wp:inline distT="0" distB="0" distL="0" distR="0">
            <wp:extent cx="85090" cy="154940"/>
            <wp:effectExtent l="0" t="0" r="0" b="0"/>
            <wp:docPr id="25"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5"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27"/>
          <w:position w:val="1"/>
        </w:rPr>
        <w:t>。</w:t>
      </w:r>
      <w:r>
        <w:rPr>
          <w:position w:val="1"/>
        </w:rPr>
        <w:t>开展普法活动</w:t>
      </w:r>
      <w:r>
        <w:rPr>
          <w:spacing w:val="-82"/>
          <w:position w:val="1"/>
        </w:rPr>
        <w:t xml:space="preserve"> </w:t>
      </w:r>
      <w:r>
        <w:rPr>
          <w:position w:val="1"/>
        </w:rPr>
        <w:t>5000</w:t>
      </w:r>
      <w:r>
        <w:rPr>
          <w:spacing w:val="-81"/>
          <w:position w:val="1"/>
        </w:rPr>
        <w:t xml:space="preserve"> </w:t>
      </w:r>
      <w:r>
        <w:rPr>
          <w:position w:val="1"/>
        </w:rPr>
        <w:t>余场</w:t>
      </w:r>
    </w:p>
    <w:p>
      <w:pPr>
        <w:spacing w:after="0" w:line="395" w:lineRule="exact"/>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7"/>
      </w:pPr>
      <w:r>
        <w:rPr>
          <w:spacing w:val="-6"/>
        </w:rPr>
        <w:t>次，举办“法治讲座”和“法治培训”</w:t>
      </w:r>
      <w:r>
        <w:t>300</w:t>
      </w:r>
      <w:r>
        <w:rPr>
          <w:spacing w:val="-15"/>
        </w:rPr>
        <w:t xml:space="preserve"> 余场次，受教育人</w:t>
      </w:r>
      <w:r>
        <w:rPr>
          <w:spacing w:val="-50"/>
        </w:rPr>
        <w:t xml:space="preserve">员 </w:t>
      </w:r>
      <w:r>
        <w:t>50</w:t>
      </w:r>
      <w:r>
        <w:rPr>
          <w:spacing w:val="-39"/>
        </w:rPr>
        <w:t xml:space="preserve"> 余万人次。深入实施“雪亮工程”，投资 </w:t>
      </w:r>
      <w:r>
        <w:t>1.49</w:t>
      </w:r>
      <w:r>
        <w:rPr>
          <w:spacing w:val="-34"/>
        </w:rPr>
        <w:t xml:space="preserve"> 亿元为 </w:t>
      </w:r>
      <w:r>
        <w:t>1114</w:t>
      </w:r>
    </w:p>
    <w:p>
      <w:pPr>
        <w:pStyle w:val="3"/>
        <w:spacing w:line="326" w:lineRule="auto"/>
        <w:ind w:right="399"/>
      </w:pPr>
      <w:r>
        <w:t>个村（社区）</w:t>
      </w:r>
      <w:r>
        <w:rPr>
          <w:spacing w:val="-10"/>
        </w:rPr>
        <w:t xml:space="preserve">新安装监控设备 </w:t>
      </w:r>
      <w:r>
        <w:t>7798</w:t>
      </w:r>
      <w:r>
        <w:rPr>
          <w:spacing w:val="-9"/>
        </w:rPr>
        <w:t xml:space="preserve"> 个，完成公安“天网”工程。</w:t>
      </w:r>
    </w:p>
    <w:p>
      <w:pPr>
        <w:pStyle w:val="2"/>
        <w:spacing w:line="486" w:lineRule="exact"/>
        <w:rPr>
          <w:rFonts w:hint="eastAsia" w:ascii="仿宋_GB2312" w:hAnsi="仿宋_GB2312" w:eastAsia="仿宋_GB2312"/>
          <w:b w:val="0"/>
        </w:rPr>
      </w:pPr>
      <w:r>
        <w:rPr>
          <w:rFonts w:ascii="Times New Roman" w:hAnsi="Times New Roman" w:eastAsia="Times New Roman"/>
        </w:rPr>
        <w:t>——</w:t>
      </w:r>
      <w:r>
        <w:rPr>
          <w:spacing w:val="-6"/>
        </w:rPr>
        <w:t>改革开放引向深入。</w:t>
      </w:r>
      <w:r>
        <w:rPr>
          <w:rFonts w:hint="eastAsia" w:ascii="仿宋_GB2312" w:hAnsi="仿宋_GB2312" w:eastAsia="仿宋_GB2312"/>
          <w:spacing w:val="-11"/>
        </w:rPr>
        <w:t>改革攻坚迈出新步伐。</w:t>
      </w:r>
      <w:r>
        <w:rPr>
          <w:rFonts w:hint="eastAsia" w:ascii="仿宋_GB2312" w:hAnsi="仿宋_GB2312" w:eastAsia="仿宋_GB2312"/>
          <w:b w:val="0"/>
        </w:rPr>
        <w:t>“五闯五</w:t>
      </w:r>
    </w:p>
    <w:p>
      <w:pPr>
        <w:pStyle w:val="3"/>
        <w:spacing w:before="76" w:line="328" w:lineRule="auto"/>
        <w:ind w:right="260"/>
      </w:pPr>
      <w:r>
        <w:rPr>
          <w:spacing w:val="-13"/>
        </w:rPr>
        <w:t>攻五样板”扎实推进，发展活力得到充分释放。</w:t>
      </w:r>
      <w:r>
        <w:rPr>
          <w:b/>
        </w:rPr>
        <w:t>体制机制更加</w:t>
      </w:r>
      <w:r>
        <w:rPr>
          <w:b/>
          <w:w w:val="95"/>
        </w:rPr>
        <w:t>完善。</w:t>
      </w:r>
      <w:r>
        <w:rPr>
          <w:w w:val="95"/>
        </w:rPr>
        <w:t xml:space="preserve">机构改革、公车改革、开发区体制机制改革顺利完成， </w:t>
      </w:r>
      <w:r>
        <w:t>行政效能进一步提升</w:t>
      </w:r>
      <w:r>
        <w:rPr>
          <w:spacing w:val="-209"/>
        </w:rPr>
        <w:t>。</w:t>
      </w:r>
      <w:r>
        <w:rPr>
          <w:b/>
          <w:spacing w:val="-7"/>
        </w:rPr>
        <w:t>“放管服”改革持续深化</w:t>
      </w:r>
      <w:r>
        <w:rPr>
          <w:b/>
          <w:spacing w:val="-209"/>
        </w:rPr>
        <w:t>。</w:t>
      </w:r>
      <w:r>
        <w:t>“一枚印章管</w:t>
      </w:r>
      <w:r>
        <w:rPr>
          <w:spacing w:val="-23"/>
          <w:w w:val="99"/>
        </w:rPr>
        <w:t>审批”“一窗受理”深入推进，“一次办好”改革不断深化，实</w:t>
      </w:r>
      <w:r>
        <w:rPr>
          <w:spacing w:val="-12"/>
          <w:w w:val="99"/>
        </w:rPr>
        <w:t>施关联事项“一链办”，营业执照、刻制公章、申领发票</w:t>
      </w:r>
      <w:r>
        <w:rPr>
          <w:spacing w:val="-79"/>
        </w:rPr>
        <w:t xml:space="preserve"> </w:t>
      </w:r>
      <w:r>
        <w:rPr>
          <w:w w:val="99"/>
        </w:rPr>
        <w:t>3</w:t>
      </w:r>
      <w:r>
        <w:rPr>
          <w:spacing w:val="-80"/>
        </w:rPr>
        <w:t xml:space="preserve"> </w:t>
      </w:r>
      <w:r>
        <w:rPr>
          <w:w w:val="99"/>
        </w:rPr>
        <w:t>个</w:t>
      </w:r>
    </w:p>
    <w:p>
      <w:pPr>
        <w:pStyle w:val="3"/>
        <w:spacing w:line="402" w:lineRule="exact"/>
      </w:pPr>
      <w:r>
        <w:rPr>
          <w:spacing w:val="-18"/>
        </w:rPr>
        <w:t xml:space="preserve">环节实现并行办理，开办企业 </w:t>
      </w:r>
      <w:r>
        <w:t>1</w:t>
      </w:r>
      <w:r>
        <w:rPr>
          <w:spacing w:val="-10"/>
        </w:rPr>
        <w:t xml:space="preserve"> 个工作日内即可完成所有手续</w:t>
      </w:r>
    </w:p>
    <w:p>
      <w:pPr>
        <w:pStyle w:val="3"/>
        <w:spacing w:before="149"/>
      </w:pPr>
      <w:r>
        <w:rPr>
          <w:w w:val="99"/>
        </w:rPr>
        <w:t>办理</w:t>
      </w:r>
      <w:r>
        <w:rPr>
          <w:spacing w:val="-41"/>
          <w:w w:val="99"/>
        </w:rPr>
        <w:t>；“一网通办”成效显著，全市</w:t>
      </w:r>
      <w:r>
        <w:rPr>
          <w:spacing w:val="-79"/>
        </w:rPr>
        <w:t xml:space="preserve"> </w:t>
      </w:r>
      <w:r>
        <w:rPr>
          <w:spacing w:val="1"/>
          <w:w w:val="99"/>
        </w:rPr>
        <w:t>27</w:t>
      </w:r>
      <w:r>
        <w:rPr>
          <w:w w:val="99"/>
        </w:rPr>
        <w:t>9</w:t>
      </w:r>
      <w:r>
        <w:rPr>
          <w:spacing w:val="-80"/>
        </w:rPr>
        <w:t xml:space="preserve"> </w:t>
      </w:r>
      <w:r>
        <w:rPr>
          <w:w w:val="99"/>
        </w:rPr>
        <w:t>项行政许可事项和</w:t>
      </w:r>
      <w:r>
        <w:rPr>
          <w:spacing w:val="-81"/>
        </w:rPr>
        <w:t xml:space="preserve"> </w:t>
      </w:r>
      <w:r>
        <w:rPr>
          <w:spacing w:val="1"/>
          <w:w w:val="99"/>
        </w:rPr>
        <w:t>28</w:t>
      </w:r>
      <w:r>
        <w:rPr>
          <w:spacing w:val="-2"/>
          <w:w w:val="99"/>
        </w:rPr>
        <w:t>8</w:t>
      </w:r>
      <w:r>
        <w:rPr>
          <w:w w:val="99"/>
        </w:rPr>
        <w:t>9</w:t>
      </w:r>
    </w:p>
    <w:p>
      <w:pPr>
        <w:pStyle w:val="3"/>
        <w:spacing w:before="149" w:line="328" w:lineRule="auto"/>
        <w:ind w:right="397"/>
        <w:jc w:val="both"/>
      </w:pPr>
      <w:r>
        <w:rPr>
          <w:spacing w:val="-10"/>
        </w:rPr>
        <w:t xml:space="preserve">项公共服务事项全部上网运行，累计办件 </w:t>
      </w:r>
      <w:r>
        <w:t>216</w:t>
      </w:r>
      <w:r>
        <w:rPr>
          <w:spacing w:val="-21"/>
        </w:rPr>
        <w:t xml:space="preserve"> 万件。获评山东</w:t>
      </w:r>
      <w:r>
        <w:rPr>
          <w:spacing w:val="-31"/>
          <w:w w:val="95"/>
        </w:rPr>
        <w:t>省首批法治政府建设示范市。</w:t>
      </w:r>
      <w:r>
        <w:rPr>
          <w:b/>
          <w:w w:val="95"/>
        </w:rPr>
        <w:t xml:space="preserve">国企国资改革迈向更深层次更广 </w:t>
      </w:r>
      <w:r>
        <w:rPr>
          <w:b/>
        </w:rPr>
        <w:t>领域。</w:t>
      </w:r>
      <w:r>
        <w:rPr>
          <w:spacing w:val="-11"/>
        </w:rPr>
        <w:t xml:space="preserve">将原来隶属于 </w:t>
      </w:r>
      <w:r>
        <w:t>23</w:t>
      </w:r>
      <w:r>
        <w:rPr>
          <w:spacing w:val="-28"/>
        </w:rPr>
        <w:t xml:space="preserve"> 个部门的 </w:t>
      </w:r>
      <w:r>
        <w:t>142</w:t>
      </w:r>
      <w:r>
        <w:rPr>
          <w:spacing w:val="-10"/>
        </w:rPr>
        <w:t xml:space="preserve"> 家国有企业整合重组至</w:t>
      </w:r>
    </w:p>
    <w:p>
      <w:pPr>
        <w:pStyle w:val="3"/>
        <w:spacing w:line="328" w:lineRule="auto"/>
        <w:ind w:right="397"/>
        <w:jc w:val="both"/>
      </w:pPr>
      <w:r>
        <w:rPr>
          <w:spacing w:val="5"/>
          <w:w w:val="99"/>
          <w:position w:val="1"/>
        </w:rPr>
        <w:t>目前</w:t>
      </w:r>
      <w:r>
        <w:rPr>
          <w:w w:val="99"/>
          <w:position w:val="1"/>
        </w:rPr>
        <w:t>的</w:t>
      </w:r>
      <w:r>
        <w:rPr>
          <w:spacing w:val="-76"/>
          <w:position w:val="1"/>
        </w:rPr>
        <w:t xml:space="preserve"> </w:t>
      </w:r>
      <w:r>
        <w:rPr>
          <w:spacing w:val="1"/>
          <w:w w:val="99"/>
          <w:position w:val="1"/>
        </w:rPr>
        <w:t>7</w:t>
      </w:r>
      <w:r>
        <w:rPr>
          <w:w w:val="99"/>
          <w:position w:val="1"/>
        </w:rPr>
        <w:t>6</w:t>
      </w:r>
      <w:r>
        <w:rPr>
          <w:spacing w:val="-75"/>
          <w:position w:val="1"/>
        </w:rPr>
        <w:t xml:space="preserve"> </w:t>
      </w:r>
      <w:r>
        <w:rPr>
          <w:spacing w:val="5"/>
          <w:w w:val="99"/>
          <w:position w:val="1"/>
        </w:rPr>
        <w:t>家（其</w:t>
      </w:r>
      <w:r>
        <w:rPr>
          <w:spacing w:val="7"/>
          <w:w w:val="99"/>
          <w:position w:val="1"/>
        </w:rPr>
        <w:t>中</w:t>
      </w:r>
      <w:r>
        <w:rPr>
          <w:spacing w:val="5"/>
          <w:w w:val="99"/>
          <w:position w:val="1"/>
        </w:rPr>
        <w:t>，一级企</w:t>
      </w:r>
      <w:r>
        <w:rPr>
          <w:w w:val="99"/>
          <w:position w:val="1"/>
        </w:rPr>
        <w:t>业</w:t>
      </w:r>
      <w:r>
        <w:rPr>
          <w:spacing w:val="-76"/>
          <w:position w:val="1"/>
        </w:rPr>
        <w:t xml:space="preserve"> </w:t>
      </w:r>
      <w:r>
        <w:rPr>
          <w:spacing w:val="1"/>
          <w:w w:val="99"/>
          <w:position w:val="1"/>
        </w:rPr>
        <w:t>1</w:t>
      </w:r>
      <w:r>
        <w:rPr>
          <w:w w:val="99"/>
          <w:position w:val="1"/>
        </w:rPr>
        <w:t>1</w:t>
      </w:r>
      <w:r>
        <w:rPr>
          <w:spacing w:val="-75"/>
          <w:position w:val="1"/>
        </w:rPr>
        <w:t xml:space="preserve"> </w:t>
      </w:r>
      <w:r>
        <w:rPr>
          <w:spacing w:val="5"/>
          <w:w w:val="99"/>
          <w:position w:val="1"/>
        </w:rPr>
        <w:t>家</w:t>
      </w:r>
      <w:r>
        <w:rPr>
          <w:spacing w:val="-156"/>
          <w:w w:val="99"/>
          <w:position w:val="1"/>
        </w:rPr>
        <w:t>）</w:t>
      </w:r>
      <w:r>
        <w:rPr>
          <w:spacing w:val="5"/>
          <w:w w:val="99"/>
          <w:position w:val="1"/>
        </w:rPr>
        <w:t>，压缩</w:t>
      </w:r>
      <w:r>
        <w:rPr>
          <w:spacing w:val="7"/>
          <w:w w:val="99"/>
          <w:position w:val="1"/>
        </w:rPr>
        <w:t>比</w:t>
      </w:r>
      <w:r>
        <w:rPr>
          <w:w w:val="99"/>
          <w:position w:val="1"/>
        </w:rPr>
        <w:t>例</w:t>
      </w:r>
      <w:r>
        <w:rPr>
          <w:spacing w:val="-74"/>
          <w:position w:val="1"/>
        </w:rPr>
        <w:t xml:space="preserve"> </w:t>
      </w:r>
      <w:r>
        <w:rPr>
          <w:spacing w:val="1"/>
          <w:w w:val="99"/>
          <w:position w:val="1"/>
        </w:rPr>
        <w:t>4</w:t>
      </w:r>
      <w:r>
        <w:rPr>
          <w:spacing w:val="8"/>
          <w:w w:val="99"/>
          <w:position w:val="1"/>
        </w:rPr>
        <w:t>6</w:t>
      </w:r>
      <w:r>
        <w:rPr>
          <w:spacing w:val="8"/>
          <w:w w:val="99"/>
        </w:rPr>
        <w:drawing>
          <wp:inline distT="0" distB="0" distL="0" distR="0">
            <wp:extent cx="85090" cy="154940"/>
            <wp:effectExtent l="0" t="0" r="0" b="0"/>
            <wp:docPr id="2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7"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w w:val="99"/>
          <w:position w:val="1"/>
        </w:rPr>
        <w:t>，实</w:t>
      </w:r>
      <w:r>
        <w:rPr>
          <w:w w:val="99"/>
          <w:position w:val="1"/>
        </w:rPr>
        <w:t>现</w:t>
      </w:r>
      <w:r>
        <w:rPr>
          <w:spacing w:val="-7"/>
          <w:w w:val="95"/>
        </w:rPr>
        <w:t>经营性国有资产统一监管。</w:t>
      </w:r>
      <w:r>
        <w:rPr>
          <w:b/>
          <w:spacing w:val="-7"/>
          <w:w w:val="95"/>
        </w:rPr>
        <w:t>金融改革创新不断深化。</w:t>
      </w:r>
      <w:r>
        <w:rPr>
          <w:w w:val="95"/>
        </w:rPr>
        <w:t xml:space="preserve">全市新引 </w:t>
      </w:r>
      <w:r>
        <w:rPr>
          <w:spacing w:val="-14"/>
        </w:rPr>
        <w:t xml:space="preserve">进金融机构 </w:t>
      </w:r>
      <w:r>
        <w:t>10</w:t>
      </w:r>
      <w:r>
        <w:rPr>
          <w:spacing w:val="-32"/>
        </w:rPr>
        <w:t xml:space="preserve"> 家，金融机构发展到 </w:t>
      </w:r>
      <w:r>
        <w:t>62</w:t>
      </w:r>
      <w:r>
        <w:rPr>
          <w:spacing w:val="-34"/>
        </w:rPr>
        <w:t xml:space="preserve"> 家，各类存款余额较“十二五”末增长</w:t>
      </w:r>
      <w:r>
        <w:rPr>
          <w:spacing w:val="-71"/>
        </w:rPr>
        <w:t xml:space="preserve"> </w:t>
      </w:r>
      <w:r>
        <w:t>69.54</w:t>
      </w:r>
      <w:r>
        <w:rPr>
          <w:spacing w:val="8"/>
          <w:w w:val="99"/>
        </w:rPr>
        <w:drawing>
          <wp:inline distT="0" distB="0" distL="0" distR="0">
            <wp:extent cx="85090" cy="154940"/>
            <wp:effectExtent l="0" t="0" r="0" b="0"/>
            <wp:docPr id="29"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9"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，贷款余额增长</w:t>
      </w:r>
      <w:r>
        <w:rPr>
          <w:spacing w:val="-76"/>
        </w:rPr>
        <w:t xml:space="preserve"> </w:t>
      </w:r>
      <w:r>
        <w:rPr>
          <w:spacing w:val="2"/>
        </w:rPr>
        <w:t>44.08</w:t>
      </w:r>
      <w:r>
        <w:rPr>
          <w:spacing w:val="11"/>
          <w:w w:val="99"/>
        </w:rPr>
        <w:drawing>
          <wp:inline distT="0" distB="0" distL="0" distR="0">
            <wp:extent cx="85090" cy="154940"/>
            <wp:effectExtent l="0" t="0" r="0" b="0"/>
            <wp:docPr id="31"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1"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。新</w:t>
      </w:r>
      <w:r>
        <w:rPr>
          <w:spacing w:val="79"/>
        </w:rPr>
        <w:t>增</w:t>
      </w:r>
      <w:r>
        <w:t>A</w:t>
      </w:r>
      <w:r>
        <w:rPr>
          <w:spacing w:val="-78"/>
        </w:rPr>
        <w:t xml:space="preserve"> </w:t>
      </w:r>
      <w:r>
        <w:t>股中小</w:t>
      </w:r>
      <w:r>
        <w:rPr>
          <w:spacing w:val="-14"/>
        </w:rPr>
        <w:t xml:space="preserve">板上市企业 </w:t>
      </w:r>
      <w:r>
        <w:t>1</w:t>
      </w:r>
      <w:r>
        <w:rPr>
          <w:spacing w:val="-24"/>
        </w:rPr>
        <w:t xml:space="preserve"> 家，“新三板”挂牌企业 </w:t>
      </w:r>
      <w:r>
        <w:t>3</w:t>
      </w:r>
      <w:r>
        <w:rPr>
          <w:spacing w:val="-14"/>
        </w:rPr>
        <w:t xml:space="preserve"> 家，区域性股权交易</w:t>
      </w:r>
    </w:p>
    <w:p>
      <w:pPr>
        <w:pStyle w:val="3"/>
        <w:spacing w:line="328" w:lineRule="auto"/>
        <w:ind w:right="398"/>
        <w:jc w:val="both"/>
      </w:pPr>
      <w:r>
        <w:rPr>
          <w:spacing w:val="-12"/>
        </w:rPr>
        <w:t xml:space="preserve">市场挂牌企业 </w:t>
      </w:r>
      <w:r>
        <w:t>46</w:t>
      </w:r>
      <w:r>
        <w:rPr>
          <w:spacing w:val="-9"/>
        </w:rPr>
        <w:t xml:space="preserve"> 家。金融产品体系进一步完善，农房抵押贷</w:t>
      </w:r>
      <w:r>
        <w:rPr>
          <w:spacing w:val="-13"/>
        </w:rPr>
        <w:t>款、农业政策保险、农民专业合作社等试点工作稳步推进，金</w:t>
      </w:r>
      <w:r>
        <w:rPr>
          <w:spacing w:val="-20"/>
          <w:w w:val="95"/>
        </w:rPr>
        <w:t>融生态环境不断优化。</w:t>
      </w:r>
      <w:r>
        <w:rPr>
          <w:b/>
          <w:spacing w:val="-7"/>
          <w:w w:val="95"/>
        </w:rPr>
        <w:t>对外开放格局初步形成。</w:t>
      </w:r>
      <w:r>
        <w:rPr>
          <w:w w:val="95"/>
        </w:rPr>
        <w:t>引进各类外来</w:t>
      </w:r>
    </w:p>
    <w:p>
      <w:pPr>
        <w:spacing w:after="0" w:line="328" w:lineRule="auto"/>
        <w:jc w:val="both"/>
        <w:sectPr>
          <w:pgSz w:w="11910" w:h="16840"/>
          <w:pgMar w:top="1580" w:right="1300" w:bottom="1540" w:left="1380" w:header="0" w:footer="1277" w:gutter="0"/>
          <w:cols w:space="720" w:num="1"/>
        </w:sectPr>
      </w:pPr>
    </w:p>
    <w:p>
      <w:pPr>
        <w:pStyle w:val="3"/>
        <w:spacing w:before="10"/>
        <w:ind w:left="0"/>
        <w:rPr>
          <w:sz w:val="13"/>
        </w:rPr>
      </w:pPr>
    </w:p>
    <w:p>
      <w:pPr>
        <w:pStyle w:val="3"/>
        <w:spacing w:before="54"/>
      </w:pPr>
      <w:r>
        <w:rPr>
          <w:spacing w:val="-17"/>
        </w:rPr>
        <w:t xml:space="preserve">投资项目 </w:t>
      </w:r>
      <w:r>
        <w:t>870</w:t>
      </w:r>
      <w:r>
        <w:rPr>
          <w:spacing w:val="-26"/>
        </w:rPr>
        <w:t xml:space="preserve"> 个，新增合同外资 </w:t>
      </w:r>
      <w:r>
        <w:t>4.2</w:t>
      </w:r>
      <w:r>
        <w:rPr>
          <w:spacing w:val="-16"/>
        </w:rPr>
        <w:t xml:space="preserve"> 亿美元，进出口实绩企业</w:t>
      </w:r>
    </w:p>
    <w:p>
      <w:pPr>
        <w:pStyle w:val="3"/>
        <w:spacing w:before="152"/>
      </w:pPr>
      <w:r>
        <w:rPr>
          <w:spacing w:val="-22"/>
        </w:rPr>
        <w:t xml:space="preserve">发展到 </w:t>
      </w:r>
      <w:r>
        <w:t>210</w:t>
      </w:r>
      <w:r>
        <w:rPr>
          <w:spacing w:val="-17"/>
        </w:rPr>
        <w:t xml:space="preserve"> 余家，获评省级外贸转型升级试点县，与欧盟、日</w:t>
      </w:r>
    </w:p>
    <w:p>
      <w:pPr>
        <w:pStyle w:val="3"/>
        <w:spacing w:before="149"/>
      </w:pPr>
      <w:r>
        <w:t>本等 150 余个国家和地区建立了良好的经贸关系。</w:t>
      </w:r>
    </w:p>
    <w:p>
      <w:pPr>
        <w:pStyle w:val="2"/>
        <w:spacing w:before="44" w:line="240" w:lineRule="auto"/>
        <w:ind w:left="321" w:firstLine="638"/>
        <w:rPr>
          <w:rFonts w:hint="eastAsia" w:ascii="仿宋_GB2312" w:hAnsi="仿宋_GB2312" w:eastAsia="仿宋_GB2312"/>
          <w:b w:val="0"/>
        </w:rPr>
      </w:pPr>
      <w:r>
        <w:rPr>
          <w:rFonts w:ascii="Times New Roman" w:hAnsi="Times New Roman" w:eastAsia="Times New Roman"/>
          <w:w w:val="95"/>
        </w:rPr>
        <w:t>——</w:t>
      </w:r>
      <w:r>
        <w:rPr>
          <w:spacing w:val="-9"/>
          <w:w w:val="95"/>
        </w:rPr>
        <w:t>绿色发展深入人心。</w:t>
      </w:r>
      <w:r>
        <w:rPr>
          <w:rFonts w:hint="eastAsia" w:ascii="仿宋_GB2312" w:hAnsi="仿宋_GB2312" w:eastAsia="仿宋_GB2312"/>
          <w:spacing w:val="-9"/>
          <w:w w:val="95"/>
        </w:rPr>
        <w:t>生态修复强力推进。</w:t>
      </w:r>
      <w:r>
        <w:rPr>
          <w:rFonts w:hint="eastAsia" w:ascii="仿宋_GB2312" w:hAnsi="仿宋_GB2312" w:eastAsia="仿宋_GB2312"/>
          <w:b w:val="0"/>
          <w:w w:val="95"/>
        </w:rPr>
        <w:t>加快国土绿</w:t>
      </w:r>
    </w:p>
    <w:p>
      <w:pPr>
        <w:pStyle w:val="3"/>
        <w:spacing w:before="78" w:line="326" w:lineRule="auto"/>
        <w:ind w:right="401"/>
      </w:pPr>
      <w:r>
        <w:rPr>
          <w:spacing w:val="-12"/>
          <w:w w:val="95"/>
        </w:rPr>
        <w:t xml:space="preserve">化和生态修复，顺利通过全国重点采煤沉陷区综合治理工程试 </w:t>
      </w:r>
      <w:r>
        <w:rPr>
          <w:spacing w:val="-17"/>
        </w:rPr>
        <w:t xml:space="preserve">点评审。新增造林绿化面积 </w:t>
      </w:r>
      <w:r>
        <w:t>11.6</w:t>
      </w:r>
      <w:r>
        <w:rPr>
          <w:spacing w:val="-9"/>
        </w:rPr>
        <w:t xml:space="preserve"> 万亩，新建完善农田林网面</w:t>
      </w:r>
    </w:p>
    <w:p>
      <w:pPr>
        <w:pStyle w:val="3"/>
        <w:spacing w:before="3"/>
      </w:pPr>
      <w:r>
        <w:rPr>
          <w:spacing w:val="-42"/>
        </w:rPr>
        <w:t xml:space="preserve">积 </w:t>
      </w:r>
      <w:r>
        <w:t>18.7</w:t>
      </w:r>
      <w:r>
        <w:rPr>
          <w:spacing w:val="-17"/>
        </w:rPr>
        <w:t xml:space="preserve"> 万亩，森林抚育面积 </w:t>
      </w:r>
      <w:r>
        <w:t>2.5</w:t>
      </w:r>
      <w:r>
        <w:rPr>
          <w:spacing w:val="-10"/>
        </w:rPr>
        <w:t xml:space="preserve"> 万亩，建成了荆河、郭河等</w:t>
      </w:r>
    </w:p>
    <w:p>
      <w:pPr>
        <w:pStyle w:val="3"/>
        <w:spacing w:before="152" w:line="328" w:lineRule="auto"/>
        <w:ind w:right="266"/>
      </w:pPr>
      <w:r>
        <w:t>10</w:t>
      </w:r>
      <w:r>
        <w:rPr>
          <w:spacing w:val="-17"/>
        </w:rPr>
        <w:t xml:space="preserve"> 大湿地。新增水土流失治理面积 </w:t>
      </w:r>
      <w:r>
        <w:t>54</w:t>
      </w:r>
      <w:r>
        <w:rPr>
          <w:spacing w:val="-23"/>
        </w:rPr>
        <w:t xml:space="preserve"> 平方公里，建成 </w:t>
      </w:r>
      <w:r>
        <w:t>7</w:t>
      </w:r>
      <w:r>
        <w:rPr>
          <w:spacing w:val="-28"/>
        </w:rPr>
        <w:t xml:space="preserve"> 处城</w:t>
      </w:r>
      <w:r>
        <w:rPr>
          <w:spacing w:val="-20"/>
        </w:rPr>
        <w:t>市城郊森林公园。完成全域永久基本农田划定工作，修复破损</w:t>
      </w:r>
      <w:r>
        <w:rPr>
          <w:spacing w:val="-41"/>
        </w:rPr>
        <w:t xml:space="preserve">山体 </w:t>
      </w:r>
      <w:r>
        <w:t>13</w:t>
      </w:r>
      <w:r>
        <w:rPr>
          <w:spacing w:val="-19"/>
        </w:rPr>
        <w:t xml:space="preserve"> 处，累计盘活各类低效闲置土地 </w:t>
      </w:r>
      <w:r>
        <w:t>9300</w:t>
      </w:r>
      <w:r>
        <w:rPr>
          <w:spacing w:val="-38"/>
        </w:rPr>
        <w:t xml:space="preserve"> 余亩。</w:t>
      </w:r>
      <w:r>
        <w:rPr>
          <w:b/>
        </w:rPr>
        <w:t>污染治理</w:t>
      </w:r>
      <w:r>
        <w:rPr>
          <w:b/>
          <w:spacing w:val="12"/>
        </w:rPr>
        <w:t>深入推进。</w:t>
      </w:r>
      <w:r>
        <w:rPr>
          <w:spacing w:val="6"/>
        </w:rPr>
        <w:t xml:space="preserve">开展大气污染源专项整治行动，细颗粒物 </w:t>
      </w:r>
      <w:r>
        <w:t xml:space="preserve">PM2.5 </w:t>
      </w:r>
      <w:r>
        <w:rPr>
          <w:position w:val="1"/>
        </w:rPr>
        <w:t>浓度累计降低</w:t>
      </w:r>
      <w:r>
        <w:rPr>
          <w:spacing w:val="-82"/>
          <w:position w:val="1"/>
        </w:rPr>
        <w:t xml:space="preserve"> </w:t>
      </w:r>
      <w:r>
        <w:rPr>
          <w:spacing w:val="2"/>
          <w:position w:val="1"/>
        </w:rPr>
        <w:t>26.6</w:t>
      </w:r>
      <w:r>
        <w:rPr>
          <w:spacing w:val="11"/>
          <w:w w:val="99"/>
        </w:rPr>
        <w:drawing>
          <wp:inline distT="0" distB="0" distL="0" distR="0">
            <wp:extent cx="85090" cy="154940"/>
            <wp:effectExtent l="0" t="0" r="0" b="0"/>
            <wp:docPr id="3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3"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10"/>
          <w:position w:val="1"/>
        </w:rPr>
        <w:t>。</w:t>
      </w:r>
      <w:r>
        <w:rPr>
          <w:position w:val="1"/>
        </w:rPr>
        <w:t>全面实施</w:t>
      </w:r>
      <w:r>
        <w:rPr>
          <w:spacing w:val="-12"/>
          <w:position w:val="1"/>
        </w:rPr>
        <w:t>河</w:t>
      </w:r>
      <w:r>
        <w:rPr>
          <w:position w:val="1"/>
        </w:rPr>
        <w:t>（湖</w:t>
      </w:r>
      <w:r>
        <w:rPr>
          <w:spacing w:val="-12"/>
          <w:position w:val="1"/>
        </w:rPr>
        <w:t>）</w:t>
      </w:r>
      <w:r>
        <w:rPr>
          <w:position w:val="1"/>
        </w:rPr>
        <w:t>长制</w:t>
      </w:r>
      <w:r>
        <w:rPr>
          <w:spacing w:val="-10"/>
          <w:position w:val="1"/>
        </w:rPr>
        <w:t>、</w:t>
      </w:r>
      <w:r>
        <w:rPr>
          <w:position w:val="1"/>
        </w:rPr>
        <w:t>林长制</w:t>
      </w:r>
      <w:r>
        <w:rPr>
          <w:spacing w:val="-10"/>
          <w:position w:val="1"/>
        </w:rPr>
        <w:t>，</w:t>
      </w:r>
      <w:r>
        <w:rPr>
          <w:position w:val="1"/>
        </w:rPr>
        <w:t>国控</w:t>
      </w:r>
      <w:r>
        <w:rPr>
          <w:spacing w:val="-1"/>
        </w:rPr>
        <w:t>河流断面水质达到地表水三类水质标准，实施了北沙河上游、</w:t>
      </w:r>
      <w:r>
        <w:rPr>
          <w:spacing w:val="-12"/>
        </w:rPr>
        <w:t>郭河流域、新薛河等人工湿地水质净化工程建设；多层次完成</w:t>
      </w:r>
      <w:r>
        <w:rPr>
          <w:spacing w:val="-25"/>
        </w:rPr>
        <w:t xml:space="preserve">水利投资 </w:t>
      </w:r>
      <w:r>
        <w:t>30</w:t>
      </w:r>
      <w:r>
        <w:rPr>
          <w:spacing w:val="-9"/>
        </w:rPr>
        <w:t xml:space="preserve"> 亿元，实施三河、七库、八闸坝重点水利工程建</w:t>
      </w:r>
    </w:p>
    <w:p>
      <w:pPr>
        <w:pStyle w:val="3"/>
        <w:spacing w:line="395" w:lineRule="exact"/>
      </w:pPr>
      <w:r>
        <w:rPr>
          <w:spacing w:val="-14"/>
        </w:rPr>
        <w:t xml:space="preserve">设，综合治理骨干河道 </w:t>
      </w:r>
      <w:r>
        <w:t>62</w:t>
      </w:r>
      <w:r>
        <w:rPr>
          <w:spacing w:val="-22"/>
        </w:rPr>
        <w:t xml:space="preserve"> 公里，加固小型水库 </w:t>
      </w:r>
      <w:r>
        <w:t>21</w:t>
      </w:r>
      <w:r>
        <w:rPr>
          <w:spacing w:val="-23"/>
        </w:rPr>
        <w:t xml:space="preserve"> 座，建设闸</w:t>
      </w:r>
    </w:p>
    <w:p>
      <w:pPr>
        <w:pStyle w:val="3"/>
        <w:spacing w:before="152"/>
      </w:pPr>
      <w:r>
        <w:rPr>
          <w:spacing w:val="-42"/>
        </w:rPr>
        <w:t xml:space="preserve">坝 </w:t>
      </w:r>
      <w:r>
        <w:t>9</w:t>
      </w:r>
      <w:r>
        <w:rPr>
          <w:spacing w:val="-20"/>
        </w:rPr>
        <w:t xml:space="preserve"> 座，改建排灌站 </w:t>
      </w:r>
      <w:r>
        <w:t>18</w:t>
      </w:r>
      <w:r>
        <w:rPr>
          <w:spacing w:val="-1"/>
        </w:rPr>
        <w:t xml:space="preserve"> 座，万元</w:t>
      </w:r>
      <w:r>
        <w:t>GDP</w:t>
      </w:r>
      <w:r>
        <w:rPr>
          <w:spacing w:val="-25"/>
        </w:rPr>
        <w:t xml:space="preserve"> 用水量降至 </w:t>
      </w:r>
      <w:r>
        <w:t>37</w:t>
      </w:r>
      <w:r>
        <w:rPr>
          <w:spacing w:val="-17"/>
        </w:rPr>
        <w:t xml:space="preserve"> 立方米，</w:t>
      </w:r>
    </w:p>
    <w:p>
      <w:pPr>
        <w:pStyle w:val="3"/>
        <w:spacing w:before="149" w:line="328" w:lineRule="auto"/>
        <w:ind w:right="266"/>
      </w:pPr>
      <w:r>
        <w:rPr>
          <w:spacing w:val="-10"/>
        </w:rPr>
        <w:t xml:space="preserve">日污水处理能力 </w:t>
      </w:r>
      <w:r>
        <w:t>26</w:t>
      </w:r>
      <w:r>
        <w:rPr>
          <w:spacing w:val="-9"/>
        </w:rPr>
        <w:t xml:space="preserve"> 万立方米，获评全国首批节水型社会建设</w:t>
      </w:r>
      <w:r>
        <w:rPr>
          <w:spacing w:val="-7"/>
        </w:rPr>
        <w:t>达标县、全国农村生活污水治理示范县，</w:t>
      </w:r>
      <w:r>
        <w:rPr>
          <w:spacing w:val="-4"/>
        </w:rPr>
        <w:t>538</w:t>
      </w:r>
      <w:r>
        <w:rPr>
          <w:spacing w:val="-33"/>
        </w:rPr>
        <w:t xml:space="preserve"> 个村</w:t>
      </w:r>
      <w:r>
        <w:t>（居</w:t>
      </w:r>
      <w:r>
        <w:rPr>
          <w:spacing w:val="-15"/>
        </w:rPr>
        <w:t>）</w:t>
      </w:r>
      <w:r>
        <w:t>完成</w:t>
      </w:r>
      <w:r>
        <w:rPr>
          <w:spacing w:val="-6"/>
        </w:rPr>
        <w:t>农村生活污水治理。</w:t>
      </w:r>
      <w:r>
        <w:rPr>
          <w:b/>
          <w:spacing w:val="-6"/>
        </w:rPr>
        <w:t>节能减排扎实推进。</w:t>
      </w:r>
      <w:r>
        <w:rPr>
          <w:spacing w:val="-7"/>
        </w:rPr>
        <w:t>大力实施“工业绿动</w:t>
      </w:r>
      <w:r>
        <w:rPr>
          <w:spacing w:val="-12"/>
        </w:rPr>
        <w:t xml:space="preserve">力”行动，加强高耗能行业管理，推动列入“百千万”行动的重点用能企业实行单位产品能源消耗限额和能耗总量“双控” </w:t>
      </w:r>
      <w:r>
        <w:rPr>
          <w:spacing w:val="-4"/>
        </w:rPr>
        <w:t xml:space="preserve">管理，做好煤炭消费压减工作，全部清理取缔了 </w:t>
      </w:r>
      <w:r>
        <w:t>10</w:t>
      </w:r>
      <w:r>
        <w:rPr>
          <w:spacing w:val="-16"/>
        </w:rPr>
        <w:t xml:space="preserve"> 蒸吨及以</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7"/>
        <w:jc w:val="both"/>
      </w:pPr>
      <w:r>
        <w:rPr>
          <w:spacing w:val="-12"/>
        </w:rPr>
        <w:t>下燃煤锅炉。全面禁止城市建成区露天烧烤，室内烧烤均配备</w:t>
      </w:r>
      <w:r>
        <w:rPr>
          <w:spacing w:val="-15"/>
          <w:w w:val="95"/>
        </w:rPr>
        <w:t xml:space="preserve">油烟净化设备。光大能源垃圾发电项目投入运营，全域生活垃 </w:t>
      </w:r>
      <w:r>
        <w:rPr>
          <w:spacing w:val="-17"/>
        </w:rPr>
        <w:t>圾实现日产日清、密闭转运、无害化处理。推进光伏发电无补</w:t>
      </w:r>
      <w:r>
        <w:t>贴平价上网，有序发展可再生能源。</w:t>
      </w:r>
    </w:p>
    <w:p>
      <w:pPr>
        <w:pStyle w:val="2"/>
        <w:rPr>
          <w:rFonts w:hint="eastAsia" w:ascii="仿宋_GB2312" w:hAnsi="仿宋_GB2312" w:eastAsia="仿宋_GB2312"/>
          <w:b w:val="0"/>
        </w:rPr>
      </w:pPr>
      <w:r>
        <w:rPr>
          <w:rFonts w:ascii="Times New Roman" w:hAnsi="Times New Roman" w:eastAsia="Times New Roman"/>
          <w:spacing w:val="4"/>
          <w:w w:val="95"/>
        </w:rPr>
        <w:t>——</w:t>
      </w:r>
      <w:r>
        <w:rPr>
          <w:spacing w:val="9"/>
          <w:w w:val="95"/>
        </w:rPr>
        <w:t>城乡融合发展统筹推进。</w:t>
      </w:r>
      <w:r>
        <w:rPr>
          <w:rFonts w:hint="eastAsia" w:ascii="仿宋_GB2312" w:hAnsi="仿宋_GB2312" w:eastAsia="仿宋_GB2312"/>
          <w:spacing w:val="8"/>
          <w:w w:val="95"/>
        </w:rPr>
        <w:t>城市品质持续提升。</w:t>
      </w:r>
      <w:r>
        <w:rPr>
          <w:rFonts w:hint="eastAsia" w:ascii="仿宋_GB2312" w:hAnsi="仿宋_GB2312" w:eastAsia="仿宋_GB2312"/>
          <w:b w:val="0"/>
          <w:spacing w:val="3"/>
          <w:w w:val="95"/>
        </w:rPr>
        <w:t>全市</w:t>
      </w:r>
    </w:p>
    <w:p>
      <w:pPr>
        <w:pStyle w:val="3"/>
        <w:spacing w:before="77"/>
      </w:pPr>
      <w:r>
        <w:rPr>
          <w:spacing w:val="-4"/>
        </w:rPr>
        <w:t xml:space="preserve">纳入“十三五”规划的棚户区改造项目共 </w:t>
      </w:r>
      <w:r>
        <w:t>40</w:t>
      </w:r>
      <w:r>
        <w:rPr>
          <w:spacing w:val="-11"/>
        </w:rPr>
        <w:t xml:space="preserve"> 个，完成搬迁居</w:t>
      </w:r>
    </w:p>
    <w:p>
      <w:pPr>
        <w:pStyle w:val="3"/>
        <w:spacing w:before="149" w:line="328" w:lineRule="auto"/>
        <w:ind w:right="242"/>
      </w:pPr>
      <w:r>
        <w:rPr>
          <w:spacing w:val="-37"/>
        </w:rPr>
        <w:t xml:space="preserve">民 </w:t>
      </w:r>
      <w:r>
        <w:t>17119</w:t>
      </w:r>
      <w:r>
        <w:rPr>
          <w:spacing w:val="-7"/>
        </w:rPr>
        <w:t xml:space="preserve"> 户，改造房屋面积 </w:t>
      </w:r>
      <w:r>
        <w:t>460</w:t>
      </w:r>
      <w:r>
        <w:rPr>
          <w:spacing w:val="-5"/>
        </w:rPr>
        <w:t xml:space="preserve"> 万平方米，建设安置房 </w:t>
      </w:r>
      <w:r>
        <w:t xml:space="preserve">3.1 </w:t>
      </w:r>
      <w:r>
        <w:rPr>
          <w:spacing w:val="5"/>
        </w:rPr>
        <w:t>万套、</w:t>
      </w:r>
      <w:r>
        <w:t>370</w:t>
      </w:r>
      <w:r>
        <w:rPr>
          <w:spacing w:val="-9"/>
        </w:rPr>
        <w:t xml:space="preserve"> 万平方米。争取上级财政补助资金 </w:t>
      </w:r>
      <w:r>
        <w:t>12</w:t>
      </w:r>
      <w:r>
        <w:rPr>
          <w:spacing w:val="-11"/>
        </w:rPr>
        <w:t xml:space="preserve"> 亿元，争取</w:t>
      </w:r>
      <w:r>
        <w:rPr>
          <w:spacing w:val="-7"/>
        </w:rPr>
        <w:t xml:space="preserve">政策性贷款支持 </w:t>
      </w:r>
      <w:r>
        <w:t>65.79</w:t>
      </w:r>
      <w:r>
        <w:rPr>
          <w:spacing w:val="-18"/>
        </w:rPr>
        <w:t xml:space="preserve"> 亿元，</w:t>
      </w:r>
      <w:r>
        <w:t>10</w:t>
      </w:r>
      <w:r>
        <w:rPr>
          <w:spacing w:val="-5"/>
        </w:rPr>
        <w:t xml:space="preserve"> 万城镇居民住上新居。实施52</w:t>
      </w:r>
      <w:r>
        <w:rPr>
          <w:spacing w:val="-56"/>
        </w:rPr>
        <w:t xml:space="preserve"> 项 </w:t>
      </w:r>
      <w:r>
        <w:t>15.3</w:t>
      </w:r>
      <w:r>
        <w:rPr>
          <w:spacing w:val="-13"/>
        </w:rPr>
        <w:t xml:space="preserve"> 平方公里海绵城市工程。先后获评国家县城新型城</w:t>
      </w:r>
      <w:r>
        <w:rPr>
          <w:spacing w:val="-16"/>
        </w:rPr>
        <w:t>镇化建设示范县、省新型城镇化综合试点、省级新型中等城市</w:t>
      </w:r>
      <w:r>
        <w:rPr>
          <w:spacing w:val="-20"/>
        </w:rPr>
        <w:t>试点、省“多规合一”试点、省地下空间规划建设和管理试点。</w:t>
      </w:r>
      <w:r>
        <w:t>成功创建国家卫生城市。</w:t>
      </w:r>
      <w:r>
        <w:rPr>
          <w:b/>
        </w:rPr>
        <w:t>基础设施日益完善。</w:t>
      </w:r>
      <w:r>
        <w:rPr>
          <w:spacing w:val="-28"/>
        </w:rPr>
        <w:t xml:space="preserve">投资 </w:t>
      </w:r>
      <w:r>
        <w:t>25</w:t>
      </w:r>
      <w:r>
        <w:rPr>
          <w:spacing w:val="-21"/>
        </w:rPr>
        <w:t xml:space="preserve"> 亿元，</w:t>
      </w:r>
    </w:p>
    <w:p>
      <w:pPr>
        <w:pStyle w:val="3"/>
        <w:spacing w:line="400" w:lineRule="exact"/>
      </w:pPr>
      <w:r>
        <w:rPr>
          <w:spacing w:val="-29"/>
        </w:rPr>
        <w:t xml:space="preserve">实施 </w:t>
      </w:r>
      <w:r>
        <w:t>154</w:t>
      </w:r>
      <w:r>
        <w:rPr>
          <w:spacing w:val="-17"/>
        </w:rPr>
        <w:t xml:space="preserve"> 项基础工程建设。荆泉路和振兴路全线贯通，愚公桥</w:t>
      </w:r>
    </w:p>
    <w:p>
      <w:pPr>
        <w:pStyle w:val="3"/>
        <w:spacing w:before="149"/>
        <w:jc w:val="both"/>
      </w:pPr>
      <w:r>
        <w:rPr>
          <w:spacing w:val="-42"/>
        </w:rPr>
        <w:t xml:space="preserve">等 </w:t>
      </w:r>
      <w:r>
        <w:t>75</w:t>
      </w:r>
      <w:r>
        <w:rPr>
          <w:spacing w:val="-18"/>
        </w:rPr>
        <w:t xml:space="preserve"> 条道路桥梁新建改造完成，新增道路里程约 </w:t>
      </w:r>
      <w:r>
        <w:t>26</w:t>
      </w:r>
      <w:r>
        <w:rPr>
          <w:spacing w:val="-31"/>
        </w:rPr>
        <w:t xml:space="preserve"> 公里；新</w:t>
      </w:r>
    </w:p>
    <w:p>
      <w:pPr>
        <w:pStyle w:val="3"/>
        <w:spacing w:before="149"/>
        <w:jc w:val="both"/>
      </w:pPr>
      <w:r>
        <w:rPr>
          <w:spacing w:val="-8"/>
        </w:rPr>
        <w:t xml:space="preserve">建改建燃气、供热管网 </w:t>
      </w:r>
      <w:r>
        <w:t>300</w:t>
      </w:r>
      <w:r>
        <w:rPr>
          <w:spacing w:val="-15"/>
        </w:rPr>
        <w:t xml:space="preserve"> 余公里；新建改造供水管网 </w:t>
      </w:r>
      <w:r>
        <w:t>35</w:t>
      </w:r>
      <w:r>
        <w:rPr>
          <w:spacing w:val="-40"/>
        </w:rPr>
        <w:t xml:space="preserve"> 公</w:t>
      </w:r>
    </w:p>
    <w:p>
      <w:pPr>
        <w:pStyle w:val="3"/>
        <w:spacing w:before="152"/>
        <w:jc w:val="both"/>
      </w:pPr>
      <w:r>
        <w:rPr>
          <w:spacing w:val="-20"/>
        </w:rPr>
        <w:t xml:space="preserve">里、排水管网 </w:t>
      </w:r>
      <w:r>
        <w:t>50</w:t>
      </w:r>
      <w:r>
        <w:rPr>
          <w:spacing w:val="-32"/>
        </w:rPr>
        <w:t xml:space="preserve"> 公里；实施 </w:t>
      </w:r>
      <w:r>
        <w:t>12</w:t>
      </w:r>
      <w:r>
        <w:rPr>
          <w:spacing w:val="-12"/>
        </w:rPr>
        <w:t xml:space="preserve"> 项绿化精品工程，新增绿化面</w:t>
      </w:r>
    </w:p>
    <w:p>
      <w:pPr>
        <w:pStyle w:val="3"/>
        <w:spacing w:before="149"/>
        <w:jc w:val="both"/>
      </w:pPr>
      <w:r>
        <w:rPr>
          <w:spacing w:val="-39"/>
        </w:rPr>
        <w:t xml:space="preserve">积 </w:t>
      </w:r>
      <w:r>
        <w:t>300</w:t>
      </w:r>
      <w:r>
        <w:rPr>
          <w:spacing w:val="-14"/>
        </w:rPr>
        <w:t xml:space="preserve"> 余万平方米；实施平安路等 </w:t>
      </w:r>
      <w:r>
        <w:t>10</w:t>
      </w:r>
      <w:r>
        <w:rPr>
          <w:spacing w:val="-9"/>
        </w:rPr>
        <w:t xml:space="preserve"> 项城市地下综合管廊工</w:t>
      </w:r>
    </w:p>
    <w:p>
      <w:pPr>
        <w:pStyle w:val="3"/>
        <w:spacing w:before="149"/>
        <w:jc w:val="both"/>
      </w:pPr>
      <w:r>
        <w:rPr>
          <w:spacing w:val="-7"/>
        </w:rPr>
        <w:t xml:space="preserve">程，建成地下综合管廊 </w:t>
      </w:r>
      <w:r>
        <w:t>15.4</w:t>
      </w:r>
      <w:r>
        <w:rPr>
          <w:spacing w:val="-9"/>
        </w:rPr>
        <w:t xml:space="preserve"> 公里。实施鲁班大道、龙泉南路</w:t>
      </w:r>
    </w:p>
    <w:p>
      <w:pPr>
        <w:pStyle w:val="3"/>
        <w:spacing w:before="152"/>
        <w:jc w:val="both"/>
      </w:pPr>
      <w:r>
        <w:rPr>
          <w:spacing w:val="-42"/>
        </w:rPr>
        <w:t xml:space="preserve">等 </w:t>
      </w:r>
      <w:r>
        <w:t>40</w:t>
      </w:r>
      <w:r>
        <w:rPr>
          <w:spacing w:val="-20"/>
        </w:rPr>
        <w:t xml:space="preserve"> 余条道路升级改造工程，复铺提升道路 </w:t>
      </w:r>
      <w:r>
        <w:t>290</w:t>
      </w:r>
      <w:r>
        <w:rPr>
          <w:spacing w:val="-13"/>
        </w:rPr>
        <w:t xml:space="preserve"> 余万平方米。</w:t>
      </w:r>
    </w:p>
    <w:p>
      <w:pPr>
        <w:pStyle w:val="3"/>
        <w:spacing w:before="149" w:line="328" w:lineRule="auto"/>
        <w:ind w:right="236"/>
        <w:jc w:val="both"/>
      </w:pPr>
      <w:r>
        <w:rPr>
          <w:spacing w:val="-15"/>
        </w:rPr>
        <w:t xml:space="preserve">枣菏高速滕州段、省道 </w:t>
      </w:r>
      <w:r>
        <w:t>343</w:t>
      </w:r>
      <w:r>
        <w:rPr>
          <w:spacing w:val="-31"/>
        </w:rPr>
        <w:t xml:space="preserve"> 北留线、省道 </w:t>
      </w:r>
      <w:r>
        <w:t>345</w:t>
      </w:r>
      <w:r>
        <w:rPr>
          <w:spacing w:val="-12"/>
        </w:rPr>
        <w:t xml:space="preserve"> 枣济线等干线道</w:t>
      </w:r>
      <w:r>
        <w:rPr>
          <w:spacing w:val="-20"/>
        </w:rPr>
        <w:t xml:space="preserve">路建成通车，枣滕 </w:t>
      </w:r>
      <w:r>
        <w:t>BRT/B6</w:t>
      </w:r>
      <w:r>
        <w:rPr>
          <w:spacing w:val="-9"/>
        </w:rPr>
        <w:t xml:space="preserve"> 线、滕州新港一期工程投入运营。</w:t>
      </w:r>
      <w:r>
        <w:rPr>
          <w:b/>
          <w:spacing w:val="-22"/>
          <w:w w:val="95"/>
        </w:rPr>
        <w:t>城市精细化管理持续完善。</w:t>
      </w:r>
      <w:r>
        <w:rPr>
          <w:spacing w:val="-12"/>
          <w:w w:val="95"/>
        </w:rPr>
        <w:t>高标准建设智慧城管指挥中心，市、</w:t>
      </w:r>
    </w:p>
    <w:p>
      <w:pPr>
        <w:spacing w:after="0" w:line="328" w:lineRule="auto"/>
        <w:jc w:val="both"/>
        <w:sectPr>
          <w:pgSz w:w="11910" w:h="16840"/>
          <w:pgMar w:top="1580" w:right="1300" w:bottom="1540" w:left="1380" w:header="0" w:footer="1277" w:gutter="0"/>
          <w:cols w:space="720" w:num="1"/>
        </w:sectPr>
      </w:pPr>
    </w:p>
    <w:p>
      <w:pPr>
        <w:pStyle w:val="3"/>
        <w:spacing w:before="10"/>
        <w:ind w:left="0"/>
        <w:rPr>
          <w:sz w:val="13"/>
        </w:rPr>
      </w:pPr>
    </w:p>
    <w:p>
      <w:pPr>
        <w:pStyle w:val="3"/>
        <w:spacing w:before="54" w:line="331" w:lineRule="auto"/>
        <w:ind w:right="399"/>
        <w:jc w:val="both"/>
      </w:pPr>
      <w:r>
        <w:rPr>
          <w:spacing w:val="-8"/>
          <w:w w:val="95"/>
        </w:rPr>
        <w:t xml:space="preserve">镇两级智慧城管基础平台实现全域覆盖。扎实推进道路机械化 </w:t>
      </w:r>
      <w:r>
        <w:rPr>
          <w:spacing w:val="-8"/>
        </w:rPr>
        <w:t>深度保洁</w:t>
      </w:r>
      <w:r>
        <w:rPr>
          <w:spacing w:val="-19"/>
        </w:rPr>
        <w:t>，</w:t>
      </w:r>
      <w:r>
        <w:t>机械化洒水</w:t>
      </w:r>
      <w:r>
        <w:rPr>
          <w:spacing w:val="-17"/>
        </w:rPr>
        <w:t>、</w:t>
      </w:r>
      <w:r>
        <w:t>洗扫作业覆盖率达</w:t>
      </w:r>
      <w:r>
        <w:rPr>
          <w:spacing w:val="-89"/>
        </w:rPr>
        <w:t xml:space="preserve"> </w:t>
      </w:r>
      <w:r>
        <w:rPr>
          <w:spacing w:val="6"/>
        </w:rPr>
        <w:t>95</w:t>
      </w:r>
      <w:r>
        <w:rPr>
          <w:spacing w:val="11"/>
          <w:w w:val="99"/>
        </w:rPr>
        <w:drawing>
          <wp:inline distT="0" distB="0" distL="0" distR="0">
            <wp:extent cx="85090" cy="154940"/>
            <wp:effectExtent l="0" t="0" r="0" b="0"/>
            <wp:docPr id="35"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5"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19"/>
          <w:w w:val="95"/>
        </w:rPr>
        <w:t>。</w:t>
      </w:r>
      <w:r>
        <w:rPr>
          <w:w w:val="95"/>
        </w:rPr>
        <w:t>建成投入使</w:t>
      </w:r>
    </w:p>
    <w:p>
      <w:pPr>
        <w:pStyle w:val="3"/>
        <w:spacing w:line="328" w:lineRule="auto"/>
        <w:ind w:right="399"/>
        <w:jc w:val="both"/>
      </w:pPr>
      <w:r>
        <w:rPr>
          <w:spacing w:val="-20"/>
        </w:rPr>
        <w:t xml:space="preserve">用公厕 </w:t>
      </w:r>
      <w:r>
        <w:t>44</w:t>
      </w:r>
      <w:r>
        <w:rPr>
          <w:spacing w:val="-19"/>
        </w:rPr>
        <w:t xml:space="preserve"> 座、垃圾中转站 </w:t>
      </w:r>
      <w:r>
        <w:t>5</w:t>
      </w:r>
      <w:r>
        <w:rPr>
          <w:spacing w:val="-9"/>
        </w:rPr>
        <w:t xml:space="preserve"> 座。在全省县域率先启动生活垃</w:t>
      </w:r>
      <w:r>
        <w:rPr>
          <w:spacing w:val="-13"/>
        </w:rPr>
        <w:t>圾分类，扎实推动生活垃圾减量化、资源化、无害化。新建市</w:t>
      </w:r>
      <w:r>
        <w:rPr>
          <w:spacing w:val="-20"/>
        </w:rPr>
        <w:t xml:space="preserve">民公园等街头游园 </w:t>
      </w:r>
      <w:r>
        <w:t>50</w:t>
      </w:r>
      <w:r>
        <w:rPr>
          <w:spacing w:val="-9"/>
        </w:rPr>
        <w:t xml:space="preserve"> 余处，省、市级花园式单位</w:t>
      </w:r>
      <w:r>
        <w:t>（小区）达</w:t>
      </w:r>
    </w:p>
    <w:p>
      <w:pPr>
        <w:spacing w:before="0" w:line="405" w:lineRule="exact"/>
        <w:ind w:left="321" w:right="0" w:firstLine="0"/>
        <w:jc w:val="both"/>
        <w:rPr>
          <w:sz w:val="32"/>
        </w:rPr>
      </w:pPr>
      <w:r>
        <w:rPr>
          <w:spacing w:val="-44"/>
          <w:sz w:val="32"/>
        </w:rPr>
        <w:t xml:space="preserve">到 </w:t>
      </w:r>
      <w:r>
        <w:rPr>
          <w:sz w:val="32"/>
        </w:rPr>
        <w:t>168</w:t>
      </w:r>
      <w:r>
        <w:rPr>
          <w:spacing w:val="-39"/>
          <w:sz w:val="32"/>
        </w:rPr>
        <w:t xml:space="preserve"> 个。</w:t>
      </w:r>
      <w:r>
        <w:rPr>
          <w:b/>
          <w:spacing w:val="-4"/>
          <w:sz w:val="32"/>
        </w:rPr>
        <w:t>城乡统筹持续深化。</w:t>
      </w:r>
      <w:r>
        <w:rPr>
          <w:spacing w:val="-10"/>
          <w:sz w:val="32"/>
        </w:rPr>
        <w:t>做好“多规合一”工作，完成</w:t>
      </w:r>
    </w:p>
    <w:p>
      <w:pPr>
        <w:pStyle w:val="3"/>
        <w:spacing w:before="139"/>
      </w:pPr>
      <w:r>
        <w:rPr>
          <w:w w:val="99"/>
        </w:rPr>
        <w:t>全市</w:t>
      </w:r>
      <w:r>
        <w:rPr>
          <w:spacing w:val="-79"/>
        </w:rPr>
        <w:t xml:space="preserve"> </w:t>
      </w:r>
      <w:r>
        <w:rPr>
          <w:spacing w:val="1"/>
          <w:w w:val="99"/>
        </w:rPr>
        <w:t>1</w:t>
      </w:r>
      <w:r>
        <w:rPr>
          <w:w w:val="99"/>
        </w:rPr>
        <w:t>7</w:t>
      </w:r>
      <w:r>
        <w:rPr>
          <w:spacing w:val="-82"/>
        </w:rPr>
        <w:t xml:space="preserve"> </w:t>
      </w:r>
      <w:r>
        <w:rPr>
          <w:spacing w:val="-6"/>
          <w:w w:val="99"/>
        </w:rPr>
        <w:t>个镇总体规划编制。大力实施农村“五化</w:t>
      </w:r>
      <w:r>
        <w:rPr>
          <w:spacing w:val="-39"/>
          <w:w w:val="99"/>
        </w:rPr>
        <w:t>”“七改”工</w:t>
      </w:r>
    </w:p>
    <w:p>
      <w:pPr>
        <w:pStyle w:val="3"/>
        <w:spacing w:before="151"/>
      </w:pPr>
      <w:r>
        <w:rPr>
          <w:spacing w:val="-4"/>
        </w:rPr>
        <w:t xml:space="preserve">程。深入开展镇域路域环境整治，累计投入资金 </w:t>
      </w:r>
      <w:r>
        <w:t>1.86</w:t>
      </w:r>
      <w:r>
        <w:rPr>
          <w:spacing w:val="-20"/>
        </w:rPr>
        <w:t xml:space="preserve"> 亿元，</w:t>
      </w:r>
    </w:p>
    <w:p>
      <w:pPr>
        <w:pStyle w:val="3"/>
        <w:spacing w:before="149"/>
      </w:pPr>
      <w:r>
        <w:rPr>
          <w:spacing w:val="-17"/>
        </w:rPr>
        <w:t xml:space="preserve">路面硬化 </w:t>
      </w:r>
      <w:r>
        <w:t>81</w:t>
      </w:r>
      <w:r>
        <w:rPr>
          <w:spacing w:val="-24"/>
        </w:rPr>
        <w:t xml:space="preserve"> 万平方米，立面改造 </w:t>
      </w:r>
      <w:r>
        <w:t>34</w:t>
      </w:r>
      <w:r>
        <w:rPr>
          <w:spacing w:val="-16"/>
        </w:rPr>
        <w:t xml:space="preserve"> 万平方米，打造生态街巷</w:t>
      </w:r>
    </w:p>
    <w:p>
      <w:pPr>
        <w:pStyle w:val="3"/>
        <w:spacing w:before="150" w:line="328" w:lineRule="auto"/>
        <w:ind w:right="401"/>
        <w:jc w:val="both"/>
      </w:pPr>
      <w:r>
        <w:t>233</w:t>
      </w:r>
      <w:r>
        <w:rPr>
          <w:spacing w:val="-25"/>
        </w:rPr>
        <w:t xml:space="preserve"> 条，示范片区 </w:t>
      </w:r>
      <w:r>
        <w:t>44</w:t>
      </w:r>
      <w:r>
        <w:rPr>
          <w:spacing w:val="-24"/>
        </w:rPr>
        <w:t xml:space="preserve"> 个，示范路段 </w:t>
      </w:r>
      <w:r>
        <w:t>72</w:t>
      </w:r>
      <w:r>
        <w:rPr>
          <w:spacing w:val="-25"/>
        </w:rPr>
        <w:t xml:space="preserve"> 条，超额完成 </w:t>
      </w:r>
      <w:r>
        <w:t>410</w:t>
      </w:r>
      <w:r>
        <w:rPr>
          <w:spacing w:val="-28"/>
        </w:rPr>
        <w:t xml:space="preserve"> 座农</w:t>
      </w:r>
      <w:r>
        <w:rPr>
          <w:spacing w:val="-19"/>
          <w:w w:val="95"/>
        </w:rPr>
        <w:t xml:space="preserve">村公厕建设任务。成功创建全省城乡公交一体化示范县，新能 </w:t>
      </w:r>
      <w:r>
        <w:rPr>
          <w:spacing w:val="-19"/>
          <w:position w:val="1"/>
        </w:rPr>
        <w:t>源和清洁能源公交车占比达</w:t>
      </w:r>
      <w:r>
        <w:rPr>
          <w:spacing w:val="-86"/>
          <w:position w:val="1"/>
        </w:rPr>
        <w:t xml:space="preserve"> </w:t>
      </w:r>
      <w:r>
        <w:rPr>
          <w:spacing w:val="6"/>
          <w:position w:val="1"/>
        </w:rPr>
        <w:t>79</w:t>
      </w:r>
      <w:r>
        <w:rPr>
          <w:spacing w:val="11"/>
          <w:w w:val="99"/>
        </w:rPr>
        <w:drawing>
          <wp:inline distT="0" distB="0" distL="0" distR="0">
            <wp:extent cx="85090" cy="154940"/>
            <wp:effectExtent l="0" t="0" r="0" b="0"/>
            <wp:docPr id="3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7"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position w:val="1"/>
        </w:rPr>
        <w:t>。城乡一体化供水人口达</w:t>
      </w:r>
      <w:r>
        <w:rPr>
          <w:spacing w:val="-84"/>
          <w:position w:val="1"/>
        </w:rPr>
        <w:t xml:space="preserve"> </w:t>
      </w:r>
      <w:r>
        <w:rPr>
          <w:position w:val="1"/>
        </w:rPr>
        <w:t xml:space="preserve">165 </w:t>
      </w:r>
      <w:r>
        <w:t>万人，位列全省县级首位。</w:t>
      </w:r>
    </w:p>
    <w:p>
      <w:pPr>
        <w:pStyle w:val="2"/>
        <w:rPr>
          <w:rFonts w:hint="eastAsia" w:ascii="仿宋_GB2312" w:hAnsi="仿宋_GB2312" w:eastAsia="仿宋_GB2312"/>
          <w:b w:val="0"/>
        </w:rPr>
      </w:pPr>
      <w:r>
        <w:rPr>
          <w:rFonts w:ascii="Times New Roman" w:hAnsi="Times New Roman" w:eastAsia="Times New Roman"/>
          <w:spacing w:val="4"/>
          <w:w w:val="95"/>
        </w:rPr>
        <w:t>——</w:t>
      </w:r>
      <w:r>
        <w:rPr>
          <w:spacing w:val="9"/>
          <w:w w:val="95"/>
        </w:rPr>
        <w:t>民生福祉达到更高水平。</w:t>
      </w:r>
      <w:r>
        <w:rPr>
          <w:rFonts w:hint="eastAsia" w:ascii="仿宋_GB2312" w:hAnsi="仿宋_GB2312" w:eastAsia="仿宋_GB2312"/>
          <w:spacing w:val="8"/>
          <w:w w:val="95"/>
        </w:rPr>
        <w:t>绝对贫困基本消除。</w:t>
      </w:r>
      <w:r>
        <w:rPr>
          <w:rFonts w:hint="eastAsia" w:ascii="仿宋_GB2312" w:hAnsi="仿宋_GB2312" w:eastAsia="仿宋_GB2312"/>
          <w:b w:val="0"/>
          <w:spacing w:val="3"/>
          <w:w w:val="95"/>
        </w:rPr>
        <w:t>累计</w:t>
      </w:r>
    </w:p>
    <w:p>
      <w:pPr>
        <w:pStyle w:val="3"/>
        <w:spacing w:before="76" w:line="326" w:lineRule="auto"/>
        <w:ind w:right="399"/>
        <w:jc w:val="both"/>
        <w:rPr>
          <w:b/>
        </w:rPr>
      </w:pPr>
      <w:r>
        <w:rPr>
          <w:spacing w:val="-10"/>
        </w:rPr>
        <w:t xml:space="preserve">投入专项扶贫资金 </w:t>
      </w:r>
      <w:r>
        <w:t>2.1</w:t>
      </w:r>
      <w:r>
        <w:rPr>
          <w:spacing w:val="-16"/>
        </w:rPr>
        <w:t xml:space="preserve"> 亿元，实施产业扶贫项目 </w:t>
      </w:r>
      <w:r>
        <w:t>232</w:t>
      </w:r>
      <w:r>
        <w:rPr>
          <w:spacing w:val="-29"/>
        </w:rPr>
        <w:t xml:space="preserve"> 个，</w:t>
      </w:r>
      <w:r>
        <w:t xml:space="preserve">5.3 </w:t>
      </w:r>
      <w:r>
        <w:rPr>
          <w:spacing w:val="-10"/>
          <w:w w:val="95"/>
        </w:rPr>
        <w:t>万贫困人口稳定脱贫，代表枣庄市顺利通过省评估验收。</w:t>
      </w:r>
      <w:r>
        <w:rPr>
          <w:b/>
          <w:w w:val="95"/>
        </w:rPr>
        <w:t xml:space="preserve">稳就 </w:t>
      </w:r>
      <w:r>
        <w:rPr>
          <w:b/>
          <w:spacing w:val="8"/>
          <w:w w:val="95"/>
        </w:rPr>
        <w:t>业扎实推进。</w:t>
      </w:r>
      <w:r>
        <w:rPr>
          <w:spacing w:val="6"/>
          <w:w w:val="95"/>
        </w:rPr>
        <w:t xml:space="preserve">全市城镇累计新增就业和农村劳动力转移就业 </w:t>
      </w:r>
      <w:r>
        <w:rPr>
          <w:spacing w:val="6"/>
          <w:position w:val="1"/>
        </w:rPr>
        <w:t>20</w:t>
      </w:r>
      <w:r>
        <w:rPr>
          <w:spacing w:val="-83"/>
          <w:position w:val="1"/>
        </w:rPr>
        <w:t xml:space="preserve"> </w:t>
      </w:r>
      <w:r>
        <w:rPr>
          <w:spacing w:val="5"/>
          <w:position w:val="1"/>
        </w:rPr>
        <w:t>万</w:t>
      </w:r>
      <w:r>
        <w:rPr>
          <w:spacing w:val="7"/>
          <w:position w:val="1"/>
        </w:rPr>
        <w:t>人</w:t>
      </w:r>
      <w:r>
        <w:rPr>
          <w:spacing w:val="5"/>
          <w:position w:val="1"/>
        </w:rPr>
        <w:t>。城镇</w:t>
      </w:r>
      <w:r>
        <w:rPr>
          <w:spacing w:val="7"/>
          <w:position w:val="1"/>
        </w:rPr>
        <w:t>失</w:t>
      </w:r>
      <w:r>
        <w:rPr>
          <w:spacing w:val="5"/>
          <w:position w:val="1"/>
        </w:rPr>
        <w:t>业登</w:t>
      </w:r>
      <w:r>
        <w:rPr>
          <w:spacing w:val="7"/>
          <w:position w:val="1"/>
        </w:rPr>
        <w:t>记</w:t>
      </w:r>
      <w:r>
        <w:rPr>
          <w:position w:val="1"/>
        </w:rPr>
        <w:t>率</w:t>
      </w:r>
      <w:r>
        <w:rPr>
          <w:spacing w:val="-80"/>
          <w:position w:val="1"/>
        </w:rPr>
        <w:t xml:space="preserve"> </w:t>
      </w:r>
      <w:r>
        <w:rPr>
          <w:spacing w:val="2"/>
          <w:position w:val="1"/>
        </w:rPr>
        <w:t>2.86</w:t>
      </w:r>
      <w:r>
        <w:rPr>
          <w:spacing w:val="11"/>
          <w:w w:val="99"/>
        </w:rPr>
        <w:drawing>
          <wp:inline distT="0" distB="0" distL="0" distR="0">
            <wp:extent cx="85090" cy="154940"/>
            <wp:effectExtent l="0" t="0" r="0" b="0"/>
            <wp:docPr id="39"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9"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position w:val="1"/>
        </w:rPr>
        <w:t>，</w:t>
      </w:r>
      <w:r>
        <w:rPr>
          <w:spacing w:val="7"/>
          <w:position w:val="1"/>
        </w:rPr>
        <w:t>低</w:t>
      </w:r>
      <w:r>
        <w:rPr>
          <w:position w:val="1"/>
        </w:rPr>
        <w:t>于</w:t>
      </w:r>
      <w:r>
        <w:rPr>
          <w:spacing w:val="-80"/>
          <w:position w:val="1"/>
        </w:rPr>
        <w:t xml:space="preserve"> </w:t>
      </w:r>
      <w:r>
        <w:rPr>
          <w:spacing w:val="3"/>
          <w:position w:val="1"/>
        </w:rPr>
        <w:t>3.5</w:t>
      </w:r>
      <w:r>
        <w:rPr>
          <w:spacing w:val="8"/>
          <w:w w:val="99"/>
        </w:rPr>
        <w:drawing>
          <wp:inline distT="0" distB="0" distL="0" distR="0">
            <wp:extent cx="85090" cy="154940"/>
            <wp:effectExtent l="0" t="0" r="0" b="0"/>
            <wp:docPr id="41"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1"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w w:val="95"/>
          <w:position w:val="1"/>
        </w:rPr>
        <w:t>的</w:t>
      </w:r>
      <w:r>
        <w:rPr>
          <w:spacing w:val="7"/>
          <w:w w:val="95"/>
          <w:position w:val="1"/>
        </w:rPr>
        <w:t>调</w:t>
      </w:r>
      <w:r>
        <w:rPr>
          <w:spacing w:val="5"/>
          <w:w w:val="95"/>
          <w:position w:val="1"/>
        </w:rPr>
        <w:t>控目标</w:t>
      </w:r>
      <w:r>
        <w:rPr>
          <w:spacing w:val="7"/>
          <w:w w:val="95"/>
          <w:position w:val="1"/>
        </w:rPr>
        <w:t>。</w:t>
      </w:r>
      <w:r>
        <w:rPr>
          <w:b/>
          <w:w w:val="95"/>
          <w:position w:val="1"/>
        </w:rPr>
        <w:t>社</w:t>
      </w:r>
    </w:p>
    <w:p>
      <w:pPr>
        <w:spacing w:before="9"/>
        <w:ind w:left="321" w:right="0" w:firstLine="0"/>
        <w:jc w:val="left"/>
        <w:rPr>
          <w:sz w:val="32"/>
        </w:rPr>
      </w:pPr>
      <w:r>
        <w:rPr>
          <w:b/>
          <w:spacing w:val="-9"/>
          <w:sz w:val="32"/>
        </w:rPr>
        <w:t>保范围持续扩大。</w:t>
      </w:r>
      <w:r>
        <w:rPr>
          <w:spacing w:val="-8"/>
          <w:sz w:val="32"/>
        </w:rPr>
        <w:t xml:space="preserve">新增城镇职工参保人员 </w:t>
      </w:r>
      <w:r>
        <w:rPr>
          <w:sz w:val="32"/>
        </w:rPr>
        <w:t>5</w:t>
      </w:r>
      <w:r>
        <w:rPr>
          <w:spacing w:val="-19"/>
          <w:sz w:val="32"/>
        </w:rPr>
        <w:t xml:space="preserve"> 万余人，企业退休</w:t>
      </w:r>
    </w:p>
    <w:p>
      <w:pPr>
        <w:pStyle w:val="3"/>
        <w:spacing w:before="151"/>
      </w:pPr>
      <w:r>
        <w:rPr>
          <w:spacing w:val="-9"/>
        </w:rPr>
        <w:t xml:space="preserve">人员月人均养老金达 </w:t>
      </w:r>
      <w:r>
        <w:t>2407</w:t>
      </w:r>
      <w:r>
        <w:rPr>
          <w:spacing w:val="-10"/>
        </w:rPr>
        <w:t xml:space="preserve"> 元，城乡居民月人均基础养老金达</w:t>
      </w:r>
    </w:p>
    <w:p>
      <w:pPr>
        <w:pStyle w:val="3"/>
        <w:spacing w:before="150"/>
      </w:pPr>
      <w:r>
        <w:t>118</w:t>
      </w:r>
      <w:r>
        <w:rPr>
          <w:spacing w:val="-10"/>
        </w:rPr>
        <w:t xml:space="preserve"> 元，农村低保标准提高到每人每年 </w:t>
      </w:r>
      <w:r>
        <w:t>4320</w:t>
      </w:r>
      <w:r>
        <w:rPr>
          <w:spacing w:val="-7"/>
        </w:rPr>
        <w:t xml:space="preserve"> 元，城市低保提</w:t>
      </w:r>
    </w:p>
    <w:p>
      <w:pPr>
        <w:pStyle w:val="3"/>
        <w:spacing w:before="149" w:line="328" w:lineRule="auto"/>
        <w:ind w:right="398"/>
      </w:pPr>
      <w:r>
        <w:rPr>
          <w:spacing w:val="-11"/>
        </w:rPr>
        <w:t xml:space="preserve">高到每人每年 </w:t>
      </w:r>
      <w:r>
        <w:t>6000</w:t>
      </w:r>
      <w:r>
        <w:rPr>
          <w:spacing w:val="-9"/>
        </w:rPr>
        <w:t xml:space="preserve"> 元，城乡特困人员供养金分别达到每人每</w:t>
      </w:r>
      <w:r>
        <w:rPr>
          <w:spacing w:val="-48"/>
        </w:rPr>
        <w:t xml:space="preserve">年 </w:t>
      </w:r>
      <w:r>
        <w:t>9000</w:t>
      </w:r>
      <w:r>
        <w:rPr>
          <w:spacing w:val="-36"/>
        </w:rPr>
        <w:t>、</w:t>
      </w:r>
      <w:r>
        <w:t>5616</w:t>
      </w:r>
      <w:r>
        <w:rPr>
          <w:spacing w:val="-40"/>
        </w:rPr>
        <w:t xml:space="preserve"> 元。</w:t>
      </w:r>
      <w:r>
        <w:rPr>
          <w:b/>
          <w:spacing w:val="-4"/>
        </w:rPr>
        <w:t>教育质量稳步提升。</w:t>
      </w:r>
      <w:r>
        <w:rPr>
          <w:spacing w:val="-17"/>
        </w:rPr>
        <w:t xml:space="preserve">累计投入 </w:t>
      </w:r>
      <w:r>
        <w:t>29</w:t>
      </w:r>
      <w:r>
        <w:rPr>
          <w:spacing w:val="-25"/>
        </w:rPr>
        <w:t xml:space="preserve"> 亿元，新</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rPr>
          <w:spacing w:val="-7"/>
        </w:rPr>
        <w:t xml:space="preserve">建改建农村学校 </w:t>
      </w:r>
      <w:r>
        <w:t>58</w:t>
      </w:r>
      <w:r>
        <w:rPr>
          <w:spacing w:val="-18"/>
        </w:rPr>
        <w:t xml:space="preserve"> 处、城区学校 </w:t>
      </w:r>
      <w:r>
        <w:t>25</w:t>
      </w:r>
      <w:r>
        <w:rPr>
          <w:spacing w:val="-13"/>
        </w:rPr>
        <w:t xml:space="preserve"> 处，新建改扩建校舍 </w:t>
      </w:r>
      <w:r>
        <w:t>70</w:t>
      </w:r>
    </w:p>
    <w:p>
      <w:pPr>
        <w:pStyle w:val="3"/>
        <w:spacing w:before="152"/>
      </w:pPr>
      <w:r>
        <w:rPr>
          <w:spacing w:val="-16"/>
        </w:rPr>
        <w:t xml:space="preserve">万平方米，新增学位 </w:t>
      </w:r>
      <w:r>
        <w:t>3.6</w:t>
      </w:r>
      <w:r>
        <w:rPr>
          <w:spacing w:val="-15"/>
        </w:rPr>
        <w:t xml:space="preserve"> 万个，在全省率先完成中小学“大班</w:t>
      </w:r>
    </w:p>
    <w:p>
      <w:pPr>
        <w:pStyle w:val="3"/>
        <w:spacing w:before="149"/>
      </w:pPr>
      <w:r>
        <w:t>额”清零任务；新建改扩建幼儿园 157 处，创建省级示范园、</w:t>
      </w:r>
    </w:p>
    <w:p>
      <w:pPr>
        <w:pStyle w:val="3"/>
        <w:spacing w:before="149" w:line="328" w:lineRule="auto"/>
        <w:ind w:right="394"/>
        <w:jc w:val="both"/>
      </w:pPr>
      <w:r>
        <w:rPr>
          <w:spacing w:val="-19"/>
        </w:rPr>
        <w:t xml:space="preserve">中心园 </w:t>
      </w:r>
      <w:r>
        <w:t>62</w:t>
      </w:r>
      <w:r>
        <w:rPr>
          <w:spacing w:val="-9"/>
        </w:rPr>
        <w:t xml:space="preserve"> 处，获评全省学前教育改革发展实验区，滕州一中</w:t>
      </w:r>
      <w:r>
        <w:rPr>
          <w:spacing w:val="-17"/>
          <w:w w:val="95"/>
        </w:rPr>
        <w:t>入选全国百强中学。</w:t>
      </w:r>
      <w:r>
        <w:rPr>
          <w:b/>
          <w:spacing w:val="-6"/>
          <w:w w:val="95"/>
        </w:rPr>
        <w:t>医养健康保障水平持续提升。</w:t>
      </w:r>
      <w:r>
        <w:rPr>
          <w:w w:val="95"/>
        </w:rPr>
        <w:t xml:space="preserve">医药卫生体 </w:t>
      </w:r>
      <w:r>
        <w:t>制改革持续深化</w:t>
      </w:r>
      <w:r>
        <w:rPr>
          <w:spacing w:val="-27"/>
        </w:rPr>
        <w:t>，</w:t>
      </w:r>
      <w:r>
        <w:t>县域就诊率近</w:t>
      </w:r>
      <w:r>
        <w:rPr>
          <w:spacing w:val="-88"/>
        </w:rPr>
        <w:t xml:space="preserve"> </w:t>
      </w:r>
      <w:r>
        <w:rPr>
          <w:spacing w:val="6"/>
        </w:rPr>
        <w:t>96</w:t>
      </w:r>
      <w:r>
        <w:rPr>
          <w:spacing w:val="11"/>
          <w:w w:val="99"/>
        </w:rPr>
        <w:drawing>
          <wp:inline distT="0" distB="0" distL="0" distR="0">
            <wp:extent cx="85090" cy="154940"/>
            <wp:effectExtent l="0" t="0" r="0" b="0"/>
            <wp:docPr id="4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3"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27"/>
        </w:rPr>
        <w:t>，</w:t>
      </w:r>
      <w:r>
        <w:t>入选全国紧密型县域医</w:t>
      </w:r>
      <w:r>
        <w:rPr>
          <w:spacing w:val="-11"/>
        </w:rPr>
        <w:t>共体建设试点、国家慢性病综合防控示范区，市中心人民医院</w:t>
      </w:r>
      <w:r>
        <w:rPr>
          <w:spacing w:val="-17"/>
        </w:rPr>
        <w:t>通过三级甲等综合医院复审，综合实力稳居全国县级医院百强</w:t>
      </w:r>
      <w:r>
        <w:rPr>
          <w:spacing w:val="-48"/>
        </w:rPr>
        <w:t xml:space="preserve">前 </w:t>
      </w:r>
      <w:r>
        <w:t>10</w:t>
      </w:r>
      <w:r>
        <w:rPr>
          <w:spacing w:val="-9"/>
        </w:rPr>
        <w:t xml:space="preserve"> 名，市中医医院成功创建三级甲等中医医院，中医治未</w:t>
      </w:r>
      <w:r>
        <w:rPr>
          <w:spacing w:val="-15"/>
        </w:rPr>
        <w:t>病中心进入试运营，市妇幼保健院成功创建三级乙等妇幼保健</w:t>
      </w:r>
      <w:r>
        <w:rPr>
          <w:spacing w:val="-14"/>
        </w:rPr>
        <w:t xml:space="preserve">院。规模养老机构发展到 </w:t>
      </w:r>
      <w:r>
        <w:t>29</w:t>
      </w:r>
      <w:r>
        <w:rPr>
          <w:spacing w:val="-17"/>
        </w:rPr>
        <w:t xml:space="preserve"> 个，城市日间照料中心发展到 </w:t>
      </w:r>
      <w:r>
        <w:t>22</w:t>
      </w:r>
    </w:p>
    <w:p>
      <w:pPr>
        <w:pStyle w:val="3"/>
        <w:spacing w:line="397" w:lineRule="exact"/>
        <w:rPr>
          <w:b/>
        </w:rPr>
      </w:pPr>
      <w:r>
        <w:rPr>
          <w:spacing w:val="-15"/>
        </w:rPr>
        <w:t xml:space="preserve">个，农村幸福院发展到 </w:t>
      </w:r>
      <w:r>
        <w:t>63</w:t>
      </w:r>
      <w:r>
        <w:rPr>
          <w:spacing w:val="-23"/>
        </w:rPr>
        <w:t xml:space="preserve"> 个，养老床位累计 </w:t>
      </w:r>
      <w:r>
        <w:t>7000</w:t>
      </w:r>
      <w:r>
        <w:rPr>
          <w:spacing w:val="-44"/>
        </w:rPr>
        <w:t xml:space="preserve"> 张。</w:t>
      </w:r>
      <w:r>
        <w:rPr>
          <w:b/>
        </w:rPr>
        <w:t>文化体</w:t>
      </w:r>
    </w:p>
    <w:p>
      <w:pPr>
        <w:pStyle w:val="3"/>
        <w:spacing w:before="149" w:line="328" w:lineRule="auto"/>
        <w:ind w:right="230"/>
      </w:pPr>
      <w:r>
        <w:rPr>
          <w:b/>
          <w:spacing w:val="-18"/>
        </w:rPr>
        <w:t>育事业全面发展。</w:t>
      </w:r>
      <w:r>
        <w:t>岗上遗址成功晋升第八批全国重点文物保护</w:t>
      </w:r>
      <w:r>
        <w:rPr>
          <w:spacing w:val="-12"/>
        </w:rPr>
        <w:t>单位，鲁中南文物保护考古研究中心成功落户滕州，市博物馆</w:t>
      </w:r>
      <w:r>
        <w:rPr>
          <w:spacing w:val="-15"/>
        </w:rPr>
        <w:t>新馆建成开放。滕州博物馆、汉画像石馆晋级国家一级馆，王</w:t>
      </w:r>
      <w:r>
        <w:rPr>
          <w:spacing w:val="-13"/>
        </w:rPr>
        <w:t>学仲艺术馆、墨子研究博物馆</w:t>
      </w:r>
      <w:r>
        <w:t>（</w:t>
      </w:r>
      <w:r>
        <w:rPr>
          <w:spacing w:val="-9"/>
        </w:rPr>
        <w:t>墨子纪念馆、鲁班纪念馆、墨砚馆</w:t>
      </w:r>
      <w:r>
        <w:rPr>
          <w:spacing w:val="-43"/>
        </w:rPr>
        <w:t>）</w:t>
      </w:r>
      <w:r>
        <w:rPr>
          <w:spacing w:val="-10"/>
        </w:rPr>
        <w:t>晋级国家二级馆。镇街、村居综合性文化服务中心实现</w:t>
      </w:r>
      <w:r>
        <w:rPr>
          <w:spacing w:val="-13"/>
        </w:rPr>
        <w:t>全覆盖，获评“中华优秀传统文化传承发展示范区”“中国文</w:t>
      </w:r>
      <w:r>
        <w:rPr>
          <w:spacing w:val="-17"/>
        </w:rPr>
        <w:t>旅融合创新示范城市”。体育中心游泳馆建成使用，新建社会</w:t>
      </w:r>
      <w:r>
        <w:rPr>
          <w:spacing w:val="-31"/>
        </w:rPr>
        <w:t xml:space="preserve">足球场地 </w:t>
      </w:r>
      <w:r>
        <w:t>21</w:t>
      </w:r>
      <w:r>
        <w:rPr>
          <w:spacing w:val="-18"/>
        </w:rPr>
        <w:t xml:space="preserve"> 块，新增各类体育俱乐部健身场馆 </w:t>
      </w:r>
      <w:r>
        <w:t>39</w:t>
      </w:r>
      <w:r>
        <w:rPr>
          <w:spacing w:val="-26"/>
        </w:rPr>
        <w:t xml:space="preserve"> 家，新建社</w:t>
      </w:r>
      <w:r>
        <w:rPr>
          <w:spacing w:val="-26"/>
          <w:position w:val="1"/>
        </w:rPr>
        <w:t>区体育设施覆盖率</w:t>
      </w:r>
      <w:r>
        <w:rPr>
          <w:spacing w:val="-103"/>
          <w:position w:val="1"/>
        </w:rPr>
        <w:t xml:space="preserve"> </w:t>
      </w:r>
      <w:r>
        <w:rPr>
          <w:spacing w:val="3"/>
          <w:position w:val="1"/>
        </w:rPr>
        <w:t>100</w:t>
      </w:r>
      <w:r>
        <w:rPr>
          <w:spacing w:val="8"/>
          <w:w w:val="99"/>
        </w:rPr>
        <w:drawing>
          <wp:inline distT="0" distB="0" distL="0" distR="0">
            <wp:extent cx="85090" cy="154940"/>
            <wp:effectExtent l="0" t="0" r="0" b="0"/>
            <wp:docPr id="45"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5"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159"/>
          <w:position w:val="1"/>
        </w:rPr>
        <w:t>，</w:t>
      </w:r>
      <w:r>
        <w:rPr>
          <w:position w:val="1"/>
        </w:rPr>
        <w:t>人均体育场地面积达到</w:t>
      </w:r>
      <w:r>
        <w:rPr>
          <w:spacing w:val="-103"/>
          <w:position w:val="1"/>
        </w:rPr>
        <w:t xml:space="preserve"> </w:t>
      </w:r>
      <w:r>
        <w:rPr>
          <w:position w:val="1"/>
        </w:rPr>
        <w:t>2.18</w:t>
      </w:r>
      <w:r>
        <w:rPr>
          <w:spacing w:val="-101"/>
          <w:position w:val="1"/>
        </w:rPr>
        <w:t xml:space="preserve"> </w:t>
      </w:r>
      <w:r>
        <w:rPr>
          <w:position w:val="1"/>
        </w:rPr>
        <w:t>平方米。</w:t>
      </w:r>
      <w:r>
        <w:rPr>
          <w:spacing w:val="-20"/>
        </w:rPr>
        <w:t>国防动员、档案史志、地震气象、公安、消防救援、民族宗教、</w:t>
      </w:r>
      <w:r>
        <w:rPr>
          <w:spacing w:val="-26"/>
          <w:w w:val="95"/>
        </w:rPr>
        <w:t>工会、共青团、妇女儿童、残疾、科协等各项事业取得长足进步。</w:t>
      </w:r>
    </w:p>
    <w:p>
      <w:pPr>
        <w:spacing w:after="0" w:line="328" w:lineRule="auto"/>
        <w:sectPr>
          <w:pgSz w:w="11910" w:h="16840"/>
          <w:pgMar w:top="1580" w:right="1300" w:bottom="1540" w:left="1380" w:header="0" w:footer="1277" w:gutter="0"/>
          <w:cols w:space="720" w:num="1"/>
        </w:sectPr>
      </w:pPr>
    </w:p>
    <w:p>
      <w:pPr>
        <w:pStyle w:val="3"/>
        <w:spacing w:before="10"/>
        <w:ind w:left="0"/>
        <w:rPr>
          <w:sz w:val="13"/>
        </w:rPr>
      </w:pPr>
    </w:p>
    <w:p>
      <w:pPr>
        <w:pStyle w:val="3"/>
        <w:tabs>
          <w:tab w:val="left" w:pos="1279"/>
        </w:tabs>
        <w:spacing w:before="54"/>
        <w:ind w:left="0" w:right="80"/>
        <w:jc w:val="center"/>
        <w:rPr>
          <w:rFonts w:hint="eastAsia" w:ascii="宋体" w:eastAsia="宋体"/>
        </w:rPr>
      </w:pPr>
      <w:bookmarkStart w:id="4" w:name="第二节  新发展阶段面临新形势新机遇新挑战"/>
      <w:bookmarkEnd w:id="4"/>
      <w:r>
        <w:rPr>
          <w:rFonts w:hint="eastAsia" w:ascii="宋体" w:eastAsia="宋体"/>
        </w:rPr>
        <w:t>第二节</w:t>
      </w:r>
      <w:r>
        <w:rPr>
          <w:rFonts w:hint="eastAsia" w:ascii="宋体" w:eastAsia="宋体"/>
        </w:rPr>
        <w:tab/>
      </w:r>
      <w:r>
        <w:rPr>
          <w:rFonts w:hint="eastAsia" w:ascii="宋体" w:eastAsia="宋体"/>
        </w:rPr>
        <w:t>新发展阶段面临新形势新机遇新挑战</w:t>
      </w:r>
    </w:p>
    <w:p>
      <w:pPr>
        <w:pStyle w:val="3"/>
        <w:spacing w:before="152" w:line="326" w:lineRule="auto"/>
        <w:ind w:right="399" w:firstLine="638"/>
        <w:jc w:val="both"/>
      </w:pPr>
      <w:r>
        <w:rPr>
          <w:spacing w:val="-12"/>
        </w:rPr>
        <w:t>“十四五”时期，国际国内环境面临深刻复杂变化，处于</w:t>
      </w:r>
      <w:r>
        <w:rPr>
          <w:spacing w:val="-17"/>
        </w:rPr>
        <w:t>跨越式发展的特殊历史节点，滕州经济社会发展面临一系列新形势、新机遇、新挑战。</w:t>
      </w:r>
    </w:p>
    <w:p>
      <w:pPr>
        <w:pStyle w:val="3"/>
        <w:spacing w:before="7" w:line="328" w:lineRule="auto"/>
        <w:ind w:right="242" w:firstLine="638"/>
      </w:pPr>
      <w:r>
        <w:rPr>
          <w:b/>
          <w:spacing w:val="9"/>
        </w:rPr>
        <w:t>从国内外形势环境看，</w:t>
      </w:r>
      <w:r>
        <w:rPr>
          <w:spacing w:val="6"/>
        </w:rPr>
        <w:t>当今世界正经历百年未有之大变</w:t>
      </w:r>
      <w:r>
        <w:rPr>
          <w:spacing w:val="-12"/>
        </w:rPr>
        <w:t>局，新一轮科技革命和产业变革蓬勃兴起，和平与发展仍是时</w:t>
      </w:r>
      <w:r>
        <w:rPr>
          <w:spacing w:val="-14"/>
        </w:rPr>
        <w:t>代主题，同时不稳定性不确定性因素明显增多，重大疫情影响</w:t>
      </w:r>
      <w:r>
        <w:rPr>
          <w:spacing w:val="-20"/>
          <w:w w:val="95"/>
        </w:rPr>
        <w:t xml:space="preserve">深远，全球进入动荡变革期；当前我国进入高质量发展新阶段， </w:t>
      </w:r>
      <w:r>
        <w:rPr>
          <w:spacing w:val="-21"/>
        </w:rPr>
        <w:t xml:space="preserve">一系列重大战略相继落地，立足国内超大市场优势，构建起以国内大循环为主体、国内国际双循环相互促进的新发展格局； </w:t>
      </w:r>
      <w:r>
        <w:rPr>
          <w:spacing w:val="-12"/>
          <w:w w:val="99"/>
        </w:rPr>
        <w:t>山东省聚焦“七个走在前列”“九个强省突破”经济社会发展</w:t>
      </w:r>
      <w:r>
        <w:rPr>
          <w:spacing w:val="-12"/>
        </w:rPr>
        <w:t xml:space="preserve">主要目标，深化实施八大发展战略，聚力突破九大改革攻坚， </w:t>
      </w:r>
      <w:r>
        <w:rPr>
          <w:spacing w:val="-14"/>
        </w:rPr>
        <w:t>做强做优“十强”现代优势产业集群，全面开创新时代现代化</w:t>
      </w:r>
      <w:r>
        <w:rPr>
          <w:spacing w:val="-8"/>
          <w:w w:val="99"/>
        </w:rPr>
        <w:t>强省建设新局面；枣庄市聚焦“先把经济搞上去”，培育壮大</w:t>
      </w:r>
      <w:r>
        <w:rPr>
          <w:spacing w:val="-15"/>
        </w:rPr>
        <w:t>现代产业集群，精心打造品质城市，开启新时代现代化强市建</w:t>
      </w:r>
      <w:r>
        <w:rPr>
          <w:spacing w:val="4"/>
        </w:rPr>
        <w:t>设新征程。</w:t>
      </w:r>
      <w:r>
        <w:rPr>
          <w:b/>
          <w:spacing w:val="5"/>
        </w:rPr>
        <w:t>从面临的发展机遇看，</w:t>
      </w:r>
      <w:r>
        <w:rPr>
          <w:spacing w:val="-44"/>
        </w:rPr>
        <w:t xml:space="preserve">以 </w:t>
      </w:r>
      <w:r>
        <w:t>5G</w:t>
      </w:r>
      <w:r>
        <w:rPr>
          <w:spacing w:val="3"/>
        </w:rPr>
        <w:t>、工业互联网等为代</w:t>
      </w:r>
      <w:r>
        <w:rPr>
          <w:spacing w:val="-11"/>
        </w:rPr>
        <w:t>表的“新基建”加速布局，全球产业链、供应链、价值链和市</w:t>
      </w:r>
      <w:r>
        <w:rPr>
          <w:spacing w:val="-17"/>
        </w:rPr>
        <w:t>场格局迎来新一轮重构；黄河流域生态保护和高质量发展、大</w:t>
      </w:r>
      <w:r>
        <w:rPr>
          <w:spacing w:val="-16"/>
        </w:rPr>
        <w:t>运河文化带、淮河生态经济带等国家重大战略和山东省加快鲁</w:t>
      </w:r>
      <w:r>
        <w:rPr>
          <w:spacing w:val="-19"/>
        </w:rPr>
        <w:t>南经济圈一体化发展区域战略，有利于我市拓展开放发展新空间；枣庄市在“十四五”规划中，提出了构建“一主、一强、</w:t>
      </w:r>
      <w:r>
        <w:rPr>
          <w:spacing w:val="-15"/>
        </w:rPr>
        <w:t>两极、多点”的市域发展格局，把滕州作为“一强”予以重点支持，确保滕州持续走在全省县域经济高质量发展第一方阵。</w:t>
      </w:r>
    </w:p>
    <w:p>
      <w:pPr>
        <w:spacing w:after="0" w:line="328" w:lineRule="auto"/>
        <w:sectPr>
          <w:footerReference r:id="rId7" w:type="default"/>
          <w:footerReference r:id="rId8" w:type="even"/>
          <w:pgSz w:w="11910" w:h="16840"/>
          <w:pgMar w:top="1580" w:right="1300" w:bottom="1540" w:left="1380" w:header="0" w:footer="1346" w:gutter="0"/>
          <w:pgNumType w:start="10"/>
          <w:cols w:space="720" w:num="1"/>
        </w:sectPr>
      </w:pPr>
    </w:p>
    <w:p>
      <w:pPr>
        <w:pStyle w:val="3"/>
        <w:spacing w:before="10"/>
        <w:ind w:left="0"/>
        <w:rPr>
          <w:sz w:val="13"/>
        </w:rPr>
      </w:pPr>
    </w:p>
    <w:p>
      <w:pPr>
        <w:pStyle w:val="3"/>
        <w:spacing w:before="54" w:line="328" w:lineRule="auto"/>
        <w:ind w:right="242"/>
      </w:pPr>
      <w:r>
        <w:rPr>
          <w:spacing w:val="-9"/>
        </w:rPr>
        <w:t>全市广大党员干部群众奋发向上、求变求强，干事创业热情高</w:t>
      </w:r>
      <w:r>
        <w:rPr>
          <w:spacing w:val="-13"/>
        </w:rPr>
        <w:t>涨，为新发展阶段实现更大作为注入强大精神动力。</w:t>
      </w:r>
      <w:r>
        <w:rPr>
          <w:b/>
        </w:rPr>
        <w:t>从面临的</w:t>
      </w:r>
      <w:r>
        <w:rPr>
          <w:b/>
          <w:spacing w:val="-12"/>
        </w:rPr>
        <w:t>风险挑战看，</w:t>
      </w:r>
      <w:r>
        <w:rPr>
          <w:spacing w:val="-7"/>
        </w:rPr>
        <w:t xml:space="preserve">经济发展不确定性增强，对产业链供应链安全提出新挑战；区域竞合态势加速演变，区域竞争环境更加激烈； </w:t>
      </w:r>
      <w:r>
        <w:rPr>
          <w:spacing w:val="-15"/>
        </w:rPr>
        <w:t>资源环境要素约束增强，对加快绿色转型提出新的要求。</w:t>
      </w:r>
      <w:r>
        <w:rPr>
          <w:b/>
        </w:rPr>
        <w:t>从面</w:t>
      </w:r>
      <w:r>
        <w:rPr>
          <w:b/>
          <w:spacing w:val="-9"/>
        </w:rPr>
        <w:t>临的困难问题看，</w:t>
      </w:r>
      <w:r>
        <w:rPr>
          <w:spacing w:val="-5"/>
        </w:rPr>
        <w:t>我市经济社会发展水平有待提升，传统产业</w:t>
      </w:r>
      <w:r>
        <w:rPr>
          <w:spacing w:val="-13"/>
        </w:rPr>
        <w:t>占比高，动能转换任务依然艰巨，科技创新能力有待提高，民</w:t>
      </w:r>
      <w:r>
        <w:rPr>
          <w:spacing w:val="-21"/>
          <w:w w:val="95"/>
        </w:rPr>
        <w:t xml:space="preserve">生领域存有短板，公共服务供给尚有不足，脱贫成果还需巩固， </w:t>
      </w:r>
      <w:r>
        <w:rPr>
          <w:spacing w:val="-17"/>
        </w:rPr>
        <w:t>生态环保、安全生产存在薄弱环节。受疫情防控常态化交迭影</w:t>
      </w:r>
      <w:r>
        <w:rPr>
          <w:spacing w:val="-14"/>
        </w:rPr>
        <w:t>响，发展不平衡、不充分的问题更加凸显。我们要持续贯彻中央、省委、枣庄市委决策部署，深刻认识新发展阶段的新特征新要求，坚定贯彻新发展理念，准确识变、科学应变、主动求变，奋发有为做好自己的事，于变局中开创滕州经济社会发展新局面。</w:t>
      </w:r>
    </w:p>
    <w:p>
      <w:pPr>
        <w:pStyle w:val="3"/>
        <w:tabs>
          <w:tab w:val="left" w:pos="1281"/>
        </w:tabs>
        <w:spacing w:before="40"/>
        <w:ind w:left="0" w:right="80"/>
        <w:jc w:val="center"/>
        <w:rPr>
          <w:rFonts w:hint="eastAsia" w:ascii="宋体" w:eastAsia="宋体"/>
        </w:rPr>
      </w:pPr>
      <w:bookmarkStart w:id="5" w:name="第三节  2035年远景目标"/>
      <w:bookmarkEnd w:id="5"/>
      <w:r>
        <w:rPr>
          <w:rFonts w:hint="eastAsia" w:ascii="宋体" w:eastAsia="宋体"/>
        </w:rPr>
        <w:t>第三节</w:t>
      </w:r>
      <w:r>
        <w:rPr>
          <w:rFonts w:hint="eastAsia" w:ascii="宋体" w:eastAsia="宋体"/>
        </w:rPr>
        <w:tab/>
      </w:r>
      <w:r>
        <w:rPr>
          <w:rFonts w:ascii="Times New Roman" w:eastAsia="Times New Roman"/>
        </w:rPr>
        <w:t>2035</w:t>
      </w:r>
      <w:r>
        <w:rPr>
          <w:rFonts w:ascii="Times New Roman" w:eastAsia="Times New Roman"/>
          <w:spacing w:val="-1"/>
        </w:rPr>
        <w:t xml:space="preserve"> </w:t>
      </w:r>
      <w:r>
        <w:rPr>
          <w:rFonts w:hint="eastAsia" w:ascii="宋体" w:eastAsia="宋体"/>
        </w:rPr>
        <w:t>年远景目标</w:t>
      </w:r>
    </w:p>
    <w:p>
      <w:pPr>
        <w:pStyle w:val="3"/>
        <w:spacing w:before="149" w:line="328" w:lineRule="auto"/>
        <w:ind w:right="398" w:firstLine="638"/>
        <w:jc w:val="both"/>
      </w:pPr>
      <w:r>
        <w:rPr>
          <w:spacing w:val="-9"/>
        </w:rPr>
        <w:t>基本建成新时代现代化强市，综合实力、创新能力、开放</w:t>
      </w:r>
      <w:r>
        <w:rPr>
          <w:spacing w:val="-13"/>
        </w:rPr>
        <w:t>活力、文化软实力大幅跃升，发展质量进入全国县域前列。经</w:t>
      </w:r>
      <w:r>
        <w:rPr>
          <w:spacing w:val="-10"/>
        </w:rPr>
        <w:t>济高质量发展迈上新的大台阶，人均生产总值达到中等发达经</w:t>
      </w:r>
      <w:r>
        <w:rPr>
          <w:spacing w:val="-14"/>
          <w:w w:val="95"/>
        </w:rPr>
        <w:t xml:space="preserve">济体水平，基本实现新型工业化、信息化、城镇化、农业农村 </w:t>
      </w:r>
      <w:r>
        <w:rPr>
          <w:spacing w:val="-15"/>
        </w:rPr>
        <w:t>现代化，形成现代产业体系，建成现代产业强市；基本实现治</w:t>
      </w:r>
      <w:r>
        <w:rPr>
          <w:spacing w:val="-19"/>
          <w:w w:val="95"/>
        </w:rPr>
        <w:t xml:space="preserve">理体系和治理能力现代化，平安滕州建设达到更高水平，基本 </w:t>
      </w:r>
      <w:r>
        <w:rPr>
          <w:spacing w:val="-17"/>
        </w:rPr>
        <w:t>建成法治滕州、法治政府、法治社会；国民素质和社会文明程</w:t>
      </w:r>
      <w:r>
        <w:rPr>
          <w:spacing w:val="-16"/>
          <w:w w:val="95"/>
        </w:rPr>
        <w:t>度达到新高度，建成文化强市、教育强市、人才强市、健康强</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jc w:val="both"/>
      </w:pPr>
      <w:r>
        <w:rPr>
          <w:spacing w:val="-12"/>
        </w:rPr>
        <w:t>市；城乡融合发展水平显著提高，建成现代农业强市、交通强</w:t>
      </w:r>
      <w:r>
        <w:rPr>
          <w:spacing w:val="-13"/>
          <w:w w:val="95"/>
        </w:rPr>
        <w:t xml:space="preserve">市；生态环境根本好转，绿色生产生活方式广泛形成；城乡居 </w:t>
      </w:r>
      <w:r>
        <w:rPr>
          <w:spacing w:val="-17"/>
          <w:w w:val="95"/>
        </w:rPr>
        <w:t xml:space="preserve">民收入迈上新台阶，基本公共服务实现均等化，共同富裕取得 </w:t>
      </w:r>
      <w:r>
        <w:rPr>
          <w:spacing w:val="-17"/>
        </w:rPr>
        <w:t>更为明显的实质性进展，人民生活更加美好。</w:t>
      </w:r>
    </w:p>
    <w:p>
      <w:pPr>
        <w:pStyle w:val="3"/>
        <w:spacing w:before="151"/>
        <w:ind w:left="412"/>
        <w:jc w:val="both"/>
        <w:rPr>
          <w:rFonts w:hint="eastAsia" w:ascii="黑体" w:hAnsi="黑体" w:eastAsia="黑体"/>
        </w:rPr>
      </w:pPr>
      <w:bookmarkStart w:id="6" w:name="第二章  “十四五”时期经济社会发展指导思想和主要目标"/>
      <w:bookmarkEnd w:id="6"/>
      <w:r>
        <w:rPr>
          <w:rFonts w:hint="eastAsia" w:ascii="黑体" w:hAnsi="黑体" w:eastAsia="黑体"/>
        </w:rPr>
        <w:t>第二章 “十四五”时期经济社会发展指导思想和主要目标</w:t>
      </w:r>
    </w:p>
    <w:p>
      <w:pPr>
        <w:pStyle w:val="3"/>
        <w:tabs>
          <w:tab w:val="left" w:pos="1279"/>
        </w:tabs>
        <w:spacing w:before="212"/>
        <w:ind w:left="0" w:right="80"/>
        <w:jc w:val="center"/>
        <w:rPr>
          <w:rFonts w:hint="eastAsia" w:ascii="宋体" w:eastAsia="宋体"/>
        </w:rPr>
      </w:pPr>
      <w:bookmarkStart w:id="7" w:name="第一节  指导思想"/>
      <w:bookmarkEnd w:id="7"/>
      <w:r>
        <w:rPr>
          <w:rFonts w:hint="eastAsia" w:ascii="宋体" w:eastAsia="宋体"/>
        </w:rPr>
        <w:t>第一节</w:t>
      </w:r>
      <w:r>
        <w:rPr>
          <w:rFonts w:hint="eastAsia" w:ascii="宋体" w:eastAsia="宋体"/>
        </w:rPr>
        <w:tab/>
      </w:r>
      <w:r>
        <w:rPr>
          <w:rFonts w:hint="eastAsia" w:ascii="宋体" w:eastAsia="宋体"/>
        </w:rPr>
        <w:t>指导思想</w:t>
      </w:r>
    </w:p>
    <w:p>
      <w:pPr>
        <w:pStyle w:val="3"/>
        <w:spacing w:before="149" w:line="328" w:lineRule="auto"/>
        <w:ind w:right="242" w:firstLine="638"/>
      </w:pPr>
      <w:r>
        <w:rPr>
          <w:spacing w:val="-9"/>
        </w:rPr>
        <w:t>高举中国特色社会主义伟大旗帜，深入贯彻党的十九大和</w:t>
      </w:r>
      <w:r>
        <w:rPr>
          <w:spacing w:val="-15"/>
        </w:rPr>
        <w:t>十九届二中、三中、四中、五中全会精神，坚持以马克思列宁</w:t>
      </w:r>
      <w:r>
        <w:rPr>
          <w:spacing w:val="-20"/>
        </w:rPr>
        <w:t>主义、毛泽东思想、邓小平理论、“三个代表”重要思想、科</w:t>
      </w:r>
      <w:r>
        <w:rPr>
          <w:spacing w:val="-16"/>
        </w:rPr>
        <w:t>学发展观、习近平新时代中国特色社会主义思想为指导，全面</w:t>
      </w:r>
      <w:r>
        <w:rPr>
          <w:spacing w:val="-17"/>
        </w:rPr>
        <w:t>贯彻党的基本理论、基本路线、基本方略，统筹推进“五位一</w:t>
      </w:r>
      <w:r>
        <w:rPr>
          <w:spacing w:val="-13"/>
        </w:rPr>
        <w:t>体”总体布局，协调推进“四个全面”战略布局，全面贯彻新</w:t>
      </w:r>
      <w:r>
        <w:rPr>
          <w:spacing w:val="-16"/>
        </w:rPr>
        <w:t>发展理念，坚持稳中求进工作总基调，以深化供给侧结构性改革为主线，以改革创新为根本动力，以满足人民日益增长的美</w:t>
      </w:r>
      <w:r>
        <w:rPr>
          <w:spacing w:val="-19"/>
        </w:rPr>
        <w:t>好生活需要为根本目的，把牢高质量发展主题，锚定高品质生</w:t>
      </w:r>
      <w:r>
        <w:rPr>
          <w:spacing w:val="-16"/>
        </w:rPr>
        <w:t>活目标，深化高水平对外开放，强化高效能治理保障，扭住高</w:t>
      </w:r>
      <w:r>
        <w:rPr>
          <w:spacing w:val="-21"/>
          <w:w w:val="95"/>
        </w:rPr>
        <w:t xml:space="preserve">标准安全关键，夯实高素质干部队伍基础，大力实施产业强市、 </w:t>
      </w:r>
      <w:r>
        <w:rPr>
          <w:spacing w:val="-16"/>
        </w:rPr>
        <w:t>创新驱动、城乡融合、绿色发展、民生优先五大战略，在新发</w:t>
      </w:r>
      <w:r>
        <w:rPr>
          <w:spacing w:val="-18"/>
        </w:rPr>
        <w:t>展格局中抢抓新机遇、展现新作为，全力打造新时代现代化强市，奋力谱写美德滕州、文明滕州、富强滕州建设新篇章。</w:t>
      </w:r>
    </w:p>
    <w:p>
      <w:pPr>
        <w:pStyle w:val="3"/>
        <w:tabs>
          <w:tab w:val="left" w:pos="1279"/>
        </w:tabs>
        <w:spacing w:before="39"/>
        <w:ind w:left="0" w:right="80"/>
        <w:jc w:val="center"/>
        <w:rPr>
          <w:rFonts w:hint="eastAsia" w:ascii="宋体" w:eastAsia="宋体"/>
        </w:rPr>
      </w:pPr>
      <w:bookmarkStart w:id="8" w:name="第二节  基本原则"/>
      <w:bookmarkEnd w:id="8"/>
      <w:r>
        <w:rPr>
          <w:rFonts w:hint="eastAsia" w:ascii="宋体" w:eastAsia="宋体"/>
        </w:rPr>
        <w:t>第二节</w:t>
      </w:r>
      <w:r>
        <w:rPr>
          <w:rFonts w:hint="eastAsia" w:ascii="宋体" w:eastAsia="宋体"/>
        </w:rPr>
        <w:tab/>
      </w:r>
      <w:r>
        <w:rPr>
          <w:rFonts w:hint="eastAsia" w:ascii="宋体" w:eastAsia="宋体"/>
        </w:rPr>
        <w:t>基本原则</w:t>
      </w:r>
    </w:p>
    <w:p>
      <w:pPr>
        <w:spacing w:before="149" w:line="326" w:lineRule="auto"/>
        <w:ind w:left="321" w:right="399" w:firstLine="638"/>
        <w:jc w:val="left"/>
        <w:rPr>
          <w:sz w:val="32"/>
        </w:rPr>
      </w:pPr>
      <w:r>
        <w:rPr>
          <w:rFonts w:ascii="Times New Roman" w:hAnsi="Times New Roman" w:eastAsia="Times New Roman"/>
          <w:b/>
          <w:sz w:val="32"/>
        </w:rPr>
        <w:t>——</w:t>
      </w:r>
      <w:r>
        <w:rPr>
          <w:b/>
          <w:spacing w:val="-17"/>
          <w:sz w:val="32"/>
        </w:rPr>
        <w:t>坚持党的全面领导。</w:t>
      </w:r>
      <w:r>
        <w:rPr>
          <w:sz w:val="32"/>
        </w:rPr>
        <w:t>坚持和完善党领导经济社会发展</w:t>
      </w:r>
      <w:r>
        <w:rPr>
          <w:spacing w:val="-12"/>
          <w:w w:val="95"/>
          <w:sz w:val="32"/>
        </w:rPr>
        <w:t>的体制机制，坚持和完善中国特色社会主义制度，为推动高质</w:t>
      </w:r>
    </w:p>
    <w:p>
      <w:pPr>
        <w:spacing w:after="0" w:line="326" w:lineRule="auto"/>
        <w:jc w:val="left"/>
        <w:rPr>
          <w:sz w:val="32"/>
        </w:rPr>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t>量发展提供根本保证。</w:t>
      </w:r>
    </w:p>
    <w:p>
      <w:pPr>
        <w:pStyle w:val="3"/>
        <w:spacing w:before="152" w:line="326" w:lineRule="auto"/>
        <w:ind w:right="397" w:firstLine="638"/>
        <w:jc w:val="both"/>
      </w:pPr>
      <w:r>
        <w:rPr>
          <w:rFonts w:ascii="Times New Roman" w:hAnsi="Times New Roman" w:eastAsia="Times New Roman"/>
          <w:b/>
        </w:rPr>
        <w:t>——</w:t>
      </w:r>
      <w:r>
        <w:rPr>
          <w:b/>
          <w:spacing w:val="-8"/>
        </w:rPr>
        <w:t>坚持以人民为中心。</w:t>
      </w:r>
      <w:r>
        <w:rPr>
          <w:spacing w:val="-8"/>
        </w:rPr>
        <w:t>坚持人民主体地位，做到发展为</w:t>
      </w:r>
      <w:r>
        <w:rPr>
          <w:spacing w:val="-14"/>
        </w:rPr>
        <w:t>了人民、发展依靠人民、发展成果由人民共享，维护人民根本利益，不断实现人民对美好生活的向往。</w:t>
      </w:r>
    </w:p>
    <w:p>
      <w:pPr>
        <w:pStyle w:val="3"/>
        <w:spacing w:before="7" w:line="326" w:lineRule="auto"/>
        <w:ind w:right="266" w:firstLine="638"/>
        <w:jc w:val="both"/>
      </w:pPr>
      <w:r>
        <w:rPr>
          <w:rFonts w:ascii="Times New Roman" w:hAnsi="Times New Roman" w:eastAsia="Times New Roman"/>
          <w:b/>
        </w:rPr>
        <w:t>——</w:t>
      </w:r>
      <w:r>
        <w:rPr>
          <w:b/>
          <w:spacing w:val="-18"/>
        </w:rPr>
        <w:t>坚持新发展理念。</w:t>
      </w:r>
      <w:r>
        <w:t>把新发展理念贯穿发展全过程和各</w:t>
      </w:r>
      <w:r>
        <w:rPr>
          <w:spacing w:val="-12"/>
        </w:rPr>
        <w:t>领域，加快新旧动能转换，加速存量变革、增量崛起，实现更高质量、更有效率、更加公平、更可持续、更为安全的发展。</w:t>
      </w:r>
    </w:p>
    <w:p>
      <w:pPr>
        <w:pStyle w:val="3"/>
        <w:spacing w:before="7" w:line="326" w:lineRule="auto"/>
        <w:ind w:right="250" w:firstLine="638"/>
      </w:pPr>
      <w:r>
        <w:rPr>
          <w:rFonts w:ascii="Times New Roman" w:hAnsi="Times New Roman" w:eastAsia="Times New Roman"/>
          <w:b/>
        </w:rPr>
        <w:t>——</w:t>
      </w:r>
      <w:r>
        <w:rPr>
          <w:b/>
        </w:rPr>
        <w:t>坚持深化改革开放。</w:t>
      </w:r>
      <w:r>
        <w:t>坚定不移推进改革、扩大开放， 破解制约高质量发展机制障碍，提高产业链供应链稳定性和竞争力，增强发展动力，激发市场主体活力。</w:t>
      </w:r>
    </w:p>
    <w:p>
      <w:pPr>
        <w:pStyle w:val="3"/>
        <w:spacing w:before="7" w:line="328" w:lineRule="auto"/>
        <w:ind w:right="398" w:firstLine="638"/>
        <w:jc w:val="both"/>
      </w:pPr>
      <w:r>
        <w:rPr>
          <w:rFonts w:ascii="Times New Roman" w:hAnsi="Times New Roman" w:eastAsia="Times New Roman"/>
          <w:b/>
        </w:rPr>
        <w:t>——</w:t>
      </w:r>
      <w:r>
        <w:rPr>
          <w:b/>
          <w:spacing w:val="-10"/>
        </w:rPr>
        <w:t>坚持系统观念。</w:t>
      </w:r>
      <w:r>
        <w:rPr>
          <w:spacing w:val="-5"/>
        </w:rPr>
        <w:t>加强对各领域发展的前瞻性思考、全</w:t>
      </w:r>
      <w:r>
        <w:rPr>
          <w:spacing w:val="-13"/>
        </w:rPr>
        <w:t>局性谋划，着力固根基、扬优势、补短板、强弱项，实现发展</w:t>
      </w:r>
      <w:r>
        <w:rPr>
          <w:spacing w:val="-14"/>
        </w:rPr>
        <w:t>质量、结构、规模、速度、效益、安全相统一，全面协调推动新时代现代化强市建设。</w:t>
      </w:r>
    </w:p>
    <w:p>
      <w:pPr>
        <w:pStyle w:val="3"/>
        <w:tabs>
          <w:tab w:val="left" w:pos="1279"/>
        </w:tabs>
        <w:spacing w:before="55"/>
        <w:ind w:left="0" w:right="80"/>
        <w:jc w:val="center"/>
        <w:rPr>
          <w:rFonts w:hint="eastAsia" w:ascii="宋体" w:eastAsia="宋体"/>
        </w:rPr>
      </w:pPr>
      <w:bookmarkStart w:id="9" w:name="第三节  发展定位"/>
      <w:bookmarkEnd w:id="9"/>
      <w:r>
        <w:rPr>
          <w:rFonts w:hint="eastAsia" w:ascii="宋体" w:eastAsia="宋体"/>
        </w:rPr>
        <w:t>第三节</w:t>
      </w:r>
      <w:r>
        <w:rPr>
          <w:rFonts w:hint="eastAsia" w:ascii="宋体" w:eastAsia="宋体"/>
        </w:rPr>
        <w:tab/>
      </w:r>
      <w:r>
        <w:rPr>
          <w:rFonts w:hint="eastAsia" w:ascii="宋体" w:eastAsia="宋体"/>
        </w:rPr>
        <w:t>发展定位</w:t>
      </w:r>
    </w:p>
    <w:p>
      <w:pPr>
        <w:pStyle w:val="3"/>
        <w:spacing w:before="149" w:line="328" w:lineRule="auto"/>
        <w:ind w:right="398" w:firstLine="638"/>
        <w:jc w:val="both"/>
      </w:pPr>
      <w:r>
        <w:rPr>
          <w:rFonts w:ascii="Times New Roman" w:hAnsi="Times New Roman" w:eastAsia="Times New Roman"/>
          <w:b/>
          <w:w w:val="95"/>
        </w:rPr>
        <w:t>——</w:t>
      </w:r>
      <w:r>
        <w:rPr>
          <w:b/>
          <w:spacing w:val="-5"/>
          <w:w w:val="95"/>
        </w:rPr>
        <w:t>新时代县域经济强市。</w:t>
      </w:r>
      <w:r>
        <w:rPr>
          <w:spacing w:val="-10"/>
          <w:w w:val="95"/>
        </w:rPr>
        <w:t xml:space="preserve">加快新旧动能转换，加大“双 </w:t>
      </w:r>
      <w:r>
        <w:rPr>
          <w:spacing w:val="-14"/>
        </w:rPr>
        <w:t>招双引”和项目建设力度，统筹推进现代工业提速振兴、现代</w:t>
      </w:r>
      <w:r>
        <w:rPr>
          <w:spacing w:val="-16"/>
        </w:rPr>
        <w:t>服务业提档升级、现代农业提质增效，做强产业实力，厚植高质量发展新优势。</w:t>
      </w:r>
    </w:p>
    <w:p>
      <w:pPr>
        <w:pStyle w:val="3"/>
        <w:spacing w:line="328" w:lineRule="auto"/>
        <w:ind w:right="242" w:firstLine="638"/>
      </w:pPr>
      <w:r>
        <w:rPr>
          <w:rFonts w:ascii="Times New Roman" w:hAnsi="Times New Roman" w:eastAsia="Times New Roman"/>
          <w:b/>
        </w:rPr>
        <w:t>——</w:t>
      </w:r>
      <w:r>
        <w:rPr>
          <w:b/>
          <w:spacing w:val="-7"/>
        </w:rPr>
        <w:t>京沪廊道先进制造业基地。</w:t>
      </w:r>
      <w:r>
        <w:rPr>
          <w:spacing w:val="-9"/>
        </w:rPr>
        <w:t>聚焦高端装备、高端化工</w:t>
      </w:r>
      <w:r>
        <w:rPr>
          <w:spacing w:val="-16"/>
        </w:rPr>
        <w:t>两大优势产业，发展壮大新能源新材料、新一代信息技术等新</w:t>
      </w:r>
      <w:r>
        <w:rPr>
          <w:spacing w:val="-21"/>
          <w:w w:val="95"/>
        </w:rPr>
        <w:t xml:space="preserve">兴产业，加快推进“两化”融合，促进传统产业向中高端迈进， </w:t>
      </w:r>
      <w:r>
        <w:rPr>
          <w:spacing w:val="-21"/>
        </w:rPr>
        <w:t>努力实现产业基础高级化、产业链现代化。</w:t>
      </w:r>
    </w:p>
    <w:p>
      <w:pPr>
        <w:spacing w:after="0" w:line="328" w:lineRule="auto"/>
        <w:sectPr>
          <w:pgSz w:w="11910" w:h="16840"/>
          <w:pgMar w:top="1580" w:right="1300" w:bottom="1540" w:left="1380" w:header="0" w:footer="1346" w:gutter="0"/>
          <w:cols w:space="720" w:num="1"/>
        </w:sectPr>
      </w:pPr>
    </w:p>
    <w:p>
      <w:pPr>
        <w:pStyle w:val="3"/>
        <w:ind w:left="0"/>
        <w:rPr>
          <w:sz w:val="13"/>
        </w:rPr>
      </w:pPr>
    </w:p>
    <w:p>
      <w:pPr>
        <w:pStyle w:val="3"/>
        <w:spacing w:before="64" w:line="328" w:lineRule="auto"/>
        <w:ind w:right="397" w:firstLine="638"/>
        <w:jc w:val="both"/>
      </w:pPr>
      <w:r>
        <w:rPr>
          <w:rFonts w:ascii="Times New Roman" w:hAnsi="Times New Roman" w:eastAsia="Times New Roman"/>
          <w:b/>
          <w:w w:val="95"/>
        </w:rPr>
        <w:t>——</w:t>
      </w:r>
      <w:r>
        <w:rPr>
          <w:b/>
          <w:spacing w:val="-8"/>
          <w:w w:val="95"/>
        </w:rPr>
        <w:t>全国知名商贸集散地。</w:t>
      </w:r>
      <w:r>
        <w:rPr>
          <w:spacing w:val="-8"/>
          <w:w w:val="95"/>
        </w:rPr>
        <w:t xml:space="preserve">发挥交通区位优势，推动专业 </w:t>
      </w:r>
      <w:r>
        <w:rPr>
          <w:spacing w:val="-14"/>
        </w:rPr>
        <w:t>市场提档升级，提升集约化、品牌化、电商化发展水平，增强</w:t>
      </w:r>
      <w:r>
        <w:rPr>
          <w:spacing w:val="-18"/>
          <w:w w:val="95"/>
        </w:rPr>
        <w:t xml:space="preserve">市场影响力和竞争力，积极培育智慧物流新业态，大力发展现 </w:t>
      </w:r>
      <w:r>
        <w:rPr>
          <w:spacing w:val="-18"/>
        </w:rPr>
        <w:t>代服务业，更好融入国内国际双循环。</w:t>
      </w:r>
    </w:p>
    <w:p>
      <w:pPr>
        <w:pStyle w:val="3"/>
        <w:spacing w:line="328" w:lineRule="auto"/>
        <w:ind w:right="399" w:firstLine="638"/>
        <w:jc w:val="both"/>
      </w:pPr>
      <w:r>
        <w:rPr>
          <w:rFonts w:ascii="Times New Roman" w:hAnsi="Times New Roman" w:eastAsia="Times New Roman"/>
          <w:b/>
        </w:rPr>
        <w:t>——</w:t>
      </w:r>
      <w:r>
        <w:rPr>
          <w:b/>
          <w:spacing w:val="-14"/>
        </w:rPr>
        <w:t>城乡一体化发展先行区。</w:t>
      </w:r>
      <w:r>
        <w:t>抢抓国家县城新型城镇化示</w:t>
      </w:r>
      <w:r>
        <w:rPr>
          <w:spacing w:val="-11"/>
          <w:w w:val="95"/>
        </w:rPr>
        <w:t xml:space="preserve">范县建设机遇，协调推进乡村振兴和新型城镇化，统筹城乡规 </w:t>
      </w:r>
      <w:r>
        <w:rPr>
          <w:spacing w:val="-15"/>
          <w:w w:val="95"/>
        </w:rPr>
        <w:t xml:space="preserve">划建设管理，强化以工补农、以城带乡，打造城乡融合发展滕 </w:t>
      </w:r>
      <w:r>
        <w:rPr>
          <w:spacing w:val="-15"/>
        </w:rPr>
        <w:t>州样板。</w:t>
      </w:r>
    </w:p>
    <w:p>
      <w:pPr>
        <w:pStyle w:val="3"/>
        <w:spacing w:line="328" w:lineRule="auto"/>
        <w:ind w:right="397" w:firstLine="638"/>
        <w:jc w:val="both"/>
      </w:pPr>
      <w:r>
        <w:rPr>
          <w:rFonts w:ascii="Times New Roman" w:hAnsi="Times New Roman" w:eastAsia="Times New Roman"/>
          <w:b/>
          <w:spacing w:val="4"/>
          <w:w w:val="95"/>
        </w:rPr>
        <w:t>——</w:t>
      </w:r>
      <w:r>
        <w:rPr>
          <w:b/>
          <w:spacing w:val="9"/>
          <w:w w:val="95"/>
        </w:rPr>
        <w:t>新时代历史文化传承新高地。</w:t>
      </w:r>
      <w:r>
        <w:rPr>
          <w:spacing w:val="6"/>
          <w:w w:val="95"/>
        </w:rPr>
        <w:t xml:space="preserve">大力弘扬墨子创新精 </w:t>
      </w:r>
      <w:r>
        <w:rPr>
          <w:spacing w:val="-12"/>
        </w:rPr>
        <w:t>神、鲁班工匠精神，提升“一塔六馆”历史文化展现力，做好</w:t>
      </w:r>
      <w:r>
        <w:rPr>
          <w:spacing w:val="-23"/>
          <w:w w:val="99"/>
        </w:rPr>
        <w:t>“北辛遗址”“岗上遗址”“滕国故城”“薛国故城”发掘和保</w:t>
      </w:r>
      <w:r>
        <w:rPr>
          <w:spacing w:val="-16"/>
        </w:rPr>
        <w:t>护工作，推动非物质文化遗产传承创新，提升优秀传统文化影响力。</w:t>
      </w:r>
    </w:p>
    <w:p>
      <w:pPr>
        <w:pStyle w:val="3"/>
        <w:tabs>
          <w:tab w:val="left" w:pos="1279"/>
        </w:tabs>
        <w:spacing w:before="42"/>
        <w:ind w:left="0" w:right="80"/>
        <w:jc w:val="center"/>
        <w:rPr>
          <w:rFonts w:hint="eastAsia" w:ascii="宋体" w:eastAsia="宋体"/>
        </w:rPr>
      </w:pPr>
      <w:bookmarkStart w:id="10" w:name="第四节  主要目标"/>
      <w:bookmarkEnd w:id="10"/>
      <w:r>
        <w:rPr>
          <w:rFonts w:hint="eastAsia" w:ascii="宋体" w:eastAsia="宋体"/>
        </w:rPr>
        <w:t>第四节</w:t>
      </w:r>
      <w:r>
        <w:rPr>
          <w:rFonts w:hint="eastAsia" w:ascii="宋体" w:eastAsia="宋体"/>
        </w:rPr>
        <w:tab/>
      </w:r>
      <w:r>
        <w:rPr>
          <w:rFonts w:hint="eastAsia" w:ascii="宋体" w:eastAsia="宋体"/>
        </w:rPr>
        <w:t>主要目标</w:t>
      </w:r>
    </w:p>
    <w:p>
      <w:pPr>
        <w:pStyle w:val="3"/>
        <w:spacing w:before="149" w:line="326" w:lineRule="auto"/>
        <w:ind w:right="399" w:firstLine="638"/>
      </w:pPr>
      <w:r>
        <w:rPr>
          <w:spacing w:val="-8"/>
        </w:rPr>
        <w:t>综合考虑未来发展趋势和优势条件，今后五年，经济社会发展的主要目标是：</w:t>
      </w:r>
    </w:p>
    <w:p>
      <w:pPr>
        <w:pStyle w:val="3"/>
        <w:spacing w:before="6" w:line="328" w:lineRule="auto"/>
        <w:ind w:right="397" w:firstLine="638"/>
        <w:jc w:val="both"/>
      </w:pPr>
      <w:r>
        <w:rPr>
          <w:rFonts w:ascii="Times New Roman" w:hAnsi="Times New Roman" w:eastAsia="Times New Roman"/>
          <w:b/>
        </w:rPr>
        <w:t>——</w:t>
      </w:r>
      <w:r>
        <w:rPr>
          <w:b/>
          <w:spacing w:val="-7"/>
        </w:rPr>
        <w:t>综合经济实力再上新台阶。</w:t>
      </w:r>
      <w:r>
        <w:rPr>
          <w:spacing w:val="-9"/>
        </w:rPr>
        <w:t>发展质量持续优化，经济</w:t>
      </w:r>
      <w:r>
        <w:rPr>
          <w:spacing w:val="-15"/>
          <w:w w:val="95"/>
        </w:rPr>
        <w:t xml:space="preserve">结构更加合理，产业基础和产业链水平显著提升，地方财力不 断增强，全国百强县、全省高质量发展先进县地位持续巩固提 </w:t>
      </w:r>
      <w:r>
        <w:rPr>
          <w:spacing w:val="-15"/>
        </w:rPr>
        <w:t>升，GDP</w:t>
      </w:r>
      <w:r>
        <w:rPr>
          <w:spacing w:val="-41"/>
        </w:rPr>
        <w:t xml:space="preserve"> 突破 </w:t>
      </w:r>
      <w:r>
        <w:t>1000</w:t>
      </w:r>
      <w:r>
        <w:rPr>
          <w:spacing w:val="-21"/>
        </w:rPr>
        <w:t xml:space="preserve"> 亿元。</w:t>
      </w:r>
    </w:p>
    <w:p>
      <w:pPr>
        <w:pStyle w:val="3"/>
        <w:spacing w:line="328" w:lineRule="auto"/>
        <w:ind w:right="397" w:firstLine="638"/>
        <w:jc w:val="both"/>
      </w:pPr>
      <w:r>
        <w:rPr>
          <w:rFonts w:ascii="Times New Roman" w:hAnsi="Times New Roman" w:eastAsia="Times New Roman"/>
          <w:b/>
        </w:rPr>
        <w:t>——</w:t>
      </w:r>
      <w:r>
        <w:rPr>
          <w:b/>
          <w:spacing w:val="-13"/>
        </w:rPr>
        <w:t>城乡融合发展实现新进步。</w:t>
      </w:r>
      <w:r>
        <w:t>城乡区域发展协调性明显</w:t>
      </w:r>
      <w:r>
        <w:rPr>
          <w:spacing w:val="-12"/>
        </w:rPr>
        <w:t xml:space="preserve">增强，市区常住人口超过 </w:t>
      </w:r>
      <w:r>
        <w:t>100</w:t>
      </w:r>
      <w:r>
        <w:rPr>
          <w:spacing w:val="-18"/>
        </w:rPr>
        <w:t xml:space="preserve"> 万人，城市建成区面积达到 </w:t>
      </w:r>
      <w:r>
        <w:t xml:space="preserve">100 </w:t>
      </w:r>
      <w:r>
        <w:rPr>
          <w:spacing w:val="-13"/>
        </w:rPr>
        <w:t>平方公里，城镇综合承载能力持续增强，农村基础设施配套更</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401"/>
      </w:pPr>
      <w:r>
        <w:rPr>
          <w:spacing w:val="-12"/>
          <w:w w:val="95"/>
        </w:rPr>
        <w:t xml:space="preserve">趋完善，城乡基本公共服务均等化水平大幅提升，全面完成国 </w:t>
      </w:r>
      <w:r>
        <w:rPr>
          <w:spacing w:val="-12"/>
        </w:rPr>
        <w:t>家县城新型城镇化示范县建设任务。</w:t>
      </w:r>
    </w:p>
    <w:p>
      <w:pPr>
        <w:spacing w:before="2"/>
        <w:ind w:left="1480" w:right="0" w:firstLine="0"/>
        <w:jc w:val="left"/>
        <w:rPr>
          <w:b/>
          <w:sz w:val="28"/>
        </w:rPr>
      </w:pPr>
      <w:bookmarkStart w:id="11" w:name="滕州市“十四五”时期经济社会发展规划主要指标"/>
      <w:bookmarkEnd w:id="11"/>
      <w:r>
        <w:rPr>
          <w:b/>
          <w:sz w:val="28"/>
        </w:rPr>
        <w:t>滕州市“十四五”时期经济社会发展规划主要指标</w:t>
      </w:r>
    </w:p>
    <w:p>
      <w:pPr>
        <w:pStyle w:val="3"/>
        <w:spacing w:before="4"/>
        <w:ind w:left="0"/>
        <w:rPr>
          <w:b/>
          <w:sz w:val="10"/>
        </w:rPr>
      </w:pPr>
    </w:p>
    <w:tbl>
      <w:tblPr>
        <w:tblStyle w:val="4"/>
        <w:tblW w:w="0" w:type="auto"/>
        <w:tblInd w:w="10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10"/>
        <w:gridCol w:w="3843"/>
        <w:gridCol w:w="898"/>
        <w:gridCol w:w="1159"/>
        <w:gridCol w:w="1132"/>
        <w:gridCol w:w="10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0" w:hRule="atLeast"/>
        </w:trPr>
        <w:tc>
          <w:tcPr>
            <w:tcW w:w="4653" w:type="dxa"/>
            <w:gridSpan w:val="2"/>
          </w:tcPr>
          <w:p>
            <w:pPr>
              <w:pStyle w:val="8"/>
              <w:spacing w:before="178"/>
              <w:ind w:left="2148" w:right="2038"/>
              <w:rPr>
                <w:b/>
                <w:sz w:val="21"/>
              </w:rPr>
            </w:pPr>
            <w:r>
              <w:rPr>
                <w:b/>
                <w:sz w:val="21"/>
              </w:rPr>
              <w:t>指标</w:t>
            </w:r>
          </w:p>
        </w:tc>
        <w:tc>
          <w:tcPr>
            <w:tcW w:w="898" w:type="dxa"/>
          </w:tcPr>
          <w:p>
            <w:pPr>
              <w:pStyle w:val="8"/>
              <w:spacing w:before="178"/>
              <w:ind w:left="85" w:right="83"/>
              <w:rPr>
                <w:b/>
                <w:sz w:val="21"/>
              </w:rPr>
            </w:pPr>
            <w:r>
              <w:rPr>
                <w:rFonts w:ascii="Times New Roman" w:eastAsia="Times New Roman"/>
                <w:b/>
                <w:sz w:val="21"/>
              </w:rPr>
              <w:t xml:space="preserve">2020 </w:t>
            </w:r>
            <w:r>
              <w:rPr>
                <w:b/>
                <w:sz w:val="21"/>
              </w:rPr>
              <w:t>年</w:t>
            </w:r>
          </w:p>
        </w:tc>
        <w:tc>
          <w:tcPr>
            <w:tcW w:w="1159" w:type="dxa"/>
          </w:tcPr>
          <w:p>
            <w:pPr>
              <w:pStyle w:val="8"/>
              <w:spacing w:before="178"/>
              <w:ind w:left="216" w:right="214"/>
              <w:rPr>
                <w:b/>
                <w:sz w:val="21"/>
              </w:rPr>
            </w:pPr>
            <w:r>
              <w:rPr>
                <w:rFonts w:ascii="Times New Roman" w:eastAsia="Times New Roman"/>
                <w:b/>
                <w:sz w:val="21"/>
              </w:rPr>
              <w:t xml:space="preserve">2025 </w:t>
            </w:r>
            <w:r>
              <w:rPr>
                <w:b/>
                <w:sz w:val="21"/>
              </w:rPr>
              <w:t>年</w:t>
            </w:r>
          </w:p>
        </w:tc>
        <w:tc>
          <w:tcPr>
            <w:tcW w:w="1132" w:type="dxa"/>
          </w:tcPr>
          <w:p>
            <w:pPr>
              <w:pStyle w:val="8"/>
              <w:spacing w:before="49" w:line="264" w:lineRule="exact"/>
              <w:ind w:left="125" w:right="117"/>
              <w:rPr>
                <w:b/>
                <w:sz w:val="21"/>
              </w:rPr>
            </w:pPr>
            <w:r>
              <w:rPr>
                <w:b/>
                <w:sz w:val="21"/>
              </w:rPr>
              <w:t>年均增速</w:t>
            </w:r>
          </w:p>
          <w:p>
            <w:pPr>
              <w:pStyle w:val="8"/>
              <w:spacing w:line="264" w:lineRule="exact"/>
              <w:ind w:left="122" w:right="117"/>
              <w:rPr>
                <w:b/>
                <w:sz w:val="21"/>
              </w:rPr>
            </w:pPr>
            <w:r>
              <w:rPr>
                <w:b/>
                <w:sz w:val="21"/>
              </w:rPr>
              <w:t>（</w:t>
            </w:r>
            <w:r>
              <w:rPr>
                <w:rFonts w:ascii="Times New Roman" w:eastAsia="Times New Roman"/>
                <w:b/>
                <w:sz w:val="21"/>
              </w:rPr>
              <w:t>%</w:t>
            </w:r>
            <w:r>
              <w:rPr>
                <w:b/>
                <w:sz w:val="21"/>
              </w:rPr>
              <w:t>）</w:t>
            </w:r>
          </w:p>
        </w:tc>
        <w:tc>
          <w:tcPr>
            <w:tcW w:w="1091" w:type="dxa"/>
          </w:tcPr>
          <w:p>
            <w:pPr>
              <w:pStyle w:val="8"/>
              <w:spacing w:before="178"/>
              <w:ind w:right="206"/>
              <w:rPr>
                <w:b/>
                <w:sz w:val="21"/>
              </w:rPr>
            </w:pPr>
            <w:r>
              <w:rPr>
                <w:b/>
                <w:sz w:val="21"/>
              </w:rPr>
              <w:t>属性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1" w:hRule="atLeast"/>
        </w:trPr>
        <w:tc>
          <w:tcPr>
            <w:tcW w:w="810" w:type="dxa"/>
            <w:vMerge w:val="restart"/>
          </w:tcPr>
          <w:p>
            <w:pPr>
              <w:pStyle w:val="8"/>
              <w:ind w:left="0"/>
              <w:jc w:val="left"/>
              <w:rPr>
                <w:rFonts w:ascii="仿宋_GB2312"/>
                <w:b/>
                <w:sz w:val="20"/>
              </w:rPr>
            </w:pPr>
          </w:p>
          <w:p>
            <w:pPr>
              <w:pStyle w:val="8"/>
              <w:ind w:left="0"/>
              <w:jc w:val="left"/>
              <w:rPr>
                <w:rFonts w:ascii="仿宋_GB2312"/>
                <w:b/>
                <w:sz w:val="20"/>
              </w:rPr>
            </w:pPr>
          </w:p>
          <w:p>
            <w:pPr>
              <w:pStyle w:val="8"/>
              <w:spacing w:before="10"/>
              <w:ind w:left="0"/>
              <w:jc w:val="left"/>
              <w:rPr>
                <w:rFonts w:ascii="仿宋_GB2312"/>
                <w:b/>
                <w:sz w:val="21"/>
              </w:rPr>
            </w:pPr>
          </w:p>
          <w:p>
            <w:pPr>
              <w:pStyle w:val="8"/>
              <w:spacing w:line="230" w:lineRule="auto"/>
              <w:ind w:left="193" w:right="188"/>
              <w:jc w:val="left"/>
              <w:rPr>
                <w:b/>
                <w:sz w:val="21"/>
              </w:rPr>
            </w:pPr>
            <w:r>
              <w:rPr>
                <w:b/>
                <w:sz w:val="21"/>
              </w:rPr>
              <w:t>经济发展</w:t>
            </w:r>
          </w:p>
        </w:tc>
        <w:tc>
          <w:tcPr>
            <w:tcW w:w="3843" w:type="dxa"/>
          </w:tcPr>
          <w:p>
            <w:pPr>
              <w:pStyle w:val="8"/>
              <w:spacing w:before="94"/>
              <w:ind w:left="108"/>
              <w:jc w:val="left"/>
              <w:rPr>
                <w:sz w:val="18"/>
              </w:rPr>
            </w:pPr>
            <w:r>
              <w:rPr>
                <w:rFonts w:ascii="Times New Roman" w:eastAsia="Times New Roman"/>
                <w:sz w:val="18"/>
              </w:rPr>
              <w:t>1.</w:t>
            </w:r>
            <w:r>
              <w:rPr>
                <w:sz w:val="18"/>
              </w:rPr>
              <w:t>地区生产总值（亿元）</w:t>
            </w:r>
          </w:p>
        </w:tc>
        <w:tc>
          <w:tcPr>
            <w:tcW w:w="898" w:type="dxa"/>
          </w:tcPr>
          <w:p>
            <w:pPr>
              <w:pStyle w:val="8"/>
              <w:spacing w:before="90"/>
              <w:ind w:left="85" w:right="82"/>
              <w:rPr>
                <w:rFonts w:ascii="Times New Roman"/>
                <w:sz w:val="21"/>
              </w:rPr>
            </w:pPr>
            <w:r>
              <w:rPr>
                <w:rFonts w:ascii="Times New Roman"/>
                <w:sz w:val="21"/>
              </w:rPr>
              <w:t>750</w:t>
            </w:r>
          </w:p>
        </w:tc>
        <w:tc>
          <w:tcPr>
            <w:tcW w:w="1159" w:type="dxa"/>
          </w:tcPr>
          <w:p>
            <w:pPr>
              <w:pStyle w:val="8"/>
              <w:spacing w:before="90"/>
              <w:ind w:left="216" w:right="211"/>
              <w:rPr>
                <w:rFonts w:ascii="Times New Roman"/>
                <w:sz w:val="21"/>
              </w:rPr>
            </w:pPr>
            <w:r>
              <w:rPr>
                <w:rFonts w:ascii="Times New Roman"/>
                <w:sz w:val="21"/>
              </w:rPr>
              <w:t>1000</w:t>
            </w:r>
          </w:p>
        </w:tc>
        <w:tc>
          <w:tcPr>
            <w:tcW w:w="1132" w:type="dxa"/>
          </w:tcPr>
          <w:p>
            <w:pPr>
              <w:pStyle w:val="8"/>
              <w:spacing w:before="90"/>
              <w:ind w:left="4"/>
              <w:rPr>
                <w:rFonts w:ascii="Times New Roman"/>
                <w:sz w:val="21"/>
              </w:rPr>
            </w:pPr>
            <w:r>
              <w:rPr>
                <w:rFonts w:ascii="Times New Roman"/>
                <w:w w:val="99"/>
                <w:sz w:val="21"/>
              </w:rPr>
              <w:t>6</w:t>
            </w:r>
          </w:p>
        </w:tc>
        <w:tc>
          <w:tcPr>
            <w:tcW w:w="1091" w:type="dxa"/>
          </w:tcPr>
          <w:p>
            <w:pPr>
              <w:pStyle w:val="8"/>
              <w:spacing w:before="76"/>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810" w:type="dxa"/>
            <w:vMerge w:val="continue"/>
            <w:tcBorders>
              <w:top w:val="nil"/>
            </w:tcBorders>
          </w:tcPr>
          <w:p>
            <w:pPr>
              <w:rPr>
                <w:sz w:val="2"/>
                <w:szCs w:val="2"/>
              </w:rPr>
            </w:pPr>
          </w:p>
        </w:tc>
        <w:tc>
          <w:tcPr>
            <w:tcW w:w="3843" w:type="dxa"/>
          </w:tcPr>
          <w:p>
            <w:pPr>
              <w:pStyle w:val="8"/>
              <w:spacing w:before="83"/>
              <w:ind w:left="108"/>
              <w:jc w:val="left"/>
              <w:rPr>
                <w:sz w:val="18"/>
              </w:rPr>
            </w:pPr>
            <w:r>
              <w:rPr>
                <w:rFonts w:ascii="Times New Roman" w:eastAsia="Times New Roman"/>
                <w:sz w:val="18"/>
              </w:rPr>
              <w:t>3.</w:t>
            </w:r>
            <w:r>
              <w:rPr>
                <w:sz w:val="18"/>
              </w:rPr>
              <w:t>地方财政收入（亿元）</w:t>
            </w:r>
          </w:p>
        </w:tc>
        <w:tc>
          <w:tcPr>
            <w:tcW w:w="898" w:type="dxa"/>
          </w:tcPr>
          <w:p>
            <w:pPr>
              <w:pStyle w:val="8"/>
              <w:spacing w:before="79"/>
              <w:ind w:left="85" w:right="82"/>
              <w:rPr>
                <w:rFonts w:ascii="Times New Roman"/>
                <w:sz w:val="21"/>
              </w:rPr>
            </w:pPr>
            <w:r>
              <w:rPr>
                <w:rFonts w:ascii="Times New Roman"/>
                <w:sz w:val="21"/>
              </w:rPr>
              <w:t>55.7</w:t>
            </w:r>
          </w:p>
        </w:tc>
        <w:tc>
          <w:tcPr>
            <w:tcW w:w="1159" w:type="dxa"/>
          </w:tcPr>
          <w:p>
            <w:pPr>
              <w:pStyle w:val="8"/>
              <w:spacing w:before="79"/>
              <w:ind w:left="216" w:right="211"/>
              <w:rPr>
                <w:rFonts w:ascii="Times New Roman"/>
                <w:sz w:val="21"/>
              </w:rPr>
            </w:pPr>
            <w:r>
              <w:rPr>
                <w:rFonts w:ascii="Times New Roman"/>
                <w:sz w:val="21"/>
              </w:rPr>
              <w:t>80</w:t>
            </w:r>
          </w:p>
        </w:tc>
        <w:tc>
          <w:tcPr>
            <w:tcW w:w="1132" w:type="dxa"/>
          </w:tcPr>
          <w:p>
            <w:pPr>
              <w:pStyle w:val="8"/>
              <w:spacing w:before="79"/>
              <w:ind w:left="119" w:right="117"/>
              <w:rPr>
                <w:rFonts w:ascii="Times New Roman"/>
                <w:sz w:val="21"/>
              </w:rPr>
            </w:pPr>
            <w:r>
              <w:rPr>
                <w:rFonts w:ascii="Times New Roman"/>
                <w:sz w:val="21"/>
              </w:rPr>
              <w:t>&gt;7</w:t>
            </w:r>
          </w:p>
        </w:tc>
        <w:tc>
          <w:tcPr>
            <w:tcW w:w="1091" w:type="dxa"/>
          </w:tcPr>
          <w:p>
            <w:pPr>
              <w:pStyle w:val="8"/>
              <w:spacing w:before="65"/>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4" w:hRule="atLeast"/>
        </w:trPr>
        <w:tc>
          <w:tcPr>
            <w:tcW w:w="810" w:type="dxa"/>
            <w:vMerge w:val="continue"/>
            <w:tcBorders>
              <w:top w:val="nil"/>
            </w:tcBorders>
          </w:tcPr>
          <w:p>
            <w:pPr>
              <w:rPr>
                <w:sz w:val="2"/>
                <w:szCs w:val="2"/>
              </w:rPr>
            </w:pPr>
          </w:p>
        </w:tc>
        <w:tc>
          <w:tcPr>
            <w:tcW w:w="3843" w:type="dxa"/>
          </w:tcPr>
          <w:p>
            <w:pPr>
              <w:pStyle w:val="8"/>
              <w:spacing w:before="92"/>
              <w:ind w:left="108"/>
              <w:jc w:val="left"/>
              <w:rPr>
                <w:sz w:val="18"/>
              </w:rPr>
            </w:pPr>
            <w:r>
              <w:rPr>
                <w:rFonts w:ascii="Times New Roman" w:eastAsia="Times New Roman"/>
                <w:sz w:val="18"/>
              </w:rPr>
              <w:t>3.</w:t>
            </w:r>
            <w:r>
              <w:rPr>
                <w:sz w:val="18"/>
              </w:rPr>
              <w:t>常住人口城镇化率（</w:t>
            </w:r>
            <w:r>
              <w:rPr>
                <w:rFonts w:ascii="Times New Roman" w:eastAsia="Times New Roman"/>
                <w:sz w:val="18"/>
              </w:rPr>
              <w:t>%</w:t>
            </w:r>
            <w:r>
              <w:rPr>
                <w:sz w:val="18"/>
              </w:rPr>
              <w:t>）</w:t>
            </w:r>
          </w:p>
        </w:tc>
        <w:tc>
          <w:tcPr>
            <w:tcW w:w="898" w:type="dxa"/>
          </w:tcPr>
          <w:p>
            <w:pPr>
              <w:pStyle w:val="8"/>
              <w:spacing w:before="85"/>
              <w:ind w:left="85" w:right="82"/>
              <w:rPr>
                <w:rFonts w:ascii="Times New Roman"/>
                <w:sz w:val="21"/>
              </w:rPr>
            </w:pPr>
            <w:r>
              <w:rPr>
                <w:rFonts w:ascii="Times New Roman"/>
                <w:sz w:val="21"/>
              </w:rPr>
              <w:t>60</w:t>
            </w:r>
          </w:p>
        </w:tc>
        <w:tc>
          <w:tcPr>
            <w:tcW w:w="1159" w:type="dxa"/>
          </w:tcPr>
          <w:p>
            <w:pPr>
              <w:pStyle w:val="8"/>
              <w:spacing w:before="85"/>
              <w:ind w:left="216" w:right="211"/>
              <w:rPr>
                <w:rFonts w:ascii="Times New Roman"/>
                <w:sz w:val="21"/>
              </w:rPr>
            </w:pPr>
            <w:r>
              <w:rPr>
                <w:rFonts w:ascii="Times New Roman"/>
                <w:sz w:val="21"/>
              </w:rPr>
              <w:t>65</w:t>
            </w:r>
          </w:p>
        </w:tc>
        <w:tc>
          <w:tcPr>
            <w:tcW w:w="1132" w:type="dxa"/>
          </w:tcPr>
          <w:p>
            <w:pPr>
              <w:pStyle w:val="8"/>
              <w:spacing w:before="85"/>
              <w:ind w:left="121" w:right="117"/>
              <w:rPr>
                <w:rFonts w:ascii="Times New Roman"/>
                <w:sz w:val="21"/>
              </w:rPr>
            </w:pPr>
            <w:r>
              <w:rPr>
                <w:rFonts w:ascii="Times New Roman"/>
                <w:sz w:val="21"/>
              </w:rPr>
              <w:t>1.6</w:t>
            </w:r>
          </w:p>
        </w:tc>
        <w:tc>
          <w:tcPr>
            <w:tcW w:w="1091" w:type="dxa"/>
          </w:tcPr>
          <w:p>
            <w:pPr>
              <w:pStyle w:val="8"/>
              <w:spacing w:before="71"/>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10" w:type="dxa"/>
            <w:vMerge w:val="continue"/>
            <w:tcBorders>
              <w:top w:val="nil"/>
            </w:tcBorders>
          </w:tcPr>
          <w:p>
            <w:pPr>
              <w:rPr>
                <w:sz w:val="2"/>
                <w:szCs w:val="2"/>
              </w:rPr>
            </w:pPr>
          </w:p>
        </w:tc>
        <w:tc>
          <w:tcPr>
            <w:tcW w:w="3843" w:type="dxa"/>
          </w:tcPr>
          <w:p>
            <w:pPr>
              <w:pStyle w:val="8"/>
              <w:spacing w:before="109"/>
              <w:ind w:left="108"/>
              <w:jc w:val="left"/>
              <w:rPr>
                <w:sz w:val="18"/>
              </w:rPr>
            </w:pPr>
            <w:r>
              <w:rPr>
                <w:rFonts w:ascii="Times New Roman" w:hAnsi="Times New Roman" w:eastAsia="Times New Roman"/>
                <w:sz w:val="18"/>
              </w:rPr>
              <w:t>4.</w:t>
            </w:r>
            <w:r>
              <w:rPr>
                <w:sz w:val="18"/>
              </w:rPr>
              <w:t>“四新”经济增加值占比（</w:t>
            </w:r>
            <w:r>
              <w:rPr>
                <w:rFonts w:ascii="Times New Roman" w:hAnsi="Times New Roman" w:eastAsia="Times New Roman"/>
                <w:sz w:val="18"/>
              </w:rPr>
              <w:t>%</w:t>
            </w:r>
            <w:r>
              <w:rPr>
                <w:sz w:val="18"/>
              </w:rPr>
              <w:t>）</w:t>
            </w:r>
          </w:p>
        </w:tc>
        <w:tc>
          <w:tcPr>
            <w:tcW w:w="898" w:type="dxa"/>
          </w:tcPr>
          <w:p>
            <w:pPr>
              <w:pStyle w:val="8"/>
              <w:spacing w:before="103"/>
              <w:ind w:left="85" w:right="82"/>
              <w:rPr>
                <w:rFonts w:ascii="Times New Roman"/>
                <w:sz w:val="21"/>
              </w:rPr>
            </w:pPr>
            <w:r>
              <w:rPr>
                <w:rFonts w:ascii="Times New Roman"/>
                <w:sz w:val="21"/>
              </w:rPr>
              <w:t>24</w:t>
            </w:r>
          </w:p>
        </w:tc>
        <w:tc>
          <w:tcPr>
            <w:tcW w:w="1159" w:type="dxa"/>
          </w:tcPr>
          <w:p>
            <w:pPr>
              <w:pStyle w:val="8"/>
              <w:spacing w:before="103"/>
              <w:ind w:left="216" w:right="211"/>
              <w:rPr>
                <w:rFonts w:ascii="Times New Roman"/>
                <w:sz w:val="21"/>
              </w:rPr>
            </w:pPr>
            <w:r>
              <w:rPr>
                <w:rFonts w:ascii="Times New Roman"/>
                <w:sz w:val="21"/>
              </w:rPr>
              <w:t>30</w:t>
            </w:r>
          </w:p>
        </w:tc>
        <w:tc>
          <w:tcPr>
            <w:tcW w:w="1132" w:type="dxa"/>
          </w:tcPr>
          <w:p>
            <w:pPr>
              <w:pStyle w:val="8"/>
              <w:spacing w:before="103"/>
              <w:ind w:left="121" w:right="117"/>
              <w:rPr>
                <w:rFonts w:ascii="Times New Roman"/>
                <w:sz w:val="21"/>
              </w:rPr>
            </w:pPr>
            <w:r>
              <w:rPr>
                <w:rFonts w:ascii="Times New Roman"/>
                <w:sz w:val="21"/>
              </w:rPr>
              <w:t>4.6</w:t>
            </w:r>
          </w:p>
        </w:tc>
        <w:tc>
          <w:tcPr>
            <w:tcW w:w="1091" w:type="dxa"/>
          </w:tcPr>
          <w:p>
            <w:pPr>
              <w:pStyle w:val="8"/>
              <w:spacing w:before="89"/>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8" w:hRule="atLeast"/>
        </w:trPr>
        <w:tc>
          <w:tcPr>
            <w:tcW w:w="810" w:type="dxa"/>
            <w:vMerge w:val="continue"/>
            <w:tcBorders>
              <w:top w:val="nil"/>
            </w:tcBorders>
          </w:tcPr>
          <w:p>
            <w:pPr>
              <w:rPr>
                <w:sz w:val="2"/>
                <w:szCs w:val="2"/>
              </w:rPr>
            </w:pPr>
          </w:p>
        </w:tc>
        <w:tc>
          <w:tcPr>
            <w:tcW w:w="3843" w:type="dxa"/>
          </w:tcPr>
          <w:p>
            <w:pPr>
              <w:pStyle w:val="8"/>
              <w:spacing w:before="78"/>
              <w:ind w:left="108"/>
              <w:jc w:val="left"/>
              <w:rPr>
                <w:sz w:val="18"/>
              </w:rPr>
            </w:pPr>
            <w:r>
              <w:rPr>
                <w:rFonts w:ascii="Times New Roman" w:eastAsia="Times New Roman"/>
                <w:sz w:val="18"/>
              </w:rPr>
              <w:t>5.</w:t>
            </w:r>
            <w:r>
              <w:rPr>
                <w:sz w:val="18"/>
              </w:rPr>
              <w:t>进出口总额（亿元）</w:t>
            </w:r>
          </w:p>
        </w:tc>
        <w:tc>
          <w:tcPr>
            <w:tcW w:w="898" w:type="dxa"/>
          </w:tcPr>
          <w:p>
            <w:pPr>
              <w:pStyle w:val="8"/>
              <w:spacing w:before="74"/>
              <w:ind w:left="85" w:right="82"/>
              <w:rPr>
                <w:rFonts w:ascii="Times New Roman"/>
                <w:sz w:val="21"/>
              </w:rPr>
            </w:pPr>
            <w:r>
              <w:rPr>
                <w:rFonts w:ascii="Times New Roman"/>
                <w:sz w:val="21"/>
              </w:rPr>
              <w:t>42</w:t>
            </w:r>
          </w:p>
        </w:tc>
        <w:tc>
          <w:tcPr>
            <w:tcW w:w="1159" w:type="dxa"/>
          </w:tcPr>
          <w:p>
            <w:pPr>
              <w:pStyle w:val="8"/>
              <w:spacing w:before="74"/>
              <w:ind w:left="216" w:right="211"/>
              <w:rPr>
                <w:rFonts w:ascii="Times New Roman"/>
                <w:sz w:val="21"/>
              </w:rPr>
            </w:pPr>
            <w:r>
              <w:rPr>
                <w:rFonts w:ascii="Times New Roman"/>
                <w:sz w:val="21"/>
              </w:rPr>
              <w:t>56</w:t>
            </w:r>
          </w:p>
        </w:tc>
        <w:tc>
          <w:tcPr>
            <w:tcW w:w="1132" w:type="dxa"/>
          </w:tcPr>
          <w:p>
            <w:pPr>
              <w:pStyle w:val="8"/>
              <w:spacing w:before="74"/>
              <w:ind w:left="4"/>
              <w:rPr>
                <w:rFonts w:ascii="Times New Roman"/>
                <w:sz w:val="21"/>
              </w:rPr>
            </w:pPr>
            <w:r>
              <w:rPr>
                <w:rFonts w:ascii="Times New Roman"/>
                <w:w w:val="99"/>
                <w:sz w:val="21"/>
              </w:rPr>
              <w:t>6</w:t>
            </w:r>
          </w:p>
        </w:tc>
        <w:tc>
          <w:tcPr>
            <w:tcW w:w="1091" w:type="dxa"/>
          </w:tcPr>
          <w:p>
            <w:pPr>
              <w:pStyle w:val="8"/>
              <w:spacing w:before="60"/>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 w:hRule="atLeast"/>
        </w:trPr>
        <w:tc>
          <w:tcPr>
            <w:tcW w:w="810" w:type="dxa"/>
            <w:vMerge w:val="restart"/>
          </w:tcPr>
          <w:p>
            <w:pPr>
              <w:pStyle w:val="8"/>
              <w:ind w:left="0"/>
              <w:jc w:val="left"/>
              <w:rPr>
                <w:rFonts w:ascii="仿宋_GB2312"/>
                <w:b/>
                <w:sz w:val="20"/>
              </w:rPr>
            </w:pPr>
          </w:p>
          <w:p>
            <w:pPr>
              <w:pStyle w:val="8"/>
              <w:spacing w:before="8"/>
              <w:ind w:left="0"/>
              <w:jc w:val="left"/>
              <w:rPr>
                <w:rFonts w:ascii="仿宋_GB2312"/>
                <w:b/>
                <w:sz w:val="24"/>
              </w:rPr>
            </w:pPr>
          </w:p>
          <w:p>
            <w:pPr>
              <w:pStyle w:val="8"/>
              <w:spacing w:line="230" w:lineRule="auto"/>
              <w:ind w:left="193" w:right="188"/>
              <w:jc w:val="left"/>
              <w:rPr>
                <w:b/>
                <w:sz w:val="21"/>
              </w:rPr>
            </w:pPr>
            <w:r>
              <w:rPr>
                <w:b/>
                <w:sz w:val="21"/>
              </w:rPr>
              <w:t>创新驱动</w:t>
            </w:r>
          </w:p>
        </w:tc>
        <w:tc>
          <w:tcPr>
            <w:tcW w:w="3843" w:type="dxa"/>
          </w:tcPr>
          <w:p>
            <w:pPr>
              <w:pStyle w:val="8"/>
              <w:spacing w:before="77"/>
              <w:ind w:left="108"/>
              <w:jc w:val="left"/>
              <w:rPr>
                <w:sz w:val="18"/>
              </w:rPr>
            </w:pPr>
            <w:r>
              <w:rPr>
                <w:rFonts w:ascii="Times New Roman" w:eastAsia="Times New Roman"/>
                <w:sz w:val="18"/>
              </w:rPr>
              <w:t xml:space="preserve">6.R&amp;D </w:t>
            </w:r>
            <w:r>
              <w:rPr>
                <w:sz w:val="18"/>
              </w:rPr>
              <w:t xml:space="preserve">经费支出占 </w:t>
            </w:r>
            <w:r>
              <w:rPr>
                <w:rFonts w:ascii="Times New Roman" w:eastAsia="Times New Roman"/>
                <w:sz w:val="18"/>
              </w:rPr>
              <w:t xml:space="preserve">GDP </w:t>
            </w:r>
            <w:r>
              <w:rPr>
                <w:sz w:val="18"/>
              </w:rPr>
              <w:t>比重（</w:t>
            </w:r>
            <w:r>
              <w:rPr>
                <w:rFonts w:ascii="Times New Roman" w:eastAsia="Times New Roman"/>
                <w:sz w:val="18"/>
              </w:rPr>
              <w:t>%</w:t>
            </w:r>
            <w:r>
              <w:rPr>
                <w:sz w:val="18"/>
              </w:rPr>
              <w:t>）</w:t>
            </w:r>
          </w:p>
        </w:tc>
        <w:tc>
          <w:tcPr>
            <w:tcW w:w="898" w:type="dxa"/>
          </w:tcPr>
          <w:p>
            <w:pPr>
              <w:pStyle w:val="8"/>
              <w:spacing w:before="71"/>
              <w:ind w:left="85" w:right="82"/>
              <w:rPr>
                <w:rFonts w:ascii="Times New Roman"/>
                <w:sz w:val="21"/>
              </w:rPr>
            </w:pPr>
            <w:r>
              <w:rPr>
                <w:rFonts w:ascii="Times New Roman"/>
                <w:sz w:val="21"/>
              </w:rPr>
              <w:t>2.84</w:t>
            </w:r>
          </w:p>
        </w:tc>
        <w:tc>
          <w:tcPr>
            <w:tcW w:w="1159" w:type="dxa"/>
          </w:tcPr>
          <w:p>
            <w:pPr>
              <w:pStyle w:val="8"/>
              <w:spacing w:before="71"/>
              <w:ind w:left="216" w:right="211"/>
              <w:rPr>
                <w:rFonts w:ascii="Times New Roman"/>
                <w:sz w:val="21"/>
              </w:rPr>
            </w:pPr>
            <w:r>
              <w:rPr>
                <w:rFonts w:ascii="Times New Roman"/>
                <w:sz w:val="21"/>
              </w:rPr>
              <w:t>3.0</w:t>
            </w:r>
          </w:p>
        </w:tc>
        <w:tc>
          <w:tcPr>
            <w:tcW w:w="1132" w:type="dxa"/>
          </w:tcPr>
          <w:p>
            <w:pPr>
              <w:pStyle w:val="8"/>
              <w:spacing w:before="71"/>
              <w:ind w:left="121" w:right="117"/>
              <w:rPr>
                <w:rFonts w:ascii="Times New Roman"/>
                <w:sz w:val="21"/>
              </w:rPr>
            </w:pPr>
            <w:r>
              <w:rPr>
                <w:rFonts w:ascii="Times New Roman"/>
                <w:sz w:val="21"/>
              </w:rPr>
              <w:t>1.1</w:t>
            </w:r>
          </w:p>
        </w:tc>
        <w:tc>
          <w:tcPr>
            <w:tcW w:w="1091" w:type="dxa"/>
          </w:tcPr>
          <w:p>
            <w:pPr>
              <w:pStyle w:val="8"/>
              <w:spacing w:before="57"/>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810" w:type="dxa"/>
            <w:vMerge w:val="continue"/>
            <w:tcBorders>
              <w:top w:val="nil"/>
            </w:tcBorders>
          </w:tcPr>
          <w:p>
            <w:pPr>
              <w:rPr>
                <w:sz w:val="2"/>
                <w:szCs w:val="2"/>
              </w:rPr>
            </w:pPr>
          </w:p>
        </w:tc>
        <w:tc>
          <w:tcPr>
            <w:tcW w:w="3843" w:type="dxa"/>
          </w:tcPr>
          <w:p>
            <w:pPr>
              <w:pStyle w:val="8"/>
              <w:spacing w:before="89"/>
              <w:ind w:left="108"/>
              <w:jc w:val="left"/>
              <w:rPr>
                <w:sz w:val="18"/>
              </w:rPr>
            </w:pPr>
            <w:r>
              <w:rPr>
                <w:rFonts w:ascii="Times New Roman" w:eastAsia="Times New Roman"/>
                <w:sz w:val="18"/>
              </w:rPr>
              <w:t>7.</w:t>
            </w:r>
            <w:r>
              <w:rPr>
                <w:sz w:val="18"/>
              </w:rPr>
              <w:t>万人高价值发明专利拥有量（个）</w:t>
            </w:r>
          </w:p>
        </w:tc>
        <w:tc>
          <w:tcPr>
            <w:tcW w:w="898" w:type="dxa"/>
          </w:tcPr>
          <w:p>
            <w:pPr>
              <w:pStyle w:val="8"/>
              <w:spacing w:before="85"/>
              <w:ind w:left="85" w:right="82"/>
              <w:rPr>
                <w:rFonts w:ascii="Times New Roman"/>
                <w:sz w:val="21"/>
              </w:rPr>
            </w:pPr>
            <w:r>
              <w:rPr>
                <w:rFonts w:ascii="Times New Roman"/>
                <w:sz w:val="21"/>
              </w:rPr>
              <w:t>2.86</w:t>
            </w:r>
          </w:p>
        </w:tc>
        <w:tc>
          <w:tcPr>
            <w:tcW w:w="1159" w:type="dxa"/>
          </w:tcPr>
          <w:p>
            <w:pPr>
              <w:pStyle w:val="8"/>
              <w:spacing w:before="85"/>
              <w:ind w:left="216" w:right="211"/>
              <w:rPr>
                <w:rFonts w:ascii="Times New Roman"/>
                <w:sz w:val="21"/>
              </w:rPr>
            </w:pPr>
            <w:r>
              <w:rPr>
                <w:rFonts w:ascii="Times New Roman"/>
                <w:sz w:val="21"/>
              </w:rPr>
              <w:t>4.2</w:t>
            </w:r>
          </w:p>
        </w:tc>
        <w:tc>
          <w:tcPr>
            <w:tcW w:w="1132" w:type="dxa"/>
          </w:tcPr>
          <w:p>
            <w:pPr>
              <w:pStyle w:val="8"/>
              <w:spacing w:before="85"/>
              <w:ind w:left="4"/>
              <w:rPr>
                <w:rFonts w:ascii="Times New Roman"/>
                <w:sz w:val="21"/>
              </w:rPr>
            </w:pPr>
            <w:r>
              <w:rPr>
                <w:rFonts w:ascii="Times New Roman"/>
                <w:w w:val="99"/>
                <w:sz w:val="21"/>
              </w:rPr>
              <w:t>8</w:t>
            </w:r>
          </w:p>
        </w:tc>
        <w:tc>
          <w:tcPr>
            <w:tcW w:w="1091" w:type="dxa"/>
          </w:tcPr>
          <w:p>
            <w:pPr>
              <w:pStyle w:val="8"/>
              <w:spacing w:before="68"/>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6" w:hRule="atLeast"/>
        </w:trPr>
        <w:tc>
          <w:tcPr>
            <w:tcW w:w="810" w:type="dxa"/>
            <w:vMerge w:val="continue"/>
            <w:tcBorders>
              <w:top w:val="nil"/>
            </w:tcBorders>
          </w:tcPr>
          <w:p>
            <w:pPr>
              <w:rPr>
                <w:sz w:val="2"/>
                <w:szCs w:val="2"/>
              </w:rPr>
            </w:pPr>
          </w:p>
        </w:tc>
        <w:tc>
          <w:tcPr>
            <w:tcW w:w="3843" w:type="dxa"/>
          </w:tcPr>
          <w:p>
            <w:pPr>
              <w:pStyle w:val="8"/>
              <w:spacing w:before="98"/>
              <w:ind w:left="108"/>
              <w:jc w:val="left"/>
              <w:rPr>
                <w:sz w:val="18"/>
              </w:rPr>
            </w:pPr>
            <w:r>
              <w:rPr>
                <w:rFonts w:ascii="Times New Roman" w:eastAsia="Times New Roman"/>
                <w:sz w:val="18"/>
              </w:rPr>
              <w:t>8.</w:t>
            </w:r>
            <w:r>
              <w:rPr>
                <w:sz w:val="18"/>
              </w:rPr>
              <w:t>高新技术企业数量（个）</w:t>
            </w:r>
          </w:p>
        </w:tc>
        <w:tc>
          <w:tcPr>
            <w:tcW w:w="898" w:type="dxa"/>
          </w:tcPr>
          <w:p>
            <w:pPr>
              <w:pStyle w:val="8"/>
              <w:spacing w:before="92"/>
              <w:ind w:left="85" w:right="82"/>
              <w:rPr>
                <w:rFonts w:ascii="Times New Roman"/>
                <w:sz w:val="21"/>
              </w:rPr>
            </w:pPr>
            <w:r>
              <w:rPr>
                <w:rFonts w:ascii="Times New Roman"/>
                <w:sz w:val="21"/>
              </w:rPr>
              <w:t>92</w:t>
            </w:r>
          </w:p>
        </w:tc>
        <w:tc>
          <w:tcPr>
            <w:tcW w:w="1159" w:type="dxa"/>
          </w:tcPr>
          <w:p>
            <w:pPr>
              <w:pStyle w:val="8"/>
              <w:spacing w:before="92"/>
              <w:ind w:left="216" w:right="211"/>
              <w:rPr>
                <w:rFonts w:ascii="Times New Roman"/>
                <w:sz w:val="21"/>
              </w:rPr>
            </w:pPr>
            <w:r>
              <w:rPr>
                <w:rFonts w:ascii="Times New Roman"/>
                <w:sz w:val="21"/>
              </w:rPr>
              <w:t>150</w:t>
            </w:r>
          </w:p>
        </w:tc>
        <w:tc>
          <w:tcPr>
            <w:tcW w:w="1132" w:type="dxa"/>
          </w:tcPr>
          <w:p>
            <w:pPr>
              <w:pStyle w:val="8"/>
              <w:spacing w:before="92"/>
              <w:ind w:left="121" w:right="117"/>
              <w:rPr>
                <w:rFonts w:ascii="Times New Roman"/>
                <w:sz w:val="21"/>
              </w:rPr>
            </w:pPr>
            <w:r>
              <w:rPr>
                <w:rFonts w:ascii="Times New Roman"/>
                <w:sz w:val="21"/>
              </w:rPr>
              <w:t>10</w:t>
            </w:r>
          </w:p>
        </w:tc>
        <w:tc>
          <w:tcPr>
            <w:tcW w:w="1091" w:type="dxa"/>
          </w:tcPr>
          <w:p>
            <w:pPr>
              <w:pStyle w:val="8"/>
              <w:spacing w:before="76"/>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1" w:hRule="atLeast"/>
        </w:trPr>
        <w:tc>
          <w:tcPr>
            <w:tcW w:w="810" w:type="dxa"/>
            <w:vMerge w:val="continue"/>
            <w:tcBorders>
              <w:top w:val="nil"/>
            </w:tcBorders>
          </w:tcPr>
          <w:p>
            <w:pPr>
              <w:rPr>
                <w:sz w:val="2"/>
                <w:szCs w:val="2"/>
              </w:rPr>
            </w:pPr>
          </w:p>
        </w:tc>
        <w:tc>
          <w:tcPr>
            <w:tcW w:w="3843" w:type="dxa"/>
          </w:tcPr>
          <w:p>
            <w:pPr>
              <w:pStyle w:val="8"/>
              <w:spacing w:before="90"/>
              <w:ind w:left="108"/>
              <w:jc w:val="left"/>
              <w:rPr>
                <w:sz w:val="18"/>
              </w:rPr>
            </w:pPr>
            <w:r>
              <w:rPr>
                <w:rFonts w:ascii="Times New Roman" w:eastAsia="Times New Roman"/>
                <w:sz w:val="18"/>
              </w:rPr>
              <w:t>9.</w:t>
            </w:r>
            <w:r>
              <w:rPr>
                <w:sz w:val="18"/>
              </w:rPr>
              <w:t xml:space="preserve">数字经济核心产业增加值占 </w:t>
            </w:r>
            <w:r>
              <w:rPr>
                <w:rFonts w:ascii="Times New Roman" w:eastAsia="Times New Roman"/>
                <w:sz w:val="18"/>
              </w:rPr>
              <w:t xml:space="preserve">GDP </w:t>
            </w:r>
            <w:r>
              <w:rPr>
                <w:sz w:val="18"/>
              </w:rPr>
              <w:t>比重（</w:t>
            </w:r>
            <w:r>
              <w:rPr>
                <w:rFonts w:ascii="Times New Roman" w:eastAsia="Times New Roman"/>
                <w:sz w:val="18"/>
              </w:rPr>
              <w:t>%</w:t>
            </w:r>
            <w:r>
              <w:rPr>
                <w:sz w:val="18"/>
              </w:rPr>
              <w:t>）</w:t>
            </w:r>
          </w:p>
        </w:tc>
        <w:tc>
          <w:tcPr>
            <w:tcW w:w="898" w:type="dxa"/>
          </w:tcPr>
          <w:p>
            <w:pPr>
              <w:pStyle w:val="8"/>
              <w:spacing w:before="86"/>
              <w:ind w:left="85" w:right="82"/>
              <w:rPr>
                <w:rFonts w:ascii="Times New Roman"/>
                <w:sz w:val="21"/>
              </w:rPr>
            </w:pPr>
            <w:r>
              <w:rPr>
                <w:rFonts w:ascii="Times New Roman"/>
                <w:sz w:val="21"/>
              </w:rPr>
              <w:t>36</w:t>
            </w:r>
          </w:p>
        </w:tc>
        <w:tc>
          <w:tcPr>
            <w:tcW w:w="1159" w:type="dxa"/>
          </w:tcPr>
          <w:p>
            <w:pPr>
              <w:pStyle w:val="8"/>
              <w:spacing w:before="86"/>
              <w:ind w:left="216" w:right="211"/>
              <w:rPr>
                <w:rFonts w:ascii="Times New Roman"/>
                <w:sz w:val="21"/>
              </w:rPr>
            </w:pPr>
            <w:r>
              <w:rPr>
                <w:rFonts w:ascii="Times New Roman"/>
                <w:sz w:val="21"/>
              </w:rPr>
              <w:t>45</w:t>
            </w:r>
          </w:p>
        </w:tc>
        <w:tc>
          <w:tcPr>
            <w:tcW w:w="1132" w:type="dxa"/>
          </w:tcPr>
          <w:p>
            <w:pPr>
              <w:pStyle w:val="8"/>
              <w:spacing w:before="86"/>
              <w:ind w:left="121" w:right="117"/>
              <w:rPr>
                <w:rFonts w:ascii="Times New Roman"/>
                <w:sz w:val="21"/>
              </w:rPr>
            </w:pPr>
            <w:r>
              <w:rPr>
                <w:rFonts w:ascii="Times New Roman"/>
                <w:sz w:val="21"/>
              </w:rPr>
              <w:t>4.6</w:t>
            </w:r>
          </w:p>
        </w:tc>
        <w:tc>
          <w:tcPr>
            <w:tcW w:w="1091" w:type="dxa"/>
          </w:tcPr>
          <w:p>
            <w:pPr>
              <w:pStyle w:val="8"/>
              <w:spacing w:before="69"/>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5" w:hRule="atLeast"/>
        </w:trPr>
        <w:tc>
          <w:tcPr>
            <w:tcW w:w="810" w:type="dxa"/>
            <w:vMerge w:val="restart"/>
          </w:tcPr>
          <w:p>
            <w:pPr>
              <w:pStyle w:val="8"/>
              <w:ind w:left="0"/>
              <w:jc w:val="left"/>
              <w:rPr>
                <w:rFonts w:ascii="仿宋_GB2312"/>
                <w:b/>
                <w:sz w:val="20"/>
              </w:rPr>
            </w:pPr>
          </w:p>
          <w:p>
            <w:pPr>
              <w:pStyle w:val="8"/>
              <w:ind w:left="0"/>
              <w:jc w:val="left"/>
              <w:rPr>
                <w:rFonts w:ascii="仿宋_GB2312"/>
                <w:b/>
                <w:sz w:val="20"/>
              </w:rPr>
            </w:pPr>
          </w:p>
          <w:p>
            <w:pPr>
              <w:pStyle w:val="8"/>
              <w:ind w:left="0"/>
              <w:jc w:val="left"/>
              <w:rPr>
                <w:rFonts w:ascii="仿宋_GB2312"/>
                <w:b/>
                <w:sz w:val="20"/>
              </w:rPr>
            </w:pPr>
          </w:p>
          <w:p>
            <w:pPr>
              <w:pStyle w:val="8"/>
              <w:ind w:left="0"/>
              <w:jc w:val="left"/>
              <w:rPr>
                <w:rFonts w:ascii="仿宋_GB2312"/>
                <w:b/>
                <w:sz w:val="20"/>
              </w:rPr>
            </w:pPr>
          </w:p>
          <w:p>
            <w:pPr>
              <w:pStyle w:val="8"/>
              <w:spacing w:before="11"/>
              <w:ind w:left="0"/>
              <w:jc w:val="left"/>
              <w:rPr>
                <w:rFonts w:ascii="仿宋_GB2312"/>
                <w:b/>
                <w:sz w:val="24"/>
              </w:rPr>
            </w:pPr>
          </w:p>
          <w:p>
            <w:pPr>
              <w:pStyle w:val="8"/>
              <w:spacing w:line="230" w:lineRule="auto"/>
              <w:ind w:left="193" w:right="188"/>
              <w:jc w:val="left"/>
              <w:rPr>
                <w:b/>
                <w:sz w:val="21"/>
              </w:rPr>
            </w:pPr>
            <w:r>
              <w:rPr>
                <w:b/>
                <w:sz w:val="21"/>
              </w:rPr>
              <w:t>民生福祉</w:t>
            </w:r>
          </w:p>
        </w:tc>
        <w:tc>
          <w:tcPr>
            <w:tcW w:w="3843" w:type="dxa"/>
          </w:tcPr>
          <w:p>
            <w:pPr>
              <w:pStyle w:val="8"/>
              <w:spacing w:before="153"/>
              <w:ind w:left="108"/>
              <w:jc w:val="left"/>
              <w:rPr>
                <w:sz w:val="18"/>
              </w:rPr>
            </w:pPr>
            <w:r>
              <w:rPr>
                <w:rFonts w:ascii="Times New Roman" w:eastAsia="Times New Roman"/>
                <w:sz w:val="18"/>
              </w:rPr>
              <w:t>10.</w:t>
            </w:r>
            <w:r>
              <w:rPr>
                <w:sz w:val="18"/>
              </w:rPr>
              <w:t>居民人均可支配收入增长速度（</w:t>
            </w:r>
            <w:r>
              <w:rPr>
                <w:rFonts w:ascii="Times New Roman" w:eastAsia="Times New Roman"/>
                <w:sz w:val="18"/>
              </w:rPr>
              <w:t>%</w:t>
            </w:r>
            <w:r>
              <w:rPr>
                <w:sz w:val="18"/>
              </w:rPr>
              <w:t>）</w:t>
            </w:r>
          </w:p>
        </w:tc>
        <w:tc>
          <w:tcPr>
            <w:tcW w:w="898" w:type="dxa"/>
          </w:tcPr>
          <w:p>
            <w:pPr>
              <w:pStyle w:val="8"/>
              <w:spacing w:before="146"/>
              <w:ind w:left="3"/>
              <w:rPr>
                <w:rFonts w:ascii="Times New Roman"/>
                <w:sz w:val="21"/>
              </w:rPr>
            </w:pPr>
            <w:r>
              <w:rPr>
                <w:rFonts w:ascii="Times New Roman"/>
                <w:w w:val="99"/>
                <w:sz w:val="21"/>
              </w:rPr>
              <w:t>6</w:t>
            </w:r>
          </w:p>
        </w:tc>
        <w:tc>
          <w:tcPr>
            <w:tcW w:w="1159" w:type="dxa"/>
          </w:tcPr>
          <w:p>
            <w:pPr>
              <w:pStyle w:val="8"/>
              <w:spacing w:before="132"/>
              <w:ind w:left="4"/>
              <w:rPr>
                <w:sz w:val="21"/>
              </w:rPr>
            </w:pPr>
            <w:r>
              <w:rPr>
                <w:w w:val="99"/>
                <w:sz w:val="21"/>
              </w:rPr>
              <w:t>—</w:t>
            </w:r>
          </w:p>
        </w:tc>
        <w:tc>
          <w:tcPr>
            <w:tcW w:w="1132" w:type="dxa"/>
          </w:tcPr>
          <w:p>
            <w:pPr>
              <w:pStyle w:val="8"/>
              <w:spacing w:before="35" w:line="242" w:lineRule="auto"/>
              <w:ind w:left="295" w:right="92" w:hanging="135"/>
              <w:jc w:val="left"/>
              <w:rPr>
                <w:sz w:val="18"/>
              </w:rPr>
            </w:pPr>
            <w:r>
              <w:rPr>
                <w:sz w:val="18"/>
              </w:rPr>
              <w:t xml:space="preserve">与 </w:t>
            </w:r>
            <w:r>
              <w:rPr>
                <w:rFonts w:ascii="Times New Roman" w:eastAsia="Times New Roman"/>
                <w:sz w:val="18"/>
              </w:rPr>
              <w:t xml:space="preserve">GDP </w:t>
            </w:r>
            <w:r>
              <w:rPr>
                <w:sz w:val="18"/>
              </w:rPr>
              <w:t>增速同步</w:t>
            </w:r>
          </w:p>
        </w:tc>
        <w:tc>
          <w:tcPr>
            <w:tcW w:w="1091" w:type="dxa"/>
          </w:tcPr>
          <w:p>
            <w:pPr>
              <w:pStyle w:val="8"/>
              <w:spacing w:before="132"/>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10" w:type="dxa"/>
            <w:vMerge w:val="continue"/>
            <w:tcBorders>
              <w:top w:val="nil"/>
            </w:tcBorders>
          </w:tcPr>
          <w:p>
            <w:pPr>
              <w:rPr>
                <w:sz w:val="2"/>
                <w:szCs w:val="2"/>
              </w:rPr>
            </w:pPr>
          </w:p>
        </w:tc>
        <w:tc>
          <w:tcPr>
            <w:tcW w:w="3843" w:type="dxa"/>
          </w:tcPr>
          <w:p>
            <w:pPr>
              <w:pStyle w:val="8"/>
              <w:spacing w:before="110"/>
              <w:ind w:left="108"/>
              <w:jc w:val="left"/>
              <w:rPr>
                <w:sz w:val="18"/>
              </w:rPr>
            </w:pPr>
            <w:r>
              <w:rPr>
                <w:rFonts w:ascii="Times New Roman" w:eastAsia="Times New Roman"/>
                <w:sz w:val="18"/>
              </w:rPr>
              <w:t>11.</w:t>
            </w:r>
            <w:r>
              <w:rPr>
                <w:sz w:val="18"/>
              </w:rPr>
              <w:t>城镇调查失业率（</w:t>
            </w:r>
            <w:r>
              <w:rPr>
                <w:rFonts w:ascii="Times New Roman" w:eastAsia="Times New Roman"/>
                <w:sz w:val="18"/>
              </w:rPr>
              <w:t>%</w:t>
            </w:r>
            <w:r>
              <w:rPr>
                <w:sz w:val="18"/>
              </w:rPr>
              <w:t>）</w:t>
            </w:r>
          </w:p>
        </w:tc>
        <w:tc>
          <w:tcPr>
            <w:tcW w:w="898" w:type="dxa"/>
          </w:tcPr>
          <w:p>
            <w:pPr>
              <w:pStyle w:val="8"/>
              <w:spacing w:before="103"/>
              <w:ind w:left="85" w:right="82"/>
              <w:rPr>
                <w:rFonts w:ascii="Times New Roman"/>
                <w:sz w:val="21"/>
              </w:rPr>
            </w:pPr>
            <w:r>
              <w:rPr>
                <w:rFonts w:ascii="Times New Roman"/>
                <w:sz w:val="21"/>
              </w:rPr>
              <w:t>2.86</w:t>
            </w:r>
          </w:p>
        </w:tc>
        <w:tc>
          <w:tcPr>
            <w:tcW w:w="1159" w:type="dxa"/>
          </w:tcPr>
          <w:p>
            <w:pPr>
              <w:pStyle w:val="8"/>
              <w:spacing w:before="103"/>
              <w:ind w:left="216" w:right="213"/>
              <w:rPr>
                <w:rFonts w:ascii="Times New Roman"/>
                <w:sz w:val="21"/>
              </w:rPr>
            </w:pPr>
            <w:r>
              <w:rPr>
                <w:rFonts w:ascii="Times New Roman"/>
                <w:sz w:val="21"/>
              </w:rPr>
              <w:t>&lt;4.5</w:t>
            </w:r>
          </w:p>
        </w:tc>
        <w:tc>
          <w:tcPr>
            <w:tcW w:w="1132" w:type="dxa"/>
          </w:tcPr>
          <w:p>
            <w:pPr>
              <w:pStyle w:val="8"/>
              <w:spacing w:before="89"/>
              <w:ind w:left="3"/>
              <w:rPr>
                <w:sz w:val="21"/>
              </w:rPr>
            </w:pPr>
            <w:r>
              <w:rPr>
                <w:w w:val="99"/>
                <w:sz w:val="21"/>
              </w:rPr>
              <w:t>—</w:t>
            </w:r>
          </w:p>
        </w:tc>
        <w:tc>
          <w:tcPr>
            <w:tcW w:w="1091" w:type="dxa"/>
          </w:tcPr>
          <w:p>
            <w:pPr>
              <w:pStyle w:val="8"/>
              <w:spacing w:before="89"/>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vMerge w:val="continue"/>
            <w:tcBorders>
              <w:top w:val="nil"/>
            </w:tcBorders>
          </w:tcPr>
          <w:p>
            <w:pPr>
              <w:rPr>
                <w:sz w:val="2"/>
                <w:szCs w:val="2"/>
              </w:rPr>
            </w:pPr>
          </w:p>
        </w:tc>
        <w:tc>
          <w:tcPr>
            <w:tcW w:w="3843" w:type="dxa"/>
          </w:tcPr>
          <w:p>
            <w:pPr>
              <w:pStyle w:val="8"/>
              <w:spacing w:before="109"/>
              <w:ind w:left="108"/>
              <w:jc w:val="left"/>
              <w:rPr>
                <w:sz w:val="18"/>
              </w:rPr>
            </w:pPr>
            <w:r>
              <w:rPr>
                <w:rFonts w:ascii="Times New Roman" w:eastAsia="Times New Roman"/>
                <w:sz w:val="18"/>
              </w:rPr>
              <w:t>12.</w:t>
            </w:r>
            <w:r>
              <w:rPr>
                <w:sz w:val="18"/>
              </w:rPr>
              <w:t>劳动年龄人口平均受教育年限（年）</w:t>
            </w:r>
          </w:p>
        </w:tc>
        <w:tc>
          <w:tcPr>
            <w:tcW w:w="898" w:type="dxa"/>
          </w:tcPr>
          <w:p>
            <w:pPr>
              <w:pStyle w:val="8"/>
              <w:spacing w:before="103"/>
              <w:ind w:left="85" w:right="82"/>
              <w:rPr>
                <w:rFonts w:ascii="Times New Roman"/>
                <w:sz w:val="21"/>
              </w:rPr>
            </w:pPr>
            <w:r>
              <w:rPr>
                <w:rFonts w:ascii="Times New Roman"/>
                <w:sz w:val="21"/>
              </w:rPr>
              <w:t>10.5</w:t>
            </w:r>
          </w:p>
        </w:tc>
        <w:tc>
          <w:tcPr>
            <w:tcW w:w="1159" w:type="dxa"/>
          </w:tcPr>
          <w:p>
            <w:pPr>
              <w:pStyle w:val="8"/>
              <w:spacing w:before="103"/>
              <w:ind w:left="216" w:right="211"/>
              <w:rPr>
                <w:rFonts w:ascii="Times New Roman"/>
                <w:sz w:val="21"/>
              </w:rPr>
            </w:pPr>
            <w:r>
              <w:rPr>
                <w:rFonts w:ascii="Times New Roman"/>
                <w:sz w:val="21"/>
              </w:rPr>
              <w:t>11</w:t>
            </w:r>
          </w:p>
        </w:tc>
        <w:tc>
          <w:tcPr>
            <w:tcW w:w="1132" w:type="dxa"/>
          </w:tcPr>
          <w:p>
            <w:pPr>
              <w:pStyle w:val="8"/>
              <w:spacing w:before="103"/>
              <w:ind w:left="121" w:right="117"/>
              <w:rPr>
                <w:rFonts w:ascii="Times New Roman"/>
                <w:sz w:val="21"/>
              </w:rPr>
            </w:pPr>
            <w:r>
              <w:rPr>
                <w:rFonts w:ascii="Times New Roman"/>
                <w:sz w:val="21"/>
              </w:rPr>
              <w:t>0.9</w:t>
            </w:r>
          </w:p>
        </w:tc>
        <w:tc>
          <w:tcPr>
            <w:tcW w:w="1091" w:type="dxa"/>
          </w:tcPr>
          <w:p>
            <w:pPr>
              <w:pStyle w:val="8"/>
              <w:spacing w:before="89"/>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vMerge w:val="continue"/>
            <w:tcBorders>
              <w:top w:val="nil"/>
            </w:tcBorders>
          </w:tcPr>
          <w:p>
            <w:pPr>
              <w:rPr>
                <w:sz w:val="2"/>
                <w:szCs w:val="2"/>
              </w:rPr>
            </w:pPr>
          </w:p>
        </w:tc>
        <w:tc>
          <w:tcPr>
            <w:tcW w:w="3843" w:type="dxa"/>
          </w:tcPr>
          <w:p>
            <w:pPr>
              <w:pStyle w:val="8"/>
              <w:spacing w:before="109"/>
              <w:ind w:left="108"/>
              <w:jc w:val="left"/>
              <w:rPr>
                <w:sz w:val="18"/>
              </w:rPr>
            </w:pPr>
            <w:r>
              <w:rPr>
                <w:rFonts w:ascii="Times New Roman" w:eastAsia="Times New Roman"/>
                <w:sz w:val="18"/>
              </w:rPr>
              <w:t>13.</w:t>
            </w:r>
            <w:r>
              <w:rPr>
                <w:sz w:val="18"/>
              </w:rPr>
              <w:t>每千人拥有执业（助理）医师数（人）</w:t>
            </w:r>
          </w:p>
        </w:tc>
        <w:tc>
          <w:tcPr>
            <w:tcW w:w="898" w:type="dxa"/>
          </w:tcPr>
          <w:p>
            <w:pPr>
              <w:pStyle w:val="8"/>
              <w:spacing w:before="102"/>
              <w:ind w:left="85" w:right="82"/>
              <w:rPr>
                <w:rFonts w:ascii="Times New Roman"/>
                <w:sz w:val="21"/>
              </w:rPr>
            </w:pPr>
            <w:r>
              <w:rPr>
                <w:rFonts w:ascii="Times New Roman"/>
                <w:sz w:val="21"/>
              </w:rPr>
              <w:t>2.3</w:t>
            </w:r>
          </w:p>
        </w:tc>
        <w:tc>
          <w:tcPr>
            <w:tcW w:w="1159" w:type="dxa"/>
          </w:tcPr>
          <w:p>
            <w:pPr>
              <w:pStyle w:val="8"/>
              <w:spacing w:before="102"/>
              <w:ind w:left="216" w:right="211"/>
              <w:rPr>
                <w:rFonts w:ascii="Times New Roman"/>
                <w:sz w:val="21"/>
              </w:rPr>
            </w:pPr>
            <w:r>
              <w:rPr>
                <w:rFonts w:ascii="Times New Roman"/>
                <w:sz w:val="21"/>
              </w:rPr>
              <w:t>3.7</w:t>
            </w:r>
          </w:p>
        </w:tc>
        <w:tc>
          <w:tcPr>
            <w:tcW w:w="1132" w:type="dxa"/>
          </w:tcPr>
          <w:p>
            <w:pPr>
              <w:pStyle w:val="8"/>
              <w:spacing w:before="102"/>
              <w:ind w:left="121" w:right="117"/>
              <w:rPr>
                <w:rFonts w:ascii="Times New Roman"/>
                <w:sz w:val="21"/>
              </w:rPr>
            </w:pPr>
            <w:r>
              <w:rPr>
                <w:rFonts w:ascii="Times New Roman"/>
                <w:sz w:val="21"/>
              </w:rPr>
              <w:t>10</w:t>
            </w:r>
          </w:p>
        </w:tc>
        <w:tc>
          <w:tcPr>
            <w:tcW w:w="1091" w:type="dxa"/>
          </w:tcPr>
          <w:p>
            <w:pPr>
              <w:pStyle w:val="8"/>
              <w:spacing w:before="88"/>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vMerge w:val="continue"/>
            <w:tcBorders>
              <w:top w:val="nil"/>
            </w:tcBorders>
          </w:tcPr>
          <w:p>
            <w:pPr>
              <w:rPr>
                <w:sz w:val="2"/>
                <w:szCs w:val="2"/>
              </w:rPr>
            </w:pPr>
          </w:p>
        </w:tc>
        <w:tc>
          <w:tcPr>
            <w:tcW w:w="3843" w:type="dxa"/>
          </w:tcPr>
          <w:p>
            <w:pPr>
              <w:pStyle w:val="8"/>
              <w:spacing w:before="108"/>
              <w:ind w:left="108"/>
              <w:jc w:val="left"/>
              <w:rPr>
                <w:sz w:val="18"/>
              </w:rPr>
            </w:pPr>
            <w:r>
              <w:rPr>
                <w:rFonts w:ascii="Times New Roman" w:eastAsia="Times New Roman"/>
                <w:sz w:val="18"/>
              </w:rPr>
              <w:t>14.</w:t>
            </w:r>
            <w:r>
              <w:rPr>
                <w:sz w:val="18"/>
              </w:rPr>
              <w:t>基本养老保险参保率（</w:t>
            </w:r>
            <w:r>
              <w:rPr>
                <w:rFonts w:ascii="Times New Roman" w:eastAsia="Times New Roman"/>
                <w:sz w:val="18"/>
              </w:rPr>
              <w:t>%</w:t>
            </w:r>
            <w:r>
              <w:rPr>
                <w:sz w:val="18"/>
              </w:rPr>
              <w:t>）</w:t>
            </w:r>
          </w:p>
        </w:tc>
        <w:tc>
          <w:tcPr>
            <w:tcW w:w="898" w:type="dxa"/>
          </w:tcPr>
          <w:p>
            <w:pPr>
              <w:pStyle w:val="8"/>
              <w:spacing w:before="102"/>
              <w:ind w:left="85" w:right="82"/>
              <w:rPr>
                <w:rFonts w:ascii="Times New Roman"/>
                <w:sz w:val="21"/>
              </w:rPr>
            </w:pPr>
            <w:r>
              <w:rPr>
                <w:rFonts w:ascii="Times New Roman"/>
                <w:sz w:val="21"/>
              </w:rPr>
              <w:t>85</w:t>
            </w:r>
          </w:p>
        </w:tc>
        <w:tc>
          <w:tcPr>
            <w:tcW w:w="1159" w:type="dxa"/>
          </w:tcPr>
          <w:p>
            <w:pPr>
              <w:pStyle w:val="8"/>
              <w:spacing w:before="102"/>
              <w:ind w:left="216" w:right="211"/>
              <w:rPr>
                <w:rFonts w:ascii="Times New Roman"/>
                <w:sz w:val="21"/>
              </w:rPr>
            </w:pPr>
            <w:r>
              <w:rPr>
                <w:rFonts w:ascii="Times New Roman"/>
                <w:sz w:val="21"/>
              </w:rPr>
              <w:t>90</w:t>
            </w:r>
          </w:p>
        </w:tc>
        <w:tc>
          <w:tcPr>
            <w:tcW w:w="1132" w:type="dxa"/>
          </w:tcPr>
          <w:p>
            <w:pPr>
              <w:pStyle w:val="8"/>
              <w:spacing w:before="102"/>
              <w:ind w:left="121" w:right="117"/>
              <w:rPr>
                <w:rFonts w:ascii="Times New Roman"/>
                <w:sz w:val="21"/>
              </w:rPr>
            </w:pPr>
            <w:r>
              <w:rPr>
                <w:rFonts w:ascii="Times New Roman"/>
                <w:sz w:val="21"/>
              </w:rPr>
              <w:t>1.1</w:t>
            </w:r>
          </w:p>
        </w:tc>
        <w:tc>
          <w:tcPr>
            <w:tcW w:w="1091" w:type="dxa"/>
          </w:tcPr>
          <w:p>
            <w:pPr>
              <w:pStyle w:val="8"/>
              <w:spacing w:before="88"/>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vMerge w:val="continue"/>
            <w:tcBorders>
              <w:top w:val="nil"/>
            </w:tcBorders>
          </w:tcPr>
          <w:p>
            <w:pPr>
              <w:rPr>
                <w:sz w:val="2"/>
                <w:szCs w:val="2"/>
              </w:rPr>
            </w:pPr>
          </w:p>
        </w:tc>
        <w:tc>
          <w:tcPr>
            <w:tcW w:w="3843" w:type="dxa"/>
          </w:tcPr>
          <w:p>
            <w:pPr>
              <w:pStyle w:val="8"/>
              <w:spacing w:before="108"/>
              <w:ind w:left="108"/>
              <w:jc w:val="left"/>
              <w:rPr>
                <w:sz w:val="18"/>
              </w:rPr>
            </w:pPr>
            <w:r>
              <w:rPr>
                <w:rFonts w:ascii="Times New Roman" w:eastAsia="Times New Roman"/>
                <w:sz w:val="18"/>
              </w:rPr>
              <w:t>15.</w:t>
            </w:r>
            <w:r>
              <w:rPr>
                <w:sz w:val="18"/>
              </w:rPr>
              <w:t xml:space="preserve">每千人拥有 </w:t>
            </w:r>
            <w:r>
              <w:rPr>
                <w:rFonts w:ascii="Times New Roman" w:eastAsia="Times New Roman"/>
                <w:sz w:val="18"/>
              </w:rPr>
              <w:t xml:space="preserve">3 </w:t>
            </w:r>
            <w:r>
              <w:rPr>
                <w:sz w:val="18"/>
              </w:rPr>
              <w:t>岁以下婴幼儿托位数（个）</w:t>
            </w:r>
          </w:p>
        </w:tc>
        <w:tc>
          <w:tcPr>
            <w:tcW w:w="898" w:type="dxa"/>
          </w:tcPr>
          <w:p>
            <w:pPr>
              <w:pStyle w:val="8"/>
              <w:spacing w:before="88"/>
              <w:ind w:left="2"/>
              <w:rPr>
                <w:sz w:val="21"/>
              </w:rPr>
            </w:pPr>
            <w:r>
              <w:rPr>
                <w:w w:val="99"/>
                <w:sz w:val="21"/>
              </w:rPr>
              <w:t>—</w:t>
            </w:r>
          </w:p>
        </w:tc>
        <w:tc>
          <w:tcPr>
            <w:tcW w:w="1159" w:type="dxa"/>
          </w:tcPr>
          <w:p>
            <w:pPr>
              <w:pStyle w:val="8"/>
              <w:spacing w:before="102"/>
              <w:ind w:left="216" w:right="211"/>
              <w:rPr>
                <w:rFonts w:ascii="Times New Roman"/>
                <w:sz w:val="21"/>
              </w:rPr>
            </w:pPr>
            <w:r>
              <w:rPr>
                <w:rFonts w:ascii="Times New Roman"/>
                <w:sz w:val="21"/>
              </w:rPr>
              <w:t>4.2</w:t>
            </w:r>
          </w:p>
        </w:tc>
        <w:tc>
          <w:tcPr>
            <w:tcW w:w="1132" w:type="dxa"/>
          </w:tcPr>
          <w:p>
            <w:pPr>
              <w:pStyle w:val="8"/>
              <w:spacing w:before="88"/>
              <w:ind w:left="3"/>
              <w:rPr>
                <w:sz w:val="21"/>
              </w:rPr>
            </w:pPr>
            <w:r>
              <w:rPr>
                <w:w w:val="99"/>
                <w:sz w:val="21"/>
              </w:rPr>
              <w:t>—</w:t>
            </w:r>
          </w:p>
        </w:tc>
        <w:tc>
          <w:tcPr>
            <w:tcW w:w="1091" w:type="dxa"/>
          </w:tcPr>
          <w:p>
            <w:pPr>
              <w:pStyle w:val="8"/>
              <w:spacing w:before="88"/>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4" w:hRule="atLeast"/>
        </w:trPr>
        <w:tc>
          <w:tcPr>
            <w:tcW w:w="810" w:type="dxa"/>
            <w:vMerge w:val="continue"/>
            <w:tcBorders>
              <w:top w:val="nil"/>
            </w:tcBorders>
          </w:tcPr>
          <w:p>
            <w:pPr>
              <w:rPr>
                <w:sz w:val="2"/>
                <w:szCs w:val="2"/>
              </w:rPr>
            </w:pPr>
          </w:p>
        </w:tc>
        <w:tc>
          <w:tcPr>
            <w:tcW w:w="3843" w:type="dxa"/>
          </w:tcPr>
          <w:p>
            <w:pPr>
              <w:pStyle w:val="8"/>
              <w:spacing w:before="76"/>
              <w:ind w:left="108"/>
              <w:jc w:val="left"/>
              <w:rPr>
                <w:sz w:val="18"/>
              </w:rPr>
            </w:pPr>
            <w:r>
              <w:rPr>
                <w:rFonts w:ascii="Times New Roman" w:eastAsia="Times New Roman"/>
                <w:sz w:val="18"/>
              </w:rPr>
              <w:t>16.</w:t>
            </w:r>
            <w:r>
              <w:rPr>
                <w:sz w:val="18"/>
              </w:rPr>
              <w:t>人均预期寿命（岁）</w:t>
            </w:r>
          </w:p>
        </w:tc>
        <w:tc>
          <w:tcPr>
            <w:tcW w:w="898" w:type="dxa"/>
          </w:tcPr>
          <w:p>
            <w:pPr>
              <w:pStyle w:val="8"/>
              <w:spacing w:before="70"/>
              <w:ind w:left="85" w:right="82"/>
              <w:rPr>
                <w:rFonts w:ascii="Times New Roman"/>
                <w:sz w:val="21"/>
              </w:rPr>
            </w:pPr>
            <w:r>
              <w:rPr>
                <w:rFonts w:ascii="Times New Roman"/>
                <w:sz w:val="21"/>
              </w:rPr>
              <w:t>76.5</w:t>
            </w:r>
          </w:p>
        </w:tc>
        <w:tc>
          <w:tcPr>
            <w:tcW w:w="1159" w:type="dxa"/>
          </w:tcPr>
          <w:p>
            <w:pPr>
              <w:pStyle w:val="8"/>
              <w:spacing w:before="70"/>
              <w:ind w:left="216" w:right="211"/>
              <w:rPr>
                <w:rFonts w:ascii="Times New Roman"/>
                <w:sz w:val="21"/>
              </w:rPr>
            </w:pPr>
            <w:r>
              <w:rPr>
                <w:rFonts w:ascii="Times New Roman"/>
                <w:sz w:val="21"/>
              </w:rPr>
              <w:t>78</w:t>
            </w:r>
          </w:p>
        </w:tc>
        <w:tc>
          <w:tcPr>
            <w:tcW w:w="1132" w:type="dxa"/>
          </w:tcPr>
          <w:p>
            <w:pPr>
              <w:pStyle w:val="8"/>
              <w:spacing w:before="70"/>
              <w:ind w:left="121" w:right="117"/>
              <w:rPr>
                <w:rFonts w:ascii="Times New Roman"/>
                <w:sz w:val="21"/>
              </w:rPr>
            </w:pPr>
            <w:r>
              <w:rPr>
                <w:rFonts w:ascii="Times New Roman"/>
                <w:sz w:val="21"/>
              </w:rPr>
              <w:t>0.4</w:t>
            </w:r>
          </w:p>
        </w:tc>
        <w:tc>
          <w:tcPr>
            <w:tcW w:w="1091" w:type="dxa"/>
          </w:tcPr>
          <w:p>
            <w:pPr>
              <w:pStyle w:val="8"/>
              <w:spacing w:before="56"/>
              <w:ind w:right="208"/>
              <w:rPr>
                <w:sz w:val="21"/>
              </w:rPr>
            </w:pPr>
            <w:r>
              <w:rPr>
                <w:sz w:val="21"/>
              </w:rPr>
              <w:t>预期性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vMerge w:val="restart"/>
          </w:tcPr>
          <w:p>
            <w:pPr>
              <w:pStyle w:val="8"/>
              <w:ind w:left="0"/>
              <w:jc w:val="left"/>
              <w:rPr>
                <w:rFonts w:ascii="仿宋_GB2312"/>
                <w:b/>
                <w:sz w:val="20"/>
              </w:rPr>
            </w:pPr>
          </w:p>
          <w:p>
            <w:pPr>
              <w:pStyle w:val="8"/>
              <w:ind w:left="0"/>
              <w:jc w:val="left"/>
              <w:rPr>
                <w:rFonts w:ascii="仿宋_GB2312"/>
                <w:b/>
                <w:sz w:val="20"/>
              </w:rPr>
            </w:pPr>
          </w:p>
          <w:p>
            <w:pPr>
              <w:pStyle w:val="8"/>
              <w:ind w:left="0"/>
              <w:jc w:val="left"/>
              <w:rPr>
                <w:rFonts w:ascii="仿宋_GB2312"/>
                <w:b/>
                <w:sz w:val="20"/>
              </w:rPr>
            </w:pPr>
          </w:p>
          <w:p>
            <w:pPr>
              <w:pStyle w:val="8"/>
              <w:spacing w:before="2"/>
              <w:ind w:left="0"/>
              <w:jc w:val="left"/>
              <w:rPr>
                <w:rFonts w:ascii="仿宋_GB2312"/>
                <w:b/>
                <w:sz w:val="22"/>
              </w:rPr>
            </w:pPr>
          </w:p>
          <w:p>
            <w:pPr>
              <w:pStyle w:val="8"/>
              <w:spacing w:line="230" w:lineRule="auto"/>
              <w:ind w:left="193" w:right="188"/>
              <w:jc w:val="left"/>
              <w:rPr>
                <w:b/>
                <w:sz w:val="21"/>
              </w:rPr>
            </w:pPr>
            <w:r>
              <w:rPr>
                <w:b/>
                <w:sz w:val="21"/>
              </w:rPr>
              <w:t>生态文明</w:t>
            </w:r>
          </w:p>
        </w:tc>
        <w:tc>
          <w:tcPr>
            <w:tcW w:w="3843" w:type="dxa"/>
          </w:tcPr>
          <w:p>
            <w:pPr>
              <w:pStyle w:val="8"/>
              <w:spacing w:before="110"/>
              <w:ind w:left="108"/>
              <w:jc w:val="left"/>
              <w:rPr>
                <w:sz w:val="18"/>
              </w:rPr>
            </w:pPr>
            <w:r>
              <w:rPr>
                <w:rFonts w:ascii="Times New Roman" w:eastAsia="Times New Roman"/>
                <w:sz w:val="18"/>
              </w:rPr>
              <w:t>17.</w:t>
            </w:r>
            <w:r>
              <w:rPr>
                <w:sz w:val="18"/>
              </w:rPr>
              <w:t xml:space="preserve">单位 </w:t>
            </w:r>
            <w:r>
              <w:rPr>
                <w:rFonts w:ascii="Times New Roman" w:eastAsia="Times New Roman"/>
                <w:sz w:val="18"/>
              </w:rPr>
              <w:t xml:space="preserve">GDP </w:t>
            </w:r>
            <w:r>
              <w:rPr>
                <w:sz w:val="18"/>
              </w:rPr>
              <w:t>能源消耗降幅（</w:t>
            </w:r>
            <w:r>
              <w:rPr>
                <w:rFonts w:ascii="Times New Roman" w:eastAsia="Times New Roman"/>
                <w:sz w:val="18"/>
              </w:rPr>
              <w:t>%</w:t>
            </w:r>
            <w:r>
              <w:rPr>
                <w:sz w:val="18"/>
              </w:rPr>
              <w:t>）</w:t>
            </w:r>
          </w:p>
        </w:tc>
        <w:tc>
          <w:tcPr>
            <w:tcW w:w="898" w:type="dxa"/>
          </w:tcPr>
          <w:p>
            <w:pPr>
              <w:pStyle w:val="8"/>
              <w:spacing w:before="102"/>
              <w:ind w:left="85" w:right="82"/>
              <w:rPr>
                <w:rFonts w:ascii="Times New Roman" w:hAnsi="Times New Roman"/>
                <w:sz w:val="21"/>
              </w:rPr>
            </w:pPr>
            <w:r>
              <w:rPr>
                <w:rFonts w:ascii="Arial" w:hAnsi="Arial"/>
                <w:sz w:val="21"/>
              </w:rPr>
              <w:t>≥</w:t>
            </w:r>
            <w:r>
              <w:rPr>
                <w:rFonts w:ascii="Times New Roman" w:hAnsi="Times New Roman"/>
                <w:sz w:val="21"/>
              </w:rPr>
              <w:t>17</w:t>
            </w:r>
          </w:p>
        </w:tc>
        <w:tc>
          <w:tcPr>
            <w:tcW w:w="1159" w:type="dxa"/>
            <w:vMerge w:val="restart"/>
          </w:tcPr>
          <w:p>
            <w:pPr>
              <w:pStyle w:val="8"/>
              <w:ind w:left="0"/>
              <w:jc w:val="left"/>
              <w:rPr>
                <w:rFonts w:ascii="仿宋_GB2312"/>
                <w:b/>
                <w:sz w:val="18"/>
              </w:rPr>
            </w:pPr>
          </w:p>
          <w:p>
            <w:pPr>
              <w:pStyle w:val="8"/>
              <w:ind w:left="0"/>
              <w:jc w:val="left"/>
              <w:rPr>
                <w:rFonts w:ascii="仿宋_GB2312"/>
                <w:b/>
                <w:sz w:val="18"/>
              </w:rPr>
            </w:pPr>
          </w:p>
          <w:p>
            <w:pPr>
              <w:pStyle w:val="8"/>
              <w:spacing w:before="7"/>
              <w:ind w:left="0"/>
              <w:jc w:val="left"/>
              <w:rPr>
                <w:rFonts w:ascii="仿宋_GB2312"/>
                <w:b/>
                <w:sz w:val="16"/>
              </w:rPr>
            </w:pPr>
          </w:p>
          <w:p>
            <w:pPr>
              <w:pStyle w:val="8"/>
              <w:spacing w:before="1" w:line="242" w:lineRule="auto"/>
              <w:ind w:left="129" w:right="122"/>
              <w:jc w:val="left"/>
              <w:rPr>
                <w:sz w:val="18"/>
              </w:rPr>
            </w:pPr>
            <w:r>
              <w:rPr>
                <w:sz w:val="18"/>
              </w:rPr>
              <w:t>完成省、枣庄下达任务</w:t>
            </w:r>
          </w:p>
        </w:tc>
        <w:tc>
          <w:tcPr>
            <w:tcW w:w="1132" w:type="dxa"/>
            <w:vMerge w:val="restart"/>
          </w:tcPr>
          <w:p>
            <w:pPr>
              <w:pStyle w:val="8"/>
              <w:ind w:left="0"/>
              <w:jc w:val="left"/>
              <w:rPr>
                <w:rFonts w:ascii="仿宋_GB2312"/>
                <w:b/>
                <w:sz w:val="18"/>
              </w:rPr>
            </w:pPr>
          </w:p>
          <w:p>
            <w:pPr>
              <w:pStyle w:val="8"/>
              <w:ind w:left="0"/>
              <w:jc w:val="left"/>
              <w:rPr>
                <w:rFonts w:ascii="仿宋_GB2312"/>
                <w:b/>
                <w:sz w:val="18"/>
              </w:rPr>
            </w:pPr>
          </w:p>
          <w:p>
            <w:pPr>
              <w:pStyle w:val="8"/>
              <w:spacing w:before="7"/>
              <w:ind w:left="0"/>
              <w:jc w:val="left"/>
              <w:rPr>
                <w:rFonts w:ascii="仿宋_GB2312"/>
                <w:b/>
                <w:sz w:val="16"/>
              </w:rPr>
            </w:pPr>
          </w:p>
          <w:p>
            <w:pPr>
              <w:pStyle w:val="8"/>
              <w:spacing w:before="1" w:line="242" w:lineRule="auto"/>
              <w:ind w:left="115" w:right="109"/>
              <w:jc w:val="left"/>
              <w:rPr>
                <w:sz w:val="18"/>
              </w:rPr>
            </w:pPr>
            <w:r>
              <w:rPr>
                <w:sz w:val="18"/>
              </w:rPr>
              <w:t>完成省、枣庄下达任务</w:t>
            </w:r>
          </w:p>
        </w:tc>
        <w:tc>
          <w:tcPr>
            <w:tcW w:w="1091" w:type="dxa"/>
          </w:tcPr>
          <w:p>
            <w:pPr>
              <w:pStyle w:val="8"/>
              <w:spacing w:before="89"/>
              <w:ind w:right="208"/>
              <w:rPr>
                <w:sz w:val="21"/>
              </w:rPr>
            </w:pPr>
            <w:r>
              <w:rPr>
                <w:sz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10" w:type="dxa"/>
            <w:vMerge w:val="continue"/>
            <w:tcBorders>
              <w:top w:val="nil"/>
            </w:tcBorders>
          </w:tcPr>
          <w:p>
            <w:pPr>
              <w:rPr>
                <w:sz w:val="2"/>
                <w:szCs w:val="2"/>
              </w:rPr>
            </w:pPr>
          </w:p>
        </w:tc>
        <w:tc>
          <w:tcPr>
            <w:tcW w:w="3843" w:type="dxa"/>
          </w:tcPr>
          <w:p>
            <w:pPr>
              <w:pStyle w:val="8"/>
              <w:spacing w:before="109"/>
              <w:ind w:left="108"/>
              <w:jc w:val="left"/>
              <w:rPr>
                <w:sz w:val="18"/>
              </w:rPr>
            </w:pPr>
            <w:r>
              <w:rPr>
                <w:rFonts w:ascii="Times New Roman" w:eastAsia="Times New Roman"/>
                <w:sz w:val="18"/>
              </w:rPr>
              <w:t>18.</w:t>
            </w:r>
            <w:r>
              <w:rPr>
                <w:sz w:val="18"/>
              </w:rPr>
              <w:t xml:space="preserve">单位 </w:t>
            </w:r>
            <w:r>
              <w:rPr>
                <w:rFonts w:ascii="Times New Roman" w:eastAsia="Times New Roman"/>
                <w:sz w:val="18"/>
              </w:rPr>
              <w:t xml:space="preserve">GDP </w:t>
            </w:r>
            <w:r>
              <w:rPr>
                <w:sz w:val="18"/>
              </w:rPr>
              <w:t>二氧化碳排放量降低（</w:t>
            </w:r>
            <w:r>
              <w:rPr>
                <w:rFonts w:ascii="Times New Roman" w:eastAsia="Times New Roman"/>
                <w:sz w:val="18"/>
              </w:rPr>
              <w:t>%</w:t>
            </w:r>
            <w:r>
              <w:rPr>
                <w:sz w:val="18"/>
              </w:rPr>
              <w:t>）</w:t>
            </w:r>
          </w:p>
        </w:tc>
        <w:tc>
          <w:tcPr>
            <w:tcW w:w="898" w:type="dxa"/>
          </w:tcPr>
          <w:p>
            <w:pPr>
              <w:pStyle w:val="8"/>
              <w:spacing w:before="103"/>
              <w:ind w:left="85" w:right="79"/>
              <w:rPr>
                <w:rFonts w:ascii="Times New Roman"/>
                <w:sz w:val="21"/>
              </w:rPr>
            </w:pPr>
            <w:r>
              <w:rPr>
                <w:rFonts w:ascii="Times New Roman"/>
                <w:sz w:val="21"/>
              </w:rPr>
              <w:t>&gt;21</w:t>
            </w:r>
          </w:p>
        </w:tc>
        <w:tc>
          <w:tcPr>
            <w:tcW w:w="1159" w:type="dxa"/>
            <w:vMerge w:val="continue"/>
            <w:tcBorders>
              <w:top w:val="nil"/>
            </w:tcBorders>
          </w:tcPr>
          <w:p>
            <w:pPr>
              <w:rPr>
                <w:sz w:val="2"/>
                <w:szCs w:val="2"/>
              </w:rPr>
            </w:pPr>
          </w:p>
        </w:tc>
        <w:tc>
          <w:tcPr>
            <w:tcW w:w="1132" w:type="dxa"/>
            <w:vMerge w:val="continue"/>
            <w:tcBorders>
              <w:top w:val="nil"/>
            </w:tcBorders>
          </w:tcPr>
          <w:p>
            <w:pPr>
              <w:rPr>
                <w:sz w:val="2"/>
                <w:szCs w:val="2"/>
              </w:rPr>
            </w:pPr>
          </w:p>
        </w:tc>
        <w:tc>
          <w:tcPr>
            <w:tcW w:w="1091" w:type="dxa"/>
          </w:tcPr>
          <w:p>
            <w:pPr>
              <w:pStyle w:val="8"/>
              <w:spacing w:before="89"/>
              <w:ind w:right="208"/>
              <w:rPr>
                <w:sz w:val="21"/>
              </w:rPr>
            </w:pPr>
            <w:r>
              <w:rPr>
                <w:sz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10" w:type="dxa"/>
            <w:vMerge w:val="continue"/>
            <w:tcBorders>
              <w:top w:val="nil"/>
            </w:tcBorders>
          </w:tcPr>
          <w:p>
            <w:pPr>
              <w:rPr>
                <w:sz w:val="2"/>
                <w:szCs w:val="2"/>
              </w:rPr>
            </w:pPr>
          </w:p>
        </w:tc>
        <w:tc>
          <w:tcPr>
            <w:tcW w:w="3843" w:type="dxa"/>
          </w:tcPr>
          <w:p>
            <w:pPr>
              <w:pStyle w:val="8"/>
              <w:spacing w:before="109"/>
              <w:ind w:left="108"/>
              <w:jc w:val="left"/>
              <w:rPr>
                <w:sz w:val="18"/>
              </w:rPr>
            </w:pPr>
            <w:r>
              <w:rPr>
                <w:rFonts w:ascii="Times New Roman" w:eastAsia="Times New Roman"/>
                <w:sz w:val="18"/>
              </w:rPr>
              <w:t>19.</w:t>
            </w:r>
            <w:r>
              <w:rPr>
                <w:sz w:val="18"/>
              </w:rPr>
              <w:t>空气质量良好以上天数比例（</w:t>
            </w:r>
            <w:r>
              <w:rPr>
                <w:rFonts w:ascii="Times New Roman" w:eastAsia="Times New Roman"/>
                <w:sz w:val="18"/>
              </w:rPr>
              <w:t>%</w:t>
            </w:r>
            <w:r>
              <w:rPr>
                <w:sz w:val="18"/>
              </w:rPr>
              <w:t>）</w:t>
            </w:r>
          </w:p>
        </w:tc>
        <w:tc>
          <w:tcPr>
            <w:tcW w:w="898" w:type="dxa"/>
          </w:tcPr>
          <w:p>
            <w:pPr>
              <w:pStyle w:val="8"/>
              <w:spacing w:before="103"/>
              <w:ind w:left="85" w:right="79"/>
              <w:rPr>
                <w:rFonts w:ascii="Times New Roman"/>
                <w:sz w:val="21"/>
              </w:rPr>
            </w:pPr>
            <w:r>
              <w:rPr>
                <w:rFonts w:ascii="Times New Roman"/>
                <w:sz w:val="21"/>
              </w:rPr>
              <w:t>63.66</w:t>
            </w:r>
          </w:p>
        </w:tc>
        <w:tc>
          <w:tcPr>
            <w:tcW w:w="1159" w:type="dxa"/>
            <w:vMerge w:val="continue"/>
            <w:tcBorders>
              <w:top w:val="nil"/>
            </w:tcBorders>
          </w:tcPr>
          <w:p>
            <w:pPr>
              <w:rPr>
                <w:sz w:val="2"/>
                <w:szCs w:val="2"/>
              </w:rPr>
            </w:pPr>
          </w:p>
        </w:tc>
        <w:tc>
          <w:tcPr>
            <w:tcW w:w="1132" w:type="dxa"/>
            <w:vMerge w:val="continue"/>
            <w:tcBorders>
              <w:top w:val="nil"/>
            </w:tcBorders>
          </w:tcPr>
          <w:p>
            <w:pPr>
              <w:rPr>
                <w:sz w:val="2"/>
                <w:szCs w:val="2"/>
              </w:rPr>
            </w:pPr>
          </w:p>
        </w:tc>
        <w:tc>
          <w:tcPr>
            <w:tcW w:w="1091" w:type="dxa"/>
          </w:tcPr>
          <w:p>
            <w:pPr>
              <w:pStyle w:val="8"/>
              <w:spacing w:before="89"/>
              <w:ind w:right="208"/>
              <w:rPr>
                <w:sz w:val="21"/>
              </w:rPr>
            </w:pPr>
            <w:r>
              <w:rPr>
                <w:sz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8" w:hRule="atLeast"/>
        </w:trPr>
        <w:tc>
          <w:tcPr>
            <w:tcW w:w="810" w:type="dxa"/>
            <w:vMerge w:val="continue"/>
            <w:tcBorders>
              <w:top w:val="nil"/>
            </w:tcBorders>
          </w:tcPr>
          <w:p>
            <w:pPr>
              <w:rPr>
                <w:sz w:val="2"/>
                <w:szCs w:val="2"/>
              </w:rPr>
            </w:pPr>
          </w:p>
        </w:tc>
        <w:tc>
          <w:tcPr>
            <w:tcW w:w="3843" w:type="dxa"/>
          </w:tcPr>
          <w:p>
            <w:pPr>
              <w:pStyle w:val="8"/>
              <w:spacing w:before="109"/>
              <w:ind w:left="108"/>
              <w:jc w:val="left"/>
              <w:rPr>
                <w:sz w:val="18"/>
              </w:rPr>
            </w:pPr>
            <w:r>
              <w:rPr>
                <w:rFonts w:ascii="Times New Roman" w:eastAsia="Times New Roman"/>
                <w:sz w:val="18"/>
              </w:rPr>
              <w:t>20.</w:t>
            </w:r>
            <w:r>
              <w:rPr>
                <w:sz w:val="18"/>
              </w:rPr>
              <w:t>地表水好于三类水比例（</w:t>
            </w:r>
            <w:r>
              <w:rPr>
                <w:rFonts w:ascii="Times New Roman" w:eastAsia="Times New Roman"/>
                <w:sz w:val="18"/>
              </w:rPr>
              <w:t>%</w:t>
            </w:r>
            <w:r>
              <w:rPr>
                <w:sz w:val="18"/>
              </w:rPr>
              <w:t>）</w:t>
            </w:r>
          </w:p>
        </w:tc>
        <w:tc>
          <w:tcPr>
            <w:tcW w:w="898" w:type="dxa"/>
          </w:tcPr>
          <w:p>
            <w:pPr>
              <w:pStyle w:val="8"/>
              <w:spacing w:before="102"/>
              <w:ind w:left="85" w:right="82"/>
              <w:rPr>
                <w:rFonts w:ascii="Times New Roman"/>
                <w:sz w:val="21"/>
              </w:rPr>
            </w:pPr>
            <w:r>
              <w:rPr>
                <w:rFonts w:ascii="Times New Roman"/>
                <w:sz w:val="21"/>
              </w:rPr>
              <w:t>100</w:t>
            </w:r>
          </w:p>
        </w:tc>
        <w:tc>
          <w:tcPr>
            <w:tcW w:w="1159" w:type="dxa"/>
            <w:vMerge w:val="continue"/>
            <w:tcBorders>
              <w:top w:val="nil"/>
            </w:tcBorders>
          </w:tcPr>
          <w:p>
            <w:pPr>
              <w:rPr>
                <w:sz w:val="2"/>
                <w:szCs w:val="2"/>
              </w:rPr>
            </w:pPr>
          </w:p>
        </w:tc>
        <w:tc>
          <w:tcPr>
            <w:tcW w:w="1132" w:type="dxa"/>
            <w:vMerge w:val="continue"/>
            <w:tcBorders>
              <w:top w:val="nil"/>
            </w:tcBorders>
          </w:tcPr>
          <w:p>
            <w:pPr>
              <w:rPr>
                <w:sz w:val="2"/>
                <w:szCs w:val="2"/>
              </w:rPr>
            </w:pPr>
          </w:p>
        </w:tc>
        <w:tc>
          <w:tcPr>
            <w:tcW w:w="1091" w:type="dxa"/>
          </w:tcPr>
          <w:p>
            <w:pPr>
              <w:pStyle w:val="8"/>
              <w:spacing w:before="88"/>
              <w:ind w:right="208"/>
              <w:rPr>
                <w:sz w:val="21"/>
              </w:rPr>
            </w:pPr>
            <w:r>
              <w:rPr>
                <w:sz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810" w:type="dxa"/>
            <w:vMerge w:val="continue"/>
            <w:tcBorders>
              <w:top w:val="nil"/>
            </w:tcBorders>
          </w:tcPr>
          <w:p>
            <w:pPr>
              <w:rPr>
                <w:sz w:val="2"/>
                <w:szCs w:val="2"/>
              </w:rPr>
            </w:pPr>
          </w:p>
        </w:tc>
        <w:tc>
          <w:tcPr>
            <w:tcW w:w="3843" w:type="dxa"/>
          </w:tcPr>
          <w:p>
            <w:pPr>
              <w:pStyle w:val="8"/>
              <w:spacing w:before="58"/>
              <w:ind w:left="108"/>
              <w:jc w:val="left"/>
              <w:rPr>
                <w:sz w:val="18"/>
              </w:rPr>
            </w:pPr>
            <w:r>
              <w:rPr>
                <w:rFonts w:ascii="Times New Roman" w:eastAsia="Times New Roman"/>
                <w:sz w:val="18"/>
              </w:rPr>
              <w:t>21.</w:t>
            </w:r>
            <w:r>
              <w:rPr>
                <w:sz w:val="18"/>
              </w:rPr>
              <w:t>林木覆盖率（</w:t>
            </w:r>
            <w:r>
              <w:rPr>
                <w:rFonts w:ascii="Times New Roman" w:eastAsia="Times New Roman"/>
                <w:sz w:val="18"/>
              </w:rPr>
              <w:t>%</w:t>
            </w:r>
            <w:r>
              <w:rPr>
                <w:sz w:val="18"/>
              </w:rPr>
              <w:t>）</w:t>
            </w:r>
          </w:p>
        </w:tc>
        <w:tc>
          <w:tcPr>
            <w:tcW w:w="898" w:type="dxa"/>
          </w:tcPr>
          <w:p>
            <w:pPr>
              <w:pStyle w:val="8"/>
              <w:spacing w:before="51"/>
              <w:ind w:left="85" w:right="79"/>
              <w:rPr>
                <w:rFonts w:ascii="Times New Roman"/>
                <w:sz w:val="21"/>
              </w:rPr>
            </w:pPr>
            <w:r>
              <w:rPr>
                <w:rFonts w:ascii="Times New Roman"/>
                <w:sz w:val="21"/>
              </w:rPr>
              <w:t>30.98</w:t>
            </w:r>
          </w:p>
        </w:tc>
        <w:tc>
          <w:tcPr>
            <w:tcW w:w="1159" w:type="dxa"/>
          </w:tcPr>
          <w:p>
            <w:pPr>
              <w:pStyle w:val="8"/>
              <w:spacing w:before="51"/>
              <w:ind w:left="216" w:right="211"/>
              <w:rPr>
                <w:rFonts w:ascii="Times New Roman"/>
                <w:sz w:val="21"/>
              </w:rPr>
            </w:pPr>
            <w:r>
              <w:rPr>
                <w:rFonts w:ascii="Times New Roman"/>
                <w:sz w:val="21"/>
              </w:rPr>
              <w:t>32.5</w:t>
            </w:r>
          </w:p>
        </w:tc>
        <w:tc>
          <w:tcPr>
            <w:tcW w:w="1132" w:type="dxa"/>
          </w:tcPr>
          <w:p>
            <w:pPr>
              <w:pStyle w:val="8"/>
              <w:spacing w:before="51"/>
              <w:ind w:left="4"/>
              <w:rPr>
                <w:rFonts w:ascii="Times New Roman"/>
                <w:sz w:val="21"/>
              </w:rPr>
            </w:pPr>
            <w:r>
              <w:rPr>
                <w:rFonts w:ascii="Times New Roman"/>
                <w:w w:val="99"/>
                <w:sz w:val="21"/>
              </w:rPr>
              <w:t>1</w:t>
            </w:r>
          </w:p>
        </w:tc>
        <w:tc>
          <w:tcPr>
            <w:tcW w:w="1091" w:type="dxa"/>
          </w:tcPr>
          <w:p>
            <w:pPr>
              <w:pStyle w:val="8"/>
              <w:spacing w:before="37"/>
              <w:ind w:right="208"/>
              <w:rPr>
                <w:sz w:val="21"/>
              </w:rPr>
            </w:pPr>
            <w:r>
              <w:rPr>
                <w:sz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49" w:hRule="atLeast"/>
        </w:trPr>
        <w:tc>
          <w:tcPr>
            <w:tcW w:w="810" w:type="dxa"/>
            <w:vMerge w:val="continue"/>
            <w:tcBorders>
              <w:top w:val="nil"/>
            </w:tcBorders>
          </w:tcPr>
          <w:p>
            <w:pPr>
              <w:rPr>
                <w:sz w:val="2"/>
                <w:szCs w:val="2"/>
              </w:rPr>
            </w:pPr>
          </w:p>
        </w:tc>
        <w:tc>
          <w:tcPr>
            <w:tcW w:w="3843" w:type="dxa"/>
          </w:tcPr>
          <w:p>
            <w:pPr>
              <w:pStyle w:val="8"/>
              <w:spacing w:before="109"/>
              <w:ind w:left="108"/>
              <w:jc w:val="left"/>
              <w:rPr>
                <w:sz w:val="18"/>
              </w:rPr>
            </w:pPr>
            <w:r>
              <w:rPr>
                <w:rFonts w:ascii="Times New Roman" w:eastAsia="Times New Roman"/>
                <w:sz w:val="18"/>
              </w:rPr>
              <w:t>22.</w:t>
            </w:r>
            <w:r>
              <w:rPr>
                <w:sz w:val="18"/>
              </w:rPr>
              <w:t>森林蓄积量（万立方米）</w:t>
            </w:r>
          </w:p>
        </w:tc>
        <w:tc>
          <w:tcPr>
            <w:tcW w:w="898" w:type="dxa"/>
          </w:tcPr>
          <w:p>
            <w:pPr>
              <w:pStyle w:val="8"/>
              <w:spacing w:before="102"/>
              <w:ind w:left="85" w:right="79"/>
              <w:rPr>
                <w:rFonts w:ascii="Times New Roman"/>
                <w:sz w:val="21"/>
              </w:rPr>
            </w:pPr>
            <w:r>
              <w:rPr>
                <w:rFonts w:ascii="Times New Roman"/>
                <w:sz w:val="21"/>
              </w:rPr>
              <w:t>123.4</w:t>
            </w:r>
          </w:p>
        </w:tc>
        <w:tc>
          <w:tcPr>
            <w:tcW w:w="1159" w:type="dxa"/>
          </w:tcPr>
          <w:p>
            <w:pPr>
              <w:pStyle w:val="8"/>
              <w:spacing w:before="102"/>
              <w:ind w:left="216" w:right="211"/>
              <w:rPr>
                <w:rFonts w:ascii="Times New Roman"/>
                <w:sz w:val="21"/>
              </w:rPr>
            </w:pPr>
            <w:r>
              <w:rPr>
                <w:rFonts w:ascii="Times New Roman"/>
                <w:sz w:val="21"/>
              </w:rPr>
              <w:t>130</w:t>
            </w:r>
          </w:p>
        </w:tc>
        <w:tc>
          <w:tcPr>
            <w:tcW w:w="1132" w:type="dxa"/>
          </w:tcPr>
          <w:p>
            <w:pPr>
              <w:pStyle w:val="8"/>
              <w:spacing w:before="102"/>
              <w:ind w:left="4"/>
              <w:rPr>
                <w:rFonts w:ascii="Times New Roman"/>
                <w:sz w:val="21"/>
              </w:rPr>
            </w:pPr>
            <w:r>
              <w:rPr>
                <w:rFonts w:ascii="Times New Roman"/>
                <w:w w:val="99"/>
                <w:sz w:val="21"/>
              </w:rPr>
              <w:t>1</w:t>
            </w:r>
          </w:p>
        </w:tc>
        <w:tc>
          <w:tcPr>
            <w:tcW w:w="1091" w:type="dxa"/>
          </w:tcPr>
          <w:p>
            <w:pPr>
              <w:pStyle w:val="8"/>
              <w:spacing w:before="88"/>
              <w:ind w:right="208"/>
              <w:rPr>
                <w:sz w:val="21"/>
              </w:rPr>
            </w:pPr>
            <w:r>
              <w:rPr>
                <w:sz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3" w:hRule="atLeast"/>
        </w:trPr>
        <w:tc>
          <w:tcPr>
            <w:tcW w:w="810" w:type="dxa"/>
            <w:vMerge w:val="restart"/>
          </w:tcPr>
          <w:p>
            <w:pPr>
              <w:pStyle w:val="8"/>
              <w:spacing w:before="6"/>
              <w:ind w:left="0"/>
              <w:jc w:val="left"/>
              <w:rPr>
                <w:rFonts w:ascii="仿宋_GB2312"/>
                <w:b/>
                <w:sz w:val="25"/>
              </w:rPr>
            </w:pPr>
          </w:p>
          <w:p>
            <w:pPr>
              <w:pStyle w:val="8"/>
              <w:spacing w:before="1" w:line="232" w:lineRule="auto"/>
              <w:ind w:left="193" w:right="188"/>
              <w:jc w:val="left"/>
              <w:rPr>
                <w:b/>
                <w:sz w:val="21"/>
              </w:rPr>
            </w:pPr>
            <w:r>
              <w:rPr>
                <w:b/>
                <w:sz w:val="21"/>
              </w:rPr>
              <w:t>安全保障</w:t>
            </w:r>
          </w:p>
        </w:tc>
        <w:tc>
          <w:tcPr>
            <w:tcW w:w="3843" w:type="dxa"/>
          </w:tcPr>
          <w:p>
            <w:pPr>
              <w:pStyle w:val="8"/>
              <w:spacing w:before="171"/>
              <w:ind w:left="108"/>
              <w:jc w:val="left"/>
              <w:rPr>
                <w:sz w:val="18"/>
              </w:rPr>
            </w:pPr>
            <w:r>
              <w:rPr>
                <w:rFonts w:ascii="Times New Roman" w:eastAsia="Times New Roman"/>
                <w:sz w:val="18"/>
              </w:rPr>
              <w:t>23.</w:t>
            </w:r>
            <w:r>
              <w:rPr>
                <w:sz w:val="18"/>
              </w:rPr>
              <w:t>粮食综合生产能力（亿斤）</w:t>
            </w:r>
          </w:p>
        </w:tc>
        <w:tc>
          <w:tcPr>
            <w:tcW w:w="898" w:type="dxa"/>
          </w:tcPr>
          <w:p>
            <w:pPr>
              <w:pStyle w:val="8"/>
              <w:spacing w:before="167"/>
              <w:ind w:left="85" w:right="82"/>
              <w:rPr>
                <w:rFonts w:ascii="Times New Roman"/>
                <w:sz w:val="21"/>
              </w:rPr>
            </w:pPr>
            <w:r>
              <w:rPr>
                <w:rFonts w:ascii="Times New Roman"/>
                <w:sz w:val="21"/>
              </w:rPr>
              <w:t>17</w:t>
            </w:r>
          </w:p>
        </w:tc>
        <w:tc>
          <w:tcPr>
            <w:tcW w:w="1159" w:type="dxa"/>
          </w:tcPr>
          <w:p>
            <w:pPr>
              <w:pStyle w:val="8"/>
              <w:spacing w:before="55" w:line="242" w:lineRule="auto"/>
              <w:ind w:left="107" w:right="101"/>
              <w:jc w:val="left"/>
              <w:rPr>
                <w:sz w:val="18"/>
              </w:rPr>
            </w:pPr>
            <w:r>
              <w:rPr>
                <w:sz w:val="18"/>
              </w:rPr>
              <w:t>完成省、枣庄下达任务</w:t>
            </w:r>
          </w:p>
        </w:tc>
        <w:tc>
          <w:tcPr>
            <w:tcW w:w="1132" w:type="dxa"/>
          </w:tcPr>
          <w:p>
            <w:pPr>
              <w:pStyle w:val="8"/>
              <w:spacing w:before="55" w:line="242" w:lineRule="auto"/>
              <w:ind w:left="107" w:right="100"/>
              <w:jc w:val="left"/>
              <w:rPr>
                <w:sz w:val="18"/>
              </w:rPr>
            </w:pPr>
            <w:r>
              <w:rPr>
                <w:sz w:val="18"/>
              </w:rPr>
              <w:t>完成省、枣庄下达任务</w:t>
            </w:r>
          </w:p>
        </w:tc>
        <w:tc>
          <w:tcPr>
            <w:tcW w:w="1091" w:type="dxa"/>
          </w:tcPr>
          <w:p>
            <w:pPr>
              <w:pStyle w:val="8"/>
              <w:spacing w:before="150"/>
              <w:ind w:right="208"/>
              <w:rPr>
                <w:sz w:val="21"/>
              </w:rPr>
            </w:pPr>
            <w:r>
              <w:rPr>
                <w:sz w:val="21"/>
              </w:rPr>
              <w:t>约束性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9" w:hRule="atLeast"/>
        </w:trPr>
        <w:tc>
          <w:tcPr>
            <w:tcW w:w="810" w:type="dxa"/>
            <w:vMerge w:val="continue"/>
            <w:tcBorders>
              <w:top w:val="nil"/>
            </w:tcBorders>
          </w:tcPr>
          <w:p>
            <w:pPr>
              <w:rPr>
                <w:sz w:val="2"/>
                <w:szCs w:val="2"/>
              </w:rPr>
            </w:pPr>
          </w:p>
        </w:tc>
        <w:tc>
          <w:tcPr>
            <w:tcW w:w="3843" w:type="dxa"/>
          </w:tcPr>
          <w:p>
            <w:pPr>
              <w:pStyle w:val="8"/>
              <w:spacing w:before="180"/>
              <w:ind w:left="108"/>
              <w:jc w:val="left"/>
              <w:rPr>
                <w:sz w:val="18"/>
              </w:rPr>
            </w:pPr>
            <w:r>
              <w:rPr>
                <w:rFonts w:ascii="Times New Roman" w:eastAsia="Times New Roman"/>
                <w:sz w:val="18"/>
              </w:rPr>
              <w:t>24.</w:t>
            </w:r>
            <w:r>
              <w:rPr>
                <w:sz w:val="18"/>
              </w:rPr>
              <w:t>能源综合生产能力（万吨标准煤）</w:t>
            </w:r>
          </w:p>
        </w:tc>
        <w:tc>
          <w:tcPr>
            <w:tcW w:w="898" w:type="dxa"/>
          </w:tcPr>
          <w:p>
            <w:pPr>
              <w:pStyle w:val="8"/>
              <w:spacing w:before="173"/>
              <w:ind w:left="85" w:right="82"/>
              <w:rPr>
                <w:rFonts w:ascii="Times New Roman"/>
                <w:sz w:val="21"/>
              </w:rPr>
            </w:pPr>
            <w:r>
              <w:rPr>
                <w:rFonts w:ascii="Times New Roman"/>
                <w:sz w:val="21"/>
              </w:rPr>
              <w:t>326</w:t>
            </w:r>
          </w:p>
        </w:tc>
        <w:tc>
          <w:tcPr>
            <w:tcW w:w="1159" w:type="dxa"/>
          </w:tcPr>
          <w:p>
            <w:pPr>
              <w:pStyle w:val="8"/>
              <w:spacing w:before="62" w:line="242" w:lineRule="auto"/>
              <w:ind w:left="107" w:right="101"/>
              <w:jc w:val="left"/>
              <w:rPr>
                <w:sz w:val="18"/>
              </w:rPr>
            </w:pPr>
            <w:r>
              <w:rPr>
                <w:sz w:val="18"/>
              </w:rPr>
              <w:t>完成省、枣庄下达任务</w:t>
            </w:r>
          </w:p>
        </w:tc>
        <w:tc>
          <w:tcPr>
            <w:tcW w:w="1132" w:type="dxa"/>
          </w:tcPr>
          <w:p>
            <w:pPr>
              <w:pStyle w:val="8"/>
              <w:spacing w:before="62" w:line="242" w:lineRule="auto"/>
              <w:ind w:left="107" w:right="100"/>
              <w:jc w:val="left"/>
              <w:rPr>
                <w:sz w:val="18"/>
              </w:rPr>
            </w:pPr>
            <w:r>
              <w:rPr>
                <w:sz w:val="18"/>
              </w:rPr>
              <w:t>完成省、枣庄下达任务</w:t>
            </w:r>
          </w:p>
        </w:tc>
        <w:tc>
          <w:tcPr>
            <w:tcW w:w="1091" w:type="dxa"/>
          </w:tcPr>
          <w:p>
            <w:pPr>
              <w:pStyle w:val="8"/>
              <w:spacing w:before="159"/>
              <w:ind w:right="208"/>
              <w:rPr>
                <w:sz w:val="21"/>
              </w:rPr>
            </w:pPr>
            <w:r>
              <w:rPr>
                <w:sz w:val="21"/>
              </w:rPr>
              <w:t>预期性</w:t>
            </w:r>
          </w:p>
        </w:tc>
      </w:tr>
    </w:tbl>
    <w:p>
      <w:pPr>
        <w:spacing w:after="0"/>
        <w:rPr>
          <w:sz w:val="21"/>
        </w:rPr>
        <w:sectPr>
          <w:pgSz w:w="11910" w:h="16840"/>
          <w:pgMar w:top="1580" w:right="1300" w:bottom="1540" w:left="1380" w:header="0" w:footer="1346" w:gutter="0"/>
          <w:cols w:space="720" w:num="1"/>
        </w:sectPr>
      </w:pPr>
    </w:p>
    <w:p>
      <w:pPr>
        <w:pStyle w:val="3"/>
        <w:ind w:left="0"/>
        <w:rPr>
          <w:b/>
          <w:sz w:val="13"/>
        </w:rPr>
      </w:pPr>
    </w:p>
    <w:p>
      <w:pPr>
        <w:pStyle w:val="3"/>
        <w:spacing w:before="64" w:line="328" w:lineRule="auto"/>
        <w:ind w:right="397" w:firstLine="638"/>
        <w:jc w:val="both"/>
      </w:pPr>
      <w:r>
        <w:rPr>
          <w:rFonts w:ascii="Times New Roman" w:hAnsi="Times New Roman" w:eastAsia="Times New Roman"/>
          <w:b/>
        </w:rPr>
        <w:t>——</w:t>
      </w:r>
      <w:r>
        <w:rPr>
          <w:b/>
          <w:spacing w:val="-13"/>
        </w:rPr>
        <w:t>民生福祉保障再上新水平。</w:t>
      </w:r>
      <w:r>
        <w:t>城乡居民收入增长与经济</w:t>
      </w:r>
      <w:r>
        <w:rPr>
          <w:spacing w:val="-12"/>
        </w:rPr>
        <w:t>增长同步，卫生健康服务均等化水平稳步提高，教育现代化加</w:t>
      </w:r>
      <w:r>
        <w:rPr>
          <w:spacing w:val="-15"/>
        </w:rPr>
        <w:t>快推进，就业保障更加充分，脱贫成果持续巩固，社会保障体系更加完善。</w:t>
      </w:r>
    </w:p>
    <w:p>
      <w:pPr>
        <w:pStyle w:val="3"/>
        <w:spacing w:line="328" w:lineRule="auto"/>
        <w:ind w:right="397" w:firstLine="638"/>
        <w:jc w:val="both"/>
      </w:pPr>
      <w:r>
        <w:rPr>
          <w:rFonts w:ascii="Times New Roman" w:hAnsi="Times New Roman" w:eastAsia="Times New Roman"/>
          <w:b/>
        </w:rPr>
        <w:t>——</w:t>
      </w:r>
      <w:r>
        <w:rPr>
          <w:b/>
          <w:spacing w:val="-7"/>
        </w:rPr>
        <w:t>生态文明建设再上新高度。</w:t>
      </w:r>
      <w:r>
        <w:rPr>
          <w:spacing w:val="-9"/>
        </w:rPr>
        <w:t>绿色发展、生态文明理念</w:t>
      </w:r>
      <w:r>
        <w:rPr>
          <w:spacing w:val="-15"/>
          <w:w w:val="95"/>
        </w:rPr>
        <w:t xml:space="preserve">深入人心，污染防治效果更加显著，生产方式和生活方式向绿 </w:t>
      </w:r>
      <w:r>
        <w:rPr>
          <w:spacing w:val="-12"/>
          <w:w w:val="95"/>
        </w:rPr>
        <w:t xml:space="preserve">色、低碳转变，能源资源利用效率大幅提高，空气、水、土壤 </w:t>
      </w:r>
      <w:r>
        <w:rPr>
          <w:spacing w:val="-12"/>
        </w:rPr>
        <w:t>环境质量持续提升。</w:t>
      </w:r>
    </w:p>
    <w:p>
      <w:pPr>
        <w:pStyle w:val="3"/>
        <w:spacing w:line="328" w:lineRule="auto"/>
        <w:ind w:right="266" w:firstLine="638"/>
      </w:pPr>
      <w:r>
        <w:rPr>
          <w:rFonts w:ascii="Times New Roman" w:hAnsi="Times New Roman" w:eastAsia="Times New Roman"/>
          <w:b/>
        </w:rPr>
        <w:t>——</w:t>
      </w:r>
      <w:r>
        <w:rPr>
          <w:b/>
          <w:spacing w:val="-12"/>
        </w:rPr>
        <w:t>社会治理现代化取得新突破。</w:t>
      </w:r>
      <w:r>
        <w:t>全市治理体系和治理能</w:t>
      </w:r>
      <w:r>
        <w:rPr>
          <w:spacing w:val="-12"/>
        </w:rPr>
        <w:t xml:space="preserve">力现代化水平不断提高，重要领域和关键环节改革取得决定性成果，开放型经济新体制更加完善，法治滕州建设成效显著， </w:t>
      </w:r>
      <w:r>
        <w:t>人民民主更加健全，司法公信力明显增强。</w:t>
      </w:r>
    </w:p>
    <w:p>
      <w:pPr>
        <w:pStyle w:val="3"/>
        <w:tabs>
          <w:tab w:val="left" w:pos="1281"/>
        </w:tabs>
        <w:spacing w:before="136"/>
        <w:ind w:left="0" w:right="80"/>
        <w:jc w:val="center"/>
        <w:rPr>
          <w:rFonts w:hint="eastAsia" w:ascii="黑体" w:eastAsia="黑体"/>
        </w:rPr>
      </w:pPr>
      <w:bookmarkStart w:id="12" w:name="第三章  坚持创新发展，培育高质量发展新动力"/>
      <w:bookmarkEnd w:id="12"/>
      <w:r>
        <w:rPr>
          <w:rFonts w:hint="eastAsia" w:ascii="黑体" w:eastAsia="黑体"/>
        </w:rPr>
        <w:t>第三章</w:t>
      </w:r>
      <w:r>
        <w:rPr>
          <w:rFonts w:hint="eastAsia" w:ascii="黑体" w:eastAsia="黑体"/>
        </w:rPr>
        <w:tab/>
      </w:r>
      <w:r>
        <w:rPr>
          <w:rFonts w:hint="eastAsia" w:ascii="黑体" w:eastAsia="黑体"/>
        </w:rPr>
        <w:t>坚持创新发展，培育高质量发展新动力</w:t>
      </w:r>
    </w:p>
    <w:p>
      <w:pPr>
        <w:pStyle w:val="3"/>
        <w:spacing w:before="151" w:line="326" w:lineRule="auto"/>
        <w:ind w:right="399" w:firstLine="638"/>
        <w:jc w:val="both"/>
      </w:pPr>
      <w:r>
        <w:rPr>
          <w:spacing w:val="-8"/>
        </w:rPr>
        <w:t>坚持创新在现代化建设全局中的核心地位，加快形成以创</w:t>
      </w:r>
      <w:r>
        <w:rPr>
          <w:spacing w:val="-15"/>
        </w:rPr>
        <w:t>新为主要引领支撑的经济体系和发展模式，持续催生高质量发展新动能，为跨越发展注入强大动力。</w:t>
      </w:r>
    </w:p>
    <w:p>
      <w:pPr>
        <w:pStyle w:val="3"/>
        <w:tabs>
          <w:tab w:val="left" w:pos="1281"/>
        </w:tabs>
        <w:spacing w:before="70"/>
        <w:ind w:left="0" w:right="80"/>
        <w:jc w:val="center"/>
        <w:rPr>
          <w:rFonts w:hint="eastAsia" w:ascii="宋体" w:eastAsia="宋体"/>
        </w:rPr>
      </w:pPr>
      <w:bookmarkStart w:id="13" w:name="第一节  加快核心技术突破"/>
      <w:bookmarkEnd w:id="13"/>
      <w:r>
        <w:rPr>
          <w:rFonts w:hint="eastAsia" w:ascii="宋体" w:eastAsia="宋体"/>
        </w:rPr>
        <w:t>第一节</w:t>
      </w:r>
      <w:r>
        <w:rPr>
          <w:rFonts w:hint="eastAsia" w:ascii="宋体" w:eastAsia="宋体"/>
        </w:rPr>
        <w:tab/>
      </w:r>
      <w:r>
        <w:rPr>
          <w:rFonts w:hint="eastAsia" w:ascii="宋体" w:eastAsia="宋体"/>
        </w:rPr>
        <w:t>加快核心技术突破</w:t>
      </w:r>
    </w:p>
    <w:p>
      <w:pPr>
        <w:pStyle w:val="3"/>
        <w:spacing w:before="149" w:line="328" w:lineRule="auto"/>
        <w:ind w:right="242" w:firstLine="638"/>
      </w:pPr>
      <w:r>
        <w:rPr>
          <w:spacing w:val="-9"/>
        </w:rPr>
        <w:t>贯彻国家产业政策导向和新发展理念，立足我市现有产业</w:t>
      </w:r>
      <w:r>
        <w:rPr>
          <w:spacing w:val="-13"/>
        </w:rPr>
        <w:t>现状，围绕高端装备、高端化工、新能源新材料、新一代信息技术、医养健康、现代高效农业等重点产业，紧盯前沿技术、</w:t>
      </w:r>
      <w:r>
        <w:rPr>
          <w:spacing w:val="-20"/>
          <w:w w:val="95"/>
        </w:rPr>
        <w:t xml:space="preserve">前沿领域、前沿模式发力，积极研发和引进转化高新技术成果， </w:t>
      </w:r>
      <w:r>
        <w:rPr>
          <w:spacing w:val="-20"/>
        </w:rPr>
        <w:t>培育壮大高新技术企业，传统产业创新升级，推进高新技术产业持续发展。</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firstLine="638"/>
      </w:pPr>
      <w:r>
        <w:rPr>
          <w:b/>
          <w:spacing w:val="-10"/>
        </w:rPr>
        <w:t>加强高端装备制造技术研发与创新。</w:t>
      </w:r>
      <w:r>
        <w:t>依托我市数控机床发</w:t>
      </w:r>
      <w:r>
        <w:rPr>
          <w:spacing w:val="-20"/>
          <w:w w:val="95"/>
        </w:rPr>
        <w:t xml:space="preserve">展基础和优势，重点研发新型数控车床、数控镗床、数控磨床、 </w:t>
      </w:r>
      <w:r>
        <w:rPr>
          <w:spacing w:val="-19"/>
        </w:rPr>
        <w:t>数控重型金切机床、齿轮加工机床、特种加工机床、数控金属</w:t>
      </w:r>
      <w:r>
        <w:rPr>
          <w:spacing w:val="-22"/>
        </w:rPr>
        <w:t>成形机床、立式加工中心、卧式加工中心、龙门式加工中心、高速铣削加工中心、五轴联动加工中心等数控机床及关键零部件。</w:t>
      </w:r>
    </w:p>
    <w:p>
      <w:pPr>
        <w:pStyle w:val="3"/>
        <w:spacing w:line="328" w:lineRule="auto"/>
        <w:ind w:right="266" w:firstLine="638"/>
      </w:pPr>
      <w:r>
        <w:rPr>
          <w:b/>
          <w:spacing w:val="-10"/>
        </w:rPr>
        <w:t>加强高端化工领域技术研发与创新。</w:t>
      </w:r>
      <w:r>
        <w:t>依托中国化学鲁南产业技术（氢能）</w:t>
      </w:r>
      <w:r>
        <w:rPr>
          <w:spacing w:val="-1"/>
        </w:rPr>
        <w:t xml:space="preserve">研究院、中科院化工新材料中试基地等平台， </w:t>
      </w:r>
      <w:r>
        <w:rPr>
          <w:spacing w:val="-9"/>
        </w:rPr>
        <w:t xml:space="preserve">联合科研院所开展工程化放大研究，加快推进生活垃圾清洁高效气化、三聚甲醛中试（侧线）、甲苯－甲基环己烷（MCH） </w:t>
      </w:r>
      <w:r>
        <w:rPr>
          <w:spacing w:val="5"/>
        </w:rPr>
        <w:t>加氢</w:t>
      </w:r>
      <w:r>
        <w:rPr>
          <w:spacing w:val="3"/>
        </w:rPr>
        <w:t>/</w:t>
      </w:r>
      <w:r>
        <w:rPr>
          <w:spacing w:val="-2"/>
        </w:rPr>
        <w:t xml:space="preserve">脱氢、醋酸法丙烯酸、醋酸甲酯路线 </w:t>
      </w:r>
      <w:r>
        <w:t>MMA</w:t>
      </w:r>
      <w:r>
        <w:rPr>
          <w:spacing w:val="4"/>
        </w:rPr>
        <w:t>、中科院化工</w:t>
      </w:r>
      <w:r>
        <w:rPr>
          <w:spacing w:val="12"/>
        </w:rPr>
        <w:t>新材料非光气法制备</w:t>
      </w:r>
      <w:r>
        <w:t>XDI</w:t>
      </w:r>
      <w:r>
        <w:rPr>
          <w:spacing w:val="-17"/>
        </w:rPr>
        <w:t xml:space="preserve"> 等中试项目，突破一批关键技术，尽快实现产业化。</w:t>
      </w:r>
    </w:p>
    <w:p>
      <w:pPr>
        <w:spacing w:before="0" w:line="397" w:lineRule="exact"/>
        <w:ind w:left="960" w:right="0" w:firstLine="0"/>
        <w:jc w:val="left"/>
        <w:rPr>
          <w:sz w:val="32"/>
        </w:rPr>
      </w:pPr>
      <w:r>
        <w:rPr>
          <w:b/>
          <w:sz w:val="32"/>
        </w:rPr>
        <w:t>加强新能源新材料技术研发与创新。</w:t>
      </w:r>
      <w:r>
        <w:rPr>
          <w:sz w:val="32"/>
        </w:rPr>
        <w:t>依托北玻院、恒瑞磁</w:t>
      </w:r>
    </w:p>
    <w:p>
      <w:pPr>
        <w:pStyle w:val="3"/>
        <w:spacing w:before="144" w:line="328" w:lineRule="auto"/>
        <w:ind w:right="377"/>
        <w:jc w:val="both"/>
      </w:pPr>
      <w:r>
        <w:rPr>
          <w:spacing w:val="-12"/>
        </w:rPr>
        <w:t>电、金晶玻璃等企业，研发航空用轻合金材料、电子信息用关</w:t>
      </w:r>
      <w:r>
        <w:rPr>
          <w:spacing w:val="-14"/>
        </w:rPr>
        <w:t>键材料、高端伺服电机用热压磁环及热压磁粉、新型稀有稀贵</w:t>
      </w:r>
      <w:r>
        <w:rPr>
          <w:spacing w:val="-17"/>
        </w:rPr>
        <w:t>金属材料、</w:t>
      </w:r>
      <w:r>
        <w:t>8.5</w:t>
      </w:r>
      <w:r>
        <w:rPr>
          <w:spacing w:val="-57"/>
        </w:rPr>
        <w:t xml:space="preserve"> 代 </w:t>
      </w:r>
      <w:r>
        <w:t>TFT-LCD</w:t>
      </w:r>
      <w:r>
        <w:rPr>
          <w:spacing w:val="-11"/>
        </w:rPr>
        <w:t xml:space="preserve"> 及以上玻璃基板、显示面板用高强</w:t>
      </w:r>
      <w:r>
        <w:rPr>
          <w:spacing w:val="4"/>
        </w:rPr>
        <w:t>盖板玻璃、钢化真空玻璃、</w:t>
      </w:r>
      <w:r>
        <w:t>3D</w:t>
      </w:r>
      <w:r>
        <w:rPr>
          <w:spacing w:val="-6"/>
        </w:rPr>
        <w:t xml:space="preserve"> 曲面超薄玻璃、高性能石英玻</w:t>
      </w:r>
      <w:r>
        <w:rPr>
          <w:spacing w:val="-19"/>
          <w:w w:val="95"/>
        </w:rPr>
        <w:t xml:space="preserve">璃等产品。加大纺粘复合医用无纺布和木浆复合水刺无纺布新技  </w:t>
      </w:r>
      <w:r>
        <w:rPr>
          <w:spacing w:val="-22"/>
        </w:rPr>
        <w:t>术的研发力度，开发纺粘无纺布和木浆复合无纺布的高端制品。</w:t>
      </w:r>
    </w:p>
    <w:p>
      <w:pPr>
        <w:pStyle w:val="3"/>
        <w:tabs>
          <w:tab w:val="left" w:pos="1281"/>
        </w:tabs>
        <w:spacing w:before="52"/>
        <w:ind w:left="0" w:right="80"/>
        <w:jc w:val="center"/>
        <w:rPr>
          <w:rFonts w:hint="eastAsia" w:ascii="宋体" w:eastAsia="宋体"/>
        </w:rPr>
      </w:pPr>
      <w:bookmarkStart w:id="14" w:name="第二节  强化企业主体地位"/>
      <w:bookmarkEnd w:id="14"/>
      <w:r>
        <w:rPr>
          <w:rFonts w:hint="eastAsia" w:ascii="宋体" w:eastAsia="宋体"/>
        </w:rPr>
        <w:t>第二节</w:t>
      </w:r>
      <w:r>
        <w:rPr>
          <w:rFonts w:hint="eastAsia" w:ascii="宋体" w:eastAsia="宋体"/>
        </w:rPr>
        <w:tab/>
      </w:r>
      <w:r>
        <w:rPr>
          <w:rFonts w:hint="eastAsia" w:ascii="宋体" w:eastAsia="宋体"/>
        </w:rPr>
        <w:t>强化企业主体地位</w:t>
      </w:r>
    </w:p>
    <w:p>
      <w:pPr>
        <w:pStyle w:val="3"/>
        <w:spacing w:before="149" w:line="328" w:lineRule="auto"/>
        <w:ind w:right="266" w:firstLine="638"/>
      </w:pPr>
      <w:r>
        <w:t>充分发挥企业创新主体作用，推动创新要素向企业集聚。加快建立以政府为引导、企业为主体、市场为导向，产学研深度融合的技术创新体系。加大创新型企业培育力度，构建高新</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6"/>
      </w:pPr>
      <w:r>
        <w:t>技术企业和科技型中小企业梯次培育机制，形成分工协作、优势互补的产业创新链和创新企业集群，推动经济高质量发展。</w:t>
      </w:r>
    </w:p>
    <w:p>
      <w:pPr>
        <w:pStyle w:val="3"/>
        <w:spacing w:line="328" w:lineRule="auto"/>
        <w:ind w:right="397" w:firstLine="638"/>
        <w:jc w:val="both"/>
      </w:pPr>
      <w:r>
        <w:rPr>
          <w:b/>
          <w:spacing w:val="-8"/>
          <w:w w:val="95"/>
        </w:rPr>
        <w:t>培育创新型领军企业。</w:t>
      </w:r>
      <w:r>
        <w:rPr>
          <w:spacing w:val="-7"/>
          <w:w w:val="95"/>
        </w:rPr>
        <w:t xml:space="preserve">实施重点企业培育工程，着力培育 </w:t>
      </w:r>
      <w:r>
        <w:rPr>
          <w:spacing w:val="-14"/>
        </w:rPr>
        <w:t>联泓新科、鲁南化工、威达重工、山森数控、中材锂膜、恒瑞磁电、益康药业、威智医药等一批创新型领军企业。扩大企业</w:t>
      </w:r>
      <w:r>
        <w:rPr>
          <w:spacing w:val="-16"/>
        </w:rPr>
        <w:t>创新协作范围，支持企业积极开展多种形式的科技创新合作和</w:t>
      </w:r>
      <w:r>
        <w:rPr>
          <w:spacing w:val="-17"/>
        </w:rPr>
        <w:t>产品创新活动，促进一批科技项目在滕州落地转化。支持科技创新骨干企业积极承担国家、省、市重大科技创新项目。</w:t>
      </w:r>
    </w:p>
    <w:p>
      <w:pPr>
        <w:pStyle w:val="3"/>
        <w:spacing w:line="328" w:lineRule="auto"/>
        <w:ind w:right="266" w:firstLine="638"/>
      </w:pPr>
      <w:r>
        <w:rPr>
          <w:b/>
          <w:spacing w:val="-5"/>
        </w:rPr>
        <w:t>构建高新技术企业梯次培育机制。</w:t>
      </w:r>
      <w:r>
        <w:rPr>
          <w:spacing w:val="-9"/>
        </w:rPr>
        <w:t>围绕我市支柱产业，持</w:t>
      </w:r>
      <w:r>
        <w:rPr>
          <w:spacing w:val="-17"/>
        </w:rPr>
        <w:t>续加强高新技术企业培育力度，积极构建高新技术企业“小升</w:t>
      </w:r>
      <w:r>
        <w:rPr>
          <w:spacing w:val="-13"/>
        </w:rPr>
        <w:t xml:space="preserve">高、高壮大”梯次培育机制。完善高新技术企业培育库，优化培育入库标准，对入库企业实行动态管理。按照“一企一策” </w:t>
      </w:r>
      <w:r>
        <w:rPr>
          <w:spacing w:val="-11"/>
        </w:rPr>
        <w:t>的原则，健全完善帮扶机制，强化跟踪辅导服务，形成“发现</w:t>
      </w:r>
      <w:r>
        <w:rPr>
          <w:spacing w:val="-14"/>
        </w:rPr>
        <w:t>一批、服务一批、推出一批、认定一批”的培育格局。强化奖</w:t>
      </w:r>
      <w:r>
        <w:rPr>
          <w:spacing w:val="-17"/>
        </w:rPr>
        <w:t>励激励政策引导，提升企业申请高新技术企业认定积极性，全面提升企业自主创新能力。</w:t>
      </w:r>
    </w:p>
    <w:p>
      <w:pPr>
        <w:spacing w:before="0" w:line="397" w:lineRule="exact"/>
        <w:ind w:left="960" w:right="0" w:firstLine="0"/>
        <w:jc w:val="left"/>
        <w:rPr>
          <w:sz w:val="32"/>
        </w:rPr>
      </w:pPr>
      <w:r>
        <w:rPr>
          <w:b/>
          <w:spacing w:val="-6"/>
          <w:w w:val="95"/>
          <w:sz w:val="32"/>
        </w:rPr>
        <w:t>持续强化科技型中小企业培育。</w:t>
      </w:r>
      <w:r>
        <w:rPr>
          <w:spacing w:val="-9"/>
          <w:w w:val="95"/>
          <w:sz w:val="32"/>
        </w:rPr>
        <w:t>深入实施“科技型中小企</w:t>
      </w:r>
    </w:p>
    <w:p>
      <w:pPr>
        <w:pStyle w:val="3"/>
        <w:spacing w:before="137" w:line="328" w:lineRule="auto"/>
        <w:ind w:right="399"/>
        <w:jc w:val="both"/>
      </w:pPr>
      <w:r>
        <w:rPr>
          <w:spacing w:val="-12"/>
          <w:w w:val="99"/>
        </w:rPr>
        <w:t>业培育计划”“科技小巨人培育计划”等行动，培育更多“单</w:t>
      </w:r>
      <w:r>
        <w:rPr>
          <w:spacing w:val="-24"/>
          <w:w w:val="99"/>
        </w:rPr>
        <w:t>项冠军”“瞪羚”“独角兽”企业。持续推行一站式申报管理和</w:t>
      </w:r>
      <w:r>
        <w:rPr>
          <w:spacing w:val="-17"/>
          <w:w w:val="95"/>
        </w:rPr>
        <w:t xml:space="preserve">跟踪服务，完善科技型中小企业数据库，探索入库企业评估和 动态管理机制。引导初创期中小微企业加大研发投入，开展技 </w:t>
      </w:r>
      <w:r>
        <w:rPr>
          <w:spacing w:val="6"/>
          <w:w w:val="95"/>
        </w:rPr>
        <w:t xml:space="preserve">术创新和研发活动，推动一批中小微企业成长为高新技术企 </w:t>
      </w:r>
      <w:r>
        <w:rPr>
          <w:spacing w:val="-11"/>
          <w:w w:val="95"/>
        </w:rPr>
        <w:t>业。建立和完善科技型中小企业金融服务体系，加大科技创新</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t>券、科创贷推广应用力度。</w:t>
      </w:r>
    </w:p>
    <w:p>
      <w:pPr>
        <w:pStyle w:val="3"/>
        <w:tabs>
          <w:tab w:val="left" w:pos="1281"/>
        </w:tabs>
        <w:spacing w:before="214"/>
        <w:ind w:left="0" w:right="80"/>
        <w:jc w:val="center"/>
        <w:rPr>
          <w:rFonts w:hint="eastAsia" w:ascii="宋体" w:eastAsia="宋体"/>
        </w:rPr>
      </w:pPr>
      <w:bookmarkStart w:id="15" w:name="第三节  搭建科技创新平台"/>
      <w:bookmarkEnd w:id="15"/>
      <w:r>
        <w:rPr>
          <w:rFonts w:hint="eastAsia" w:ascii="宋体" w:eastAsia="宋体"/>
        </w:rPr>
        <w:t>第三节</w:t>
      </w:r>
      <w:r>
        <w:rPr>
          <w:rFonts w:hint="eastAsia" w:ascii="宋体" w:eastAsia="宋体"/>
        </w:rPr>
        <w:tab/>
      </w:r>
      <w:r>
        <w:rPr>
          <w:rFonts w:hint="eastAsia" w:ascii="宋体" w:eastAsia="宋体"/>
        </w:rPr>
        <w:t>搭建科技创新平台</w:t>
      </w:r>
    </w:p>
    <w:p>
      <w:pPr>
        <w:pStyle w:val="3"/>
        <w:spacing w:before="149" w:line="328" w:lineRule="auto"/>
        <w:ind w:right="394" w:firstLine="638"/>
        <w:jc w:val="both"/>
      </w:pPr>
      <w:r>
        <w:rPr>
          <w:spacing w:val="-10"/>
        </w:rPr>
        <w:t>加强平台建设顶层设计，优化创新平台布局，建立层次鲜</w:t>
      </w:r>
      <w:r>
        <w:rPr>
          <w:spacing w:val="-12"/>
        </w:rPr>
        <w:t>明、特色突出、结构多元、功能完备、开放共享、运行高效的</w:t>
      </w:r>
      <w:r>
        <w:rPr>
          <w:spacing w:val="4"/>
        </w:rPr>
        <w:t>科技创新平台体系。</w:t>
      </w:r>
      <w:r>
        <w:t>2025</w:t>
      </w:r>
      <w:r>
        <w:rPr>
          <w:spacing w:val="-11"/>
        </w:rPr>
        <w:t xml:space="preserve"> 年，市级以上科技平台达到 </w:t>
      </w:r>
      <w:r>
        <w:t>260</w:t>
      </w:r>
      <w:r>
        <w:rPr>
          <w:spacing w:val="-42"/>
        </w:rPr>
        <w:t xml:space="preserve"> 家</w:t>
      </w:r>
      <w:r>
        <w:rPr>
          <w:spacing w:val="-45"/>
        </w:rPr>
        <w:t xml:space="preserve">以上，技术转移服务机构达到 </w:t>
      </w:r>
      <w:r>
        <w:t>10</w:t>
      </w:r>
      <w:r>
        <w:rPr>
          <w:spacing w:val="-17"/>
        </w:rPr>
        <w:t xml:space="preserve"> 家以上。</w:t>
      </w:r>
    </w:p>
    <w:p>
      <w:pPr>
        <w:pStyle w:val="3"/>
        <w:spacing w:line="328" w:lineRule="auto"/>
        <w:ind w:right="398" w:firstLine="638"/>
        <w:jc w:val="both"/>
      </w:pPr>
      <w:r>
        <w:rPr>
          <w:b/>
          <w:spacing w:val="-12"/>
        </w:rPr>
        <w:t>加强产业共性技术平台建设。</w:t>
      </w:r>
      <w:r>
        <w:t>针对解决制约我市产业发展</w:t>
      </w:r>
      <w:r>
        <w:rPr>
          <w:spacing w:val="-12"/>
          <w:w w:val="95"/>
        </w:rPr>
        <w:t xml:space="preserve">“卡脖子”技术难题，加快建设北理工鲁南研究院、滕州华数 </w:t>
      </w:r>
      <w:r>
        <w:rPr>
          <w:spacing w:val="-16"/>
          <w:w w:val="95"/>
        </w:rPr>
        <w:t xml:space="preserve">智能制造研究院、北航机床创新研究院、西安交大机械制造国 </w:t>
      </w:r>
      <w:r>
        <w:rPr>
          <w:spacing w:val="-20"/>
          <w:w w:val="95"/>
        </w:rPr>
        <w:t xml:space="preserve">家重点实验室等创新创业平台。充分发挥墨子科创园、大数据 </w:t>
      </w:r>
      <w:r>
        <w:rPr>
          <w:spacing w:val="-20"/>
        </w:rPr>
        <w:t>产业园等平台载体作用，加强与高校院所、科研单位合作，大</w:t>
      </w:r>
      <w:r>
        <w:rPr>
          <w:spacing w:val="-7"/>
        </w:rPr>
        <w:t>力推进不同产业不同领域共性技术平台建设，力争更多国家级平台分支机构在滕州落地。</w:t>
      </w:r>
    </w:p>
    <w:p>
      <w:pPr>
        <w:pStyle w:val="3"/>
        <w:spacing w:line="328" w:lineRule="auto"/>
        <w:ind w:right="266" w:firstLine="638"/>
      </w:pPr>
      <w:r>
        <w:rPr>
          <w:b/>
          <w:spacing w:val="-14"/>
        </w:rPr>
        <w:t>加强企业创新平台建设。</w:t>
      </w:r>
      <w:r>
        <w:t>鼓励企业与国内外高校院所合作</w:t>
      </w:r>
      <w:r>
        <w:rPr>
          <w:spacing w:val="-1"/>
        </w:rPr>
        <w:t xml:space="preserve">建设协同创新中心、院士工作站、国际合作基地等人才平台， </w:t>
      </w:r>
      <w:r>
        <w:rPr>
          <w:spacing w:val="-9"/>
        </w:rPr>
        <w:t>加快高校优势创新资源向企业集聚。支持企业牵头组建创新联</w:t>
      </w:r>
      <w:r>
        <w:rPr>
          <w:spacing w:val="-13"/>
        </w:rPr>
        <w:t>合体，加快创建重点实验室、技术创新中心等创新平台，健全完善研发平台绩效评价机制，着力提升企业创新研发能力。</w:t>
      </w:r>
    </w:p>
    <w:p>
      <w:pPr>
        <w:pStyle w:val="3"/>
        <w:spacing w:line="328" w:lineRule="auto"/>
        <w:ind w:right="242" w:firstLine="638"/>
      </w:pPr>
      <w:r>
        <w:rPr>
          <w:b/>
          <w:spacing w:val="-6"/>
        </w:rPr>
        <w:t>加快创新孵化服务平台建设。</w:t>
      </w:r>
      <w:r>
        <w:rPr>
          <w:spacing w:val="-9"/>
        </w:rPr>
        <w:t>大力推进专业化、市场化孵</w:t>
      </w:r>
      <w:r>
        <w:rPr>
          <w:spacing w:val="-20"/>
          <w:w w:val="95"/>
        </w:rPr>
        <w:t xml:space="preserve">化平台建设，打造创新创业孵化生态链条。加大政策扶持力度， </w:t>
      </w:r>
      <w:r>
        <w:rPr>
          <w:spacing w:val="-16"/>
        </w:rPr>
        <w:t>引导社会、企业积极参与投资，推动更多科技企业孵化器、众</w:t>
      </w:r>
      <w:r>
        <w:rPr>
          <w:spacing w:val="-19"/>
        </w:rPr>
        <w:t>创空间向专业化、精细化、差异化、品牌化发展，推进重大科技</w:t>
      </w:r>
      <w:r>
        <w:rPr>
          <w:spacing w:val="-21"/>
        </w:rPr>
        <w:t>成果在滕州转移转化和示范应用。</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tabs>
          <w:tab w:val="left" w:pos="1281"/>
        </w:tabs>
        <w:spacing w:before="54"/>
        <w:ind w:left="0" w:right="80"/>
        <w:jc w:val="center"/>
        <w:rPr>
          <w:rFonts w:hint="eastAsia" w:ascii="宋体" w:eastAsia="宋体"/>
        </w:rPr>
      </w:pPr>
      <w:bookmarkStart w:id="16" w:name="第四节  发挥人才关键作用"/>
      <w:bookmarkEnd w:id="16"/>
      <w:r>
        <w:rPr>
          <w:rFonts w:hint="eastAsia" w:ascii="宋体" w:eastAsia="宋体"/>
        </w:rPr>
        <w:t>第四节</w:t>
      </w:r>
      <w:r>
        <w:rPr>
          <w:rFonts w:hint="eastAsia" w:ascii="宋体" w:eastAsia="宋体"/>
        </w:rPr>
        <w:tab/>
      </w:r>
      <w:r>
        <w:rPr>
          <w:rFonts w:hint="eastAsia" w:ascii="宋体" w:eastAsia="宋体"/>
        </w:rPr>
        <w:t>发挥人才关键作用</w:t>
      </w:r>
    </w:p>
    <w:p>
      <w:pPr>
        <w:pStyle w:val="3"/>
        <w:spacing w:before="152" w:line="328" w:lineRule="auto"/>
        <w:ind w:right="266" w:firstLine="638"/>
      </w:pPr>
      <w:r>
        <w:t>坚持党管人才原则，树立人才第一资源理念，深入实施人才强市战略，激发人才创新活力，形成引领发展、创新发展、持续发展的人才智力支撑，打造科技创新的策源地、集聚地、转化地。</w:t>
      </w:r>
    </w:p>
    <w:p>
      <w:pPr>
        <w:pStyle w:val="3"/>
        <w:spacing w:line="328" w:lineRule="auto"/>
        <w:ind w:right="266" w:firstLine="638"/>
      </w:pPr>
      <w:r>
        <w:rPr>
          <w:b/>
          <w:spacing w:val="-4"/>
        </w:rPr>
        <w:t>加大人才培养开发力度。</w:t>
      </w:r>
      <w:r>
        <w:rPr>
          <w:spacing w:val="-11"/>
        </w:rPr>
        <w:t>突出“高精尖缺”导向，完善多</w:t>
      </w:r>
      <w:r>
        <w:rPr>
          <w:spacing w:val="-16"/>
        </w:rPr>
        <w:t>层次人才队伍建设，促进科技创新创业人才、技能型人才、科</w:t>
      </w:r>
      <w:r>
        <w:rPr>
          <w:spacing w:val="-22"/>
        </w:rPr>
        <w:t>技成果转移转化人才和企业经营管理人才协调发展，形成各类</w:t>
      </w:r>
      <w:r>
        <w:rPr>
          <w:spacing w:val="-19"/>
        </w:rPr>
        <w:t xml:space="preserve">科技人才衔接有序、梯次配备、合理分布的格局。以各类研发平台为载体，系统培养大批产业关键领域优秀创新创业团队， </w:t>
      </w:r>
      <w:r>
        <w:rPr>
          <w:spacing w:val="-8"/>
        </w:rPr>
        <w:t>不断提升本土人才的科研创新能力。弘扬墨子创新精神、鲁班</w:t>
      </w:r>
      <w:r>
        <w:rPr>
          <w:spacing w:val="-14"/>
        </w:rPr>
        <w:t xml:space="preserve">工匠精神，培养一批高素质、高质量、高水平的高技能人才和“滕州工匠”。壮大科技成果转移转化机构和人才队伍建设， </w:t>
      </w:r>
      <w:r>
        <w:rPr>
          <w:spacing w:val="-8"/>
        </w:rPr>
        <w:t>促进更多的科研成果在我市落地转化。加强科技型企业家队伍</w:t>
      </w:r>
      <w:r>
        <w:rPr>
          <w:spacing w:val="-13"/>
        </w:rPr>
        <w:t>建设，围绕我市的重点产业领域，培养一批创新型企业家，重</w:t>
      </w:r>
      <w:r>
        <w:rPr>
          <w:spacing w:val="6"/>
        </w:rPr>
        <w:t>点扶持拥有核心技术或自主知识产权的优秀科技人才创办科技型企业，打造“百年老店”，培育知名“滕商”。</w:t>
      </w:r>
    </w:p>
    <w:p>
      <w:pPr>
        <w:spacing w:before="0" w:line="390" w:lineRule="exact"/>
        <w:ind w:left="960" w:right="0" w:firstLine="0"/>
        <w:jc w:val="left"/>
        <w:rPr>
          <w:sz w:val="32"/>
        </w:rPr>
      </w:pPr>
      <w:r>
        <w:rPr>
          <w:b/>
          <w:sz w:val="32"/>
        </w:rPr>
        <w:t>大力引进海内外高端人才。</w:t>
      </w:r>
      <w:r>
        <w:rPr>
          <w:sz w:val="32"/>
        </w:rPr>
        <w:t>抓住用好全球人才流动新机</w:t>
      </w:r>
    </w:p>
    <w:p>
      <w:pPr>
        <w:pStyle w:val="3"/>
        <w:spacing w:before="141" w:line="328" w:lineRule="auto"/>
        <w:ind w:right="236"/>
      </w:pPr>
      <w:r>
        <w:rPr>
          <w:spacing w:val="-11"/>
        </w:rPr>
        <w:t>遇，加强重点领域海内外高层次人才引进。深入实施“科技联</w:t>
      </w:r>
      <w:r>
        <w:rPr>
          <w:spacing w:val="-19"/>
          <w:w w:val="95"/>
        </w:rPr>
        <w:t xml:space="preserve">姻”工程，在高端装备、高端化工、新能源新材料、生物医药、 </w:t>
      </w:r>
      <w:r>
        <w:rPr>
          <w:spacing w:val="-20"/>
        </w:rPr>
        <w:t>新一代信息技术等九大产业，面向海内外广揽一批领军人才和</w:t>
      </w:r>
      <w:r>
        <w:rPr>
          <w:spacing w:val="-16"/>
        </w:rPr>
        <w:t>拔尖人才，集聚一批创新创业团队，形成以高层次人才引领产</w:t>
      </w:r>
      <w:r>
        <w:rPr>
          <w:spacing w:val="-27"/>
          <w:w w:val="99"/>
        </w:rPr>
        <w:t>业转型升级的良好态势。聚焦“八大”产业，绘制“人才地图”，</w:t>
      </w:r>
    </w:p>
    <w:p>
      <w:pPr>
        <w:spacing w:after="0" w:line="328" w:lineRule="auto"/>
        <w:sectPr>
          <w:footerReference r:id="rId9" w:type="default"/>
          <w:footerReference r:id="rId10" w:type="even"/>
          <w:pgSz w:w="11910" w:h="16840"/>
          <w:pgMar w:top="1580" w:right="1300" w:bottom="1540" w:left="1380" w:header="0" w:footer="1346" w:gutter="0"/>
          <w:pgNumType w:start="20"/>
          <w:cols w:space="720" w:num="1"/>
        </w:sectPr>
      </w:pPr>
    </w:p>
    <w:p>
      <w:pPr>
        <w:pStyle w:val="3"/>
        <w:spacing w:before="10"/>
        <w:ind w:left="0"/>
        <w:rPr>
          <w:sz w:val="13"/>
        </w:rPr>
      </w:pPr>
    </w:p>
    <w:p>
      <w:pPr>
        <w:pStyle w:val="3"/>
        <w:spacing w:before="54" w:line="328" w:lineRule="auto"/>
        <w:ind w:right="242"/>
      </w:pPr>
      <w:r>
        <w:rPr>
          <w:spacing w:val="-19"/>
          <w:w w:val="95"/>
        </w:rPr>
        <w:t xml:space="preserve">建立人才库，靶向引进重点领域人才，对引进的顶尖人才团队， </w:t>
      </w:r>
      <w:r>
        <w:rPr>
          <w:spacing w:val="-14"/>
        </w:rPr>
        <w:t>实行“特事特办、一事一议”。鼓励用人单位以兼职服务、项目合作、服务外包、技术入股等形式柔性引进创新型、技能型</w:t>
      </w:r>
      <w:r>
        <w:rPr>
          <w:spacing w:val="-17"/>
        </w:rPr>
        <w:t>和管理型高端人才。举办高层次人才论坛或峰会，搭建高层次人才沟通平台，推进创新创业项目产业化，以产业促进高层次</w:t>
      </w:r>
      <w:r>
        <w:rPr>
          <w:spacing w:val="5"/>
        </w:rPr>
        <w:t>人才集聚。“十四五”期间，引进“泰山学者”等高端人才200</w:t>
      </w:r>
      <w:r>
        <w:rPr>
          <w:spacing w:val="-20"/>
        </w:rPr>
        <w:t xml:space="preserve"> 人以上、本硕博 </w:t>
      </w:r>
      <w:r>
        <w:t>3000</w:t>
      </w:r>
      <w:r>
        <w:rPr>
          <w:spacing w:val="-17"/>
        </w:rPr>
        <w:t xml:space="preserve"> 人以上。</w:t>
      </w:r>
    </w:p>
    <w:p>
      <w:pPr>
        <w:pStyle w:val="3"/>
        <w:spacing w:line="328" w:lineRule="auto"/>
        <w:ind w:right="242" w:firstLine="638"/>
      </w:pPr>
      <w:r>
        <w:rPr>
          <w:b/>
          <w:spacing w:val="-14"/>
        </w:rPr>
        <w:t>塑造聚才用才优良环境。</w:t>
      </w:r>
      <w:r>
        <w:t>进一步完善引才用才机制和各类</w:t>
      </w:r>
      <w:r>
        <w:rPr>
          <w:spacing w:val="-12"/>
        </w:rPr>
        <w:t>配套制度，健全创新激励和保障机制，构建充分体现知识、技</w:t>
      </w:r>
      <w:r>
        <w:rPr>
          <w:spacing w:val="-23"/>
          <w:w w:val="95"/>
        </w:rPr>
        <w:t xml:space="preserve">术等创新要素价值的收益分配机制。坚持“人才—平台—项目” </w:t>
      </w:r>
      <w:r>
        <w:rPr>
          <w:spacing w:val="-17"/>
        </w:rPr>
        <w:t>一体发展，积极为专家人才推荐申报“万人计划、泰山产业领</w:t>
      </w:r>
      <w:r>
        <w:rPr>
          <w:spacing w:val="-15"/>
        </w:rPr>
        <w:t>军人才、外专双百、枣庄英才”等人才项目，提供人才创新大</w:t>
      </w:r>
      <w:r>
        <w:rPr>
          <w:spacing w:val="-14"/>
        </w:rPr>
        <w:t>舞台，使高层次人才引得来、留得住、用得上。积极承接人才</w:t>
      </w:r>
      <w:r>
        <w:rPr>
          <w:spacing w:val="-16"/>
        </w:rPr>
        <w:t>和项目转移，推行“人才飞地”模式，鼓励在发达地区设立离</w:t>
      </w:r>
      <w:r>
        <w:rPr>
          <w:spacing w:val="-17"/>
        </w:rPr>
        <w:t>岸创新创业基地、研发中心，建立“不求所有、但求所用”的</w:t>
      </w:r>
      <w:r>
        <w:rPr>
          <w:spacing w:val="-16"/>
        </w:rPr>
        <w:t>引才机制。推广人才工作站，健全人才服务体系，创新人才服</w:t>
      </w:r>
      <w:r>
        <w:rPr>
          <w:spacing w:val="-15"/>
        </w:rPr>
        <w:t>务方式，梳理完善人才领域行政服务事项目录，深化人才领域</w:t>
      </w:r>
      <w:r>
        <w:rPr>
          <w:spacing w:val="-16"/>
        </w:rPr>
        <w:t>“一次办好”改革。加强人才队伍服务保障，建立专员服务队伍，实行“店小二”“一对一”跟踪服务模式，为人才工作、</w:t>
      </w:r>
      <w:r>
        <w:rPr>
          <w:spacing w:val="-19"/>
        </w:rPr>
        <w:t>生活等需求提供全方位服务，切实增强人才获得感，让滕州成为各类人才创新创业、实现梦想的热土。</w:t>
      </w:r>
    </w:p>
    <w:p>
      <w:pPr>
        <w:pStyle w:val="3"/>
        <w:tabs>
          <w:tab w:val="left" w:pos="1281"/>
        </w:tabs>
        <w:spacing w:before="27"/>
        <w:ind w:left="0" w:right="80"/>
        <w:jc w:val="center"/>
        <w:rPr>
          <w:rFonts w:hint="eastAsia" w:ascii="宋体" w:eastAsia="宋体"/>
        </w:rPr>
      </w:pPr>
      <w:bookmarkStart w:id="17" w:name="第五节  优化科技创新生态"/>
      <w:bookmarkEnd w:id="17"/>
      <w:r>
        <w:rPr>
          <w:rFonts w:hint="eastAsia" w:ascii="宋体" w:eastAsia="宋体"/>
        </w:rPr>
        <w:t>第五节</w:t>
      </w:r>
      <w:r>
        <w:rPr>
          <w:rFonts w:hint="eastAsia" w:ascii="宋体" w:eastAsia="宋体"/>
        </w:rPr>
        <w:tab/>
      </w:r>
      <w:r>
        <w:rPr>
          <w:rFonts w:hint="eastAsia" w:ascii="宋体" w:eastAsia="宋体"/>
        </w:rPr>
        <w:t>优化科技创新生态</w:t>
      </w:r>
    </w:p>
    <w:p>
      <w:pPr>
        <w:pStyle w:val="3"/>
        <w:spacing w:before="151"/>
        <w:ind w:left="960"/>
      </w:pPr>
      <w:r>
        <w:t>加快建立技术创新市场导向机制、完善创新激励政策，构</w:t>
      </w:r>
    </w:p>
    <w:p>
      <w:pPr>
        <w:spacing w:after="0"/>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9"/>
        </w:rPr>
        <w:t>建更加高效的协同创新体系，加强创新政策统筹协调，最大限</w:t>
      </w:r>
      <w:r>
        <w:rPr>
          <w:spacing w:val="-20"/>
          <w:w w:val="95"/>
        </w:rPr>
        <w:t xml:space="preserve">度释放创新活力，打造创新主体高效协作、创新资源有序流动、 </w:t>
      </w:r>
      <w:r>
        <w:rPr>
          <w:spacing w:val="-20"/>
        </w:rPr>
        <w:t>创新政策激励相容、创新活力竞相迸发的新生态。</w:t>
      </w:r>
    </w:p>
    <w:p>
      <w:pPr>
        <w:pStyle w:val="3"/>
        <w:spacing w:line="328" w:lineRule="auto"/>
        <w:ind w:right="248" w:firstLine="638"/>
      </w:pPr>
      <w:r>
        <w:rPr>
          <w:b/>
        </w:rPr>
        <w:t>构建市场导向创新体制。</w:t>
      </w:r>
      <w:r>
        <w:t>充分发挥市场在技术研发方向、</w:t>
      </w:r>
      <w:r>
        <w:rPr>
          <w:spacing w:val="-7"/>
        </w:rPr>
        <w:t>技术路线选择及创新资源配置中的导向作用。增强企业在技术</w:t>
      </w:r>
      <w:r>
        <w:rPr>
          <w:spacing w:val="-13"/>
        </w:rPr>
        <w:t>研发、成果转化、示范应用和产业化中主体作用，使企业成为</w:t>
      </w:r>
      <w:r>
        <w:rPr>
          <w:spacing w:val="-19"/>
        </w:rPr>
        <w:t xml:space="preserve">重大科技成果转化的需求主体、受益主体、合作主体。加快推动政府职能由管理向服务转变，改进科技项目组织管理方式， </w:t>
      </w:r>
      <w:r>
        <w:rPr>
          <w:spacing w:val="-18"/>
        </w:rPr>
        <w:t>重大创新工程项目实行“揭榜制”，一般项目实行竞争立项和定向委托制，部分项目实行经费包干制。</w:t>
      </w:r>
    </w:p>
    <w:p>
      <w:pPr>
        <w:pStyle w:val="3"/>
        <w:spacing w:line="328" w:lineRule="auto"/>
        <w:ind w:right="242" w:firstLine="638"/>
      </w:pPr>
      <w:r>
        <w:rPr>
          <w:b/>
          <w:spacing w:val="-7"/>
        </w:rPr>
        <w:t>完善政府激励创新机制。</w:t>
      </w:r>
      <w:r>
        <w:rPr>
          <w:spacing w:val="-9"/>
        </w:rPr>
        <w:t>强化政策引导，加强普惠性科技政策供给，推进优惠政策落实，在平台建设、企业技术研发、</w:t>
      </w:r>
      <w:r>
        <w:rPr>
          <w:spacing w:val="-15"/>
        </w:rPr>
        <w:t>专利技术引进与转化、人才培养等方面给予更多支持。发挥好</w:t>
      </w:r>
      <w:r>
        <w:rPr>
          <w:spacing w:val="-16"/>
        </w:rPr>
        <w:t>科技创新券、研发费用加计扣除、高新技术企业税收减免等政策激励作用，不断降低企业创新成本，激发企业创新活力。深</w:t>
      </w:r>
      <w:r>
        <w:rPr>
          <w:spacing w:val="-18"/>
        </w:rPr>
        <w:t>化科技金融融合发展，鼓励科技型企业上市融资，健全社会多</w:t>
      </w:r>
      <w:r>
        <w:rPr>
          <w:spacing w:val="-15"/>
        </w:rPr>
        <w:t>渠道、多元化创新投入机制。大力招引基金公司、风险投资公</w:t>
      </w:r>
      <w:r>
        <w:rPr>
          <w:spacing w:val="-17"/>
        </w:rPr>
        <w:t>司等股权投资机构，带动更多社会资金对科技型企业进行股权</w:t>
      </w:r>
      <w:r>
        <w:rPr>
          <w:spacing w:val="-14"/>
        </w:rPr>
        <w:t>投资。推广“科创贷”“人才贷”等政策性融资产品，引导银</w:t>
      </w:r>
      <w:r>
        <w:rPr>
          <w:spacing w:val="-20"/>
          <w:w w:val="95"/>
        </w:rPr>
        <w:t xml:space="preserve">行、证券、保险和信托等金融机构创新开展知识产权融资业务， </w:t>
      </w:r>
      <w:r>
        <w:rPr>
          <w:spacing w:val="-20"/>
        </w:rPr>
        <w:t>完善科技成果转化贷款风险补偿机制。</w:t>
      </w:r>
    </w:p>
    <w:p>
      <w:pPr>
        <w:spacing w:before="0" w:line="390" w:lineRule="exact"/>
        <w:ind w:left="960" w:right="0" w:firstLine="0"/>
        <w:jc w:val="left"/>
        <w:rPr>
          <w:sz w:val="32"/>
        </w:rPr>
      </w:pPr>
      <w:r>
        <w:rPr>
          <w:b/>
          <w:sz w:val="32"/>
        </w:rPr>
        <w:t>打造协同联动创新体系。</w:t>
      </w:r>
      <w:r>
        <w:rPr>
          <w:sz w:val="32"/>
        </w:rPr>
        <w:t>建立完善企业技术需求库，以企</w:t>
      </w:r>
    </w:p>
    <w:p>
      <w:pPr>
        <w:pStyle w:val="3"/>
        <w:spacing w:before="136"/>
      </w:pPr>
      <w:r>
        <w:rPr>
          <w:spacing w:val="-20"/>
        </w:rPr>
        <w:t>业需求为核心，以市场应用为导向，坚持重点突破、方式创新、</w:t>
      </w:r>
    </w:p>
    <w:p>
      <w:pPr>
        <w:spacing w:after="0"/>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6"/>
      </w:pPr>
      <w:r>
        <w:rPr>
          <w:spacing w:val="-1"/>
        </w:rPr>
        <w:t>企业主体、一体推进的原则，深化与中科院、北京理工大学、</w:t>
      </w:r>
      <w:r>
        <w:rPr>
          <w:spacing w:val="-12"/>
        </w:rPr>
        <w:t>北京航空航天大学、华中科技大学、西安交通大学等高校院所</w:t>
      </w:r>
      <w:r>
        <w:rPr>
          <w:spacing w:val="-14"/>
        </w:rPr>
        <w:t>的合作，开展精准对接、精准引进，切实解决制约企业发展关</w:t>
      </w:r>
      <w:r>
        <w:rPr>
          <w:spacing w:val="-15"/>
        </w:rPr>
        <w:t>键技术难题，推动产学研协同创新向更高水平发展。围绕“政</w:t>
      </w:r>
      <w:r>
        <w:rPr>
          <w:spacing w:val="-16"/>
        </w:rPr>
        <w:t>产学研金服用”创新要素有效集聚和优化配置，完善“国家研</w:t>
      </w:r>
      <w:r>
        <w:rPr>
          <w:spacing w:val="-18"/>
        </w:rPr>
        <w:t>发平台+研究院+公司”合作模式，积极打造协同联动、融合发展、互惠共赢的协同创新体系。</w:t>
      </w:r>
    </w:p>
    <w:p>
      <w:pPr>
        <w:pStyle w:val="3"/>
        <w:tabs>
          <w:tab w:val="left" w:pos="1279"/>
        </w:tabs>
        <w:spacing w:before="146"/>
        <w:ind w:left="0" w:right="77"/>
        <w:jc w:val="center"/>
        <w:rPr>
          <w:rFonts w:hint="eastAsia" w:ascii="黑体" w:eastAsia="黑体"/>
        </w:rPr>
      </w:pPr>
      <w:bookmarkStart w:id="18" w:name="第四章  做强实体经济，构建现代产业体系"/>
      <w:bookmarkEnd w:id="18"/>
      <w:r>
        <w:rPr>
          <w:rFonts w:hint="eastAsia" w:ascii="黑体" w:eastAsia="黑体"/>
        </w:rPr>
        <w:t>第四章</w:t>
      </w:r>
      <w:r>
        <w:rPr>
          <w:rFonts w:hint="eastAsia" w:ascii="黑体" w:eastAsia="黑体"/>
        </w:rPr>
        <w:tab/>
      </w:r>
      <w:r>
        <w:rPr>
          <w:rFonts w:hint="eastAsia" w:ascii="黑体" w:eastAsia="黑体"/>
        </w:rPr>
        <w:t>做强实体经济，构建现代产业体系</w:t>
      </w:r>
    </w:p>
    <w:p>
      <w:pPr>
        <w:pStyle w:val="3"/>
        <w:spacing w:before="149" w:line="328" w:lineRule="auto"/>
        <w:ind w:right="238" w:firstLine="638"/>
      </w:pPr>
      <w:r>
        <w:rPr>
          <w:spacing w:val="-9"/>
        </w:rPr>
        <w:t>坚持“腾笼换鸟”“凤凰涅</w:t>
      </w:r>
      <w:r>
        <w:rPr>
          <w:rFonts w:hint="eastAsia" w:ascii="宋体" w:hAnsi="宋体" w:eastAsia="宋体"/>
        </w:rPr>
        <w:t>槃</w:t>
      </w:r>
      <w:r>
        <w:rPr>
          <w:spacing w:val="-8"/>
        </w:rPr>
        <w:t>”，把经济发展的着力点放</w:t>
      </w:r>
      <w:r>
        <w:rPr>
          <w:spacing w:val="-14"/>
        </w:rPr>
        <w:t>在实体经济上，紧紧围绕产业基础高级化、产业链现代化，聚</w:t>
      </w:r>
      <w:r>
        <w:rPr>
          <w:spacing w:val="-21"/>
          <w:w w:val="95"/>
        </w:rPr>
        <w:t xml:space="preserve">力聚焦高端装备、高端化工、新能源新材料、新一代信息技术、 </w:t>
      </w:r>
      <w:r>
        <w:rPr>
          <w:spacing w:val="-16"/>
        </w:rPr>
        <w:t>医养健康、文创旅游、商贸物流等优势产业，持续优化产业生态，提升经济质量效益和核心竞争力。</w:t>
      </w:r>
    </w:p>
    <w:p>
      <w:pPr>
        <w:pStyle w:val="3"/>
        <w:tabs>
          <w:tab w:val="left" w:pos="1281"/>
        </w:tabs>
        <w:spacing w:before="55"/>
        <w:ind w:left="0" w:right="80"/>
        <w:jc w:val="center"/>
        <w:rPr>
          <w:rFonts w:hint="eastAsia" w:ascii="宋体" w:eastAsia="宋体"/>
        </w:rPr>
      </w:pPr>
      <w:bookmarkStart w:id="19" w:name="第一节  推动工业强基增效"/>
      <w:bookmarkEnd w:id="19"/>
      <w:r>
        <w:rPr>
          <w:rFonts w:hint="eastAsia" w:ascii="宋体" w:eastAsia="宋体"/>
        </w:rPr>
        <w:t>第一节</w:t>
      </w:r>
      <w:r>
        <w:rPr>
          <w:rFonts w:hint="eastAsia" w:ascii="宋体" w:eastAsia="宋体"/>
        </w:rPr>
        <w:tab/>
      </w:r>
      <w:r>
        <w:rPr>
          <w:rFonts w:hint="eastAsia" w:ascii="宋体" w:eastAsia="宋体"/>
        </w:rPr>
        <w:t>推动工业强基增效</w:t>
      </w:r>
    </w:p>
    <w:p>
      <w:pPr>
        <w:pStyle w:val="3"/>
        <w:spacing w:before="149" w:line="326" w:lineRule="auto"/>
        <w:ind w:right="399" w:firstLine="638"/>
      </w:pPr>
      <w:r>
        <w:rPr>
          <w:spacing w:val="-11"/>
        </w:rPr>
        <w:t>加快新型工业化进程，优化工业经济结构，提高工业整体素质和经济发展质量，提升工业综合实力和竞争力。</w:t>
      </w:r>
    </w:p>
    <w:p>
      <w:pPr>
        <w:pStyle w:val="2"/>
        <w:spacing w:line="488" w:lineRule="exact"/>
        <w:ind w:left="3" w:right="80"/>
        <w:jc w:val="center"/>
      </w:pPr>
      <w:r>
        <w:t>提升“两区四园五基地”发展水平</w:t>
      </w:r>
    </w:p>
    <w:p>
      <w:pPr>
        <w:pStyle w:val="3"/>
        <w:spacing w:before="76" w:line="328" w:lineRule="auto"/>
        <w:ind w:right="242" w:firstLine="638"/>
      </w:pPr>
      <w:r>
        <w:rPr>
          <w:rFonts w:ascii="Times New Roman" w:hAnsi="Times New Roman" w:eastAsia="Times New Roman"/>
          <w:b/>
        </w:rPr>
        <w:t>——</w:t>
      </w:r>
      <w:r>
        <w:rPr>
          <w:b/>
          <w:spacing w:val="-9"/>
        </w:rPr>
        <w:t>滕州经济开发区。</w:t>
      </w:r>
      <w:r>
        <w:rPr>
          <w:spacing w:val="-7"/>
        </w:rPr>
        <w:t>优化功能定位和产业布局，持续深</w:t>
      </w:r>
      <w:r>
        <w:rPr>
          <w:spacing w:val="-29"/>
          <w:w w:val="95"/>
        </w:rPr>
        <w:t xml:space="preserve">化“管委会+公司+基金”改革，推进制造业与服务业“双提升”、 </w:t>
      </w:r>
      <w:r>
        <w:rPr>
          <w:spacing w:val="-25"/>
        </w:rPr>
        <w:t>产业功能与城市功能“双融合”、高科技产业与高级人才“双</w:t>
      </w:r>
      <w:r>
        <w:rPr>
          <w:spacing w:val="-12"/>
          <w:w w:val="99"/>
        </w:rPr>
        <w:t>落地”，健全市场化运作、社会化参与、多元化投入的园区建</w:t>
      </w:r>
      <w:r>
        <w:rPr>
          <w:spacing w:val="-12"/>
        </w:rPr>
        <w:t xml:space="preserve">设机制，加快推进滕州经济开发区产业园基础设施建设工程， </w:t>
      </w:r>
      <w:r>
        <w:rPr>
          <w:spacing w:val="-15"/>
        </w:rPr>
        <w:t>提升承载能力，集中力量打造新旧动能转换示范区、创新驱动</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t>引领区。</w:t>
      </w:r>
    </w:p>
    <w:p>
      <w:pPr>
        <w:pStyle w:val="3"/>
        <w:spacing w:before="152" w:line="328" w:lineRule="auto"/>
        <w:ind w:right="266" w:firstLine="638"/>
      </w:pPr>
      <w:r>
        <w:rPr>
          <w:rFonts w:ascii="Times New Roman" w:hAnsi="Times New Roman" w:eastAsia="Times New Roman"/>
          <w:b/>
        </w:rPr>
        <w:t>——</w:t>
      </w:r>
      <w:r>
        <w:rPr>
          <w:b/>
          <w:spacing w:val="-10"/>
        </w:rPr>
        <w:t>滕州高铁新区。</w:t>
      </w:r>
      <w:r>
        <w:rPr>
          <w:spacing w:val="-8"/>
        </w:rPr>
        <w:t>发挥交通区位优势，结合国土空间规</w:t>
      </w:r>
      <w:r>
        <w:rPr>
          <w:spacing w:val="-9"/>
        </w:rPr>
        <w:t>划调整，释放发展空间，优化产业功能分区，加快智能家居、</w:t>
      </w:r>
      <w:r>
        <w:rPr>
          <w:spacing w:val="-13"/>
        </w:rPr>
        <w:t>高端装备、电子信息等产业导入，完善教育医疗和基础设施配</w:t>
      </w:r>
      <w:r>
        <w:rPr>
          <w:spacing w:val="-14"/>
        </w:rPr>
        <w:t>套，尽快突破核心起步区，加快与主城区互联互通步伐，聚集</w:t>
      </w:r>
      <w:r>
        <w:rPr>
          <w:spacing w:val="-15"/>
        </w:rPr>
        <w:t>商气人气，实现产城融合发展，打造创新智慧、绿色协调、宜居宜业、精致美丽新城区。</w:t>
      </w:r>
    </w:p>
    <w:p>
      <w:pPr>
        <w:pStyle w:val="3"/>
        <w:spacing w:line="328" w:lineRule="auto"/>
        <w:ind w:right="242" w:firstLine="638"/>
      </w:pPr>
      <w:r>
        <w:rPr>
          <w:rFonts w:ascii="Times New Roman" w:hAnsi="Times New Roman" w:eastAsia="Times New Roman"/>
          <w:b/>
        </w:rPr>
        <w:t>——</w:t>
      </w:r>
      <w:r>
        <w:rPr>
          <w:b/>
          <w:spacing w:val="-8"/>
        </w:rPr>
        <w:t>鲁南高科技化工园。</w:t>
      </w:r>
      <w:r>
        <w:rPr>
          <w:spacing w:val="-8"/>
        </w:rPr>
        <w:t>依托园区内骨干企业，增强产业</w:t>
      </w:r>
      <w:r>
        <w:rPr>
          <w:spacing w:val="-15"/>
        </w:rPr>
        <w:t>集聚和辐射效应。探索推行“政企结合”模式，引入企业化运</w:t>
      </w:r>
      <w:r>
        <w:rPr>
          <w:spacing w:val="-20"/>
          <w:w w:val="95"/>
        </w:rPr>
        <w:t xml:space="preserve">营管理，不断提升园区基础设施建设水平，加快推进园区供水、 </w:t>
      </w:r>
      <w:r>
        <w:rPr>
          <w:spacing w:val="-20"/>
        </w:rPr>
        <w:t>供电、供气、供热一体化，建成国内一流化工新材料基地。</w:t>
      </w:r>
    </w:p>
    <w:p>
      <w:pPr>
        <w:pStyle w:val="3"/>
        <w:spacing w:line="328" w:lineRule="auto"/>
        <w:ind w:right="242" w:firstLine="638"/>
        <w:jc w:val="both"/>
      </w:pPr>
      <w:r>
        <w:rPr>
          <w:rFonts w:ascii="Times New Roman" w:hAnsi="Times New Roman" w:eastAsia="Times New Roman"/>
          <w:b/>
        </w:rPr>
        <w:t>——</w:t>
      </w:r>
      <w:r>
        <w:rPr>
          <w:b/>
          <w:spacing w:val="-8"/>
        </w:rPr>
        <w:t>墨子智能制造产业园。</w:t>
      </w:r>
      <w:r>
        <w:rPr>
          <w:spacing w:val="-9"/>
        </w:rPr>
        <w:t>瞄准智能制造，加快智能制造</w:t>
      </w:r>
      <w:r>
        <w:rPr>
          <w:spacing w:val="-16"/>
        </w:rPr>
        <w:t>小镇建设速度和项目招引进度，推进北航航空发动机叶片研发</w:t>
      </w:r>
      <w:r>
        <w:rPr>
          <w:spacing w:val="-24"/>
        </w:rPr>
        <w:t xml:space="preserve">生产基地、北理工新材料产业基地建设，力争用 </w:t>
      </w:r>
      <w:r>
        <w:t>3</w:t>
      </w:r>
      <w:r>
        <w:rPr>
          <w:spacing w:val="-56"/>
        </w:rPr>
        <w:t xml:space="preserve"> 到 </w:t>
      </w:r>
      <w:r>
        <w:t>5</w:t>
      </w:r>
      <w:r>
        <w:rPr>
          <w:spacing w:val="-17"/>
        </w:rPr>
        <w:t xml:space="preserve"> 年时间，</w:t>
      </w:r>
    </w:p>
    <w:p>
      <w:pPr>
        <w:pStyle w:val="3"/>
        <w:spacing w:line="405" w:lineRule="exact"/>
        <w:jc w:val="both"/>
      </w:pPr>
      <w:r>
        <w:rPr>
          <w:spacing w:val="-17"/>
        </w:rPr>
        <w:t xml:space="preserve">规模达到 </w:t>
      </w:r>
      <w:r>
        <w:t>1</w:t>
      </w:r>
      <w:r>
        <w:rPr>
          <w:spacing w:val="-15"/>
        </w:rPr>
        <w:t xml:space="preserve"> 平方公里以上，主营业务收入达到 </w:t>
      </w:r>
      <w:r>
        <w:t>100</w:t>
      </w:r>
      <w:r>
        <w:rPr>
          <w:spacing w:val="-15"/>
        </w:rPr>
        <w:t xml:space="preserve"> 亿元以上。</w:t>
      </w:r>
    </w:p>
    <w:p>
      <w:pPr>
        <w:pStyle w:val="3"/>
        <w:spacing w:before="131" w:line="328" w:lineRule="auto"/>
        <w:ind w:right="236" w:firstLine="638"/>
      </w:pPr>
      <w:r>
        <w:rPr>
          <w:rFonts w:ascii="Times New Roman" w:hAnsi="Times New Roman" w:eastAsia="Times New Roman"/>
          <w:b/>
        </w:rPr>
        <w:t>——</w:t>
      </w:r>
      <w:r>
        <w:rPr>
          <w:b/>
          <w:spacing w:val="-19"/>
        </w:rPr>
        <w:t>循环经济产业园。</w:t>
      </w:r>
      <w:r>
        <w:rPr>
          <w:spacing w:val="-13"/>
        </w:rPr>
        <w:t xml:space="preserve">统筹园区规划建设、要素资源配置， </w:t>
      </w:r>
      <w:r>
        <w:rPr>
          <w:spacing w:val="-19"/>
        </w:rPr>
        <w:t>依托田陈富源煤矸石综合利用项目，充分发挥热电优势，招引上下游关联企业尽快落地、集聚发展。</w:t>
      </w:r>
    </w:p>
    <w:p>
      <w:pPr>
        <w:pStyle w:val="3"/>
        <w:spacing w:line="328" w:lineRule="auto"/>
        <w:ind w:right="397" w:firstLine="638"/>
        <w:jc w:val="both"/>
      </w:pPr>
      <w:r>
        <w:rPr>
          <w:rFonts w:ascii="Times New Roman" w:hAnsi="Times New Roman" w:eastAsia="Times New Roman"/>
          <w:b/>
        </w:rPr>
        <w:t>——</w:t>
      </w:r>
      <w:r>
        <w:rPr>
          <w:b/>
          <w:spacing w:val="-6"/>
        </w:rPr>
        <w:t>绿色制造产业园。</w:t>
      </w:r>
      <w:r>
        <w:rPr>
          <w:spacing w:val="-11"/>
        </w:rPr>
        <w:t>依托恒仁工贸、辛化硅胶、连云山</w:t>
      </w:r>
      <w:r>
        <w:rPr>
          <w:spacing w:val="-15"/>
          <w:w w:val="95"/>
        </w:rPr>
        <w:t xml:space="preserve">建材等产业优势，推动农副产品深加工、新材料、绿色制造等 </w:t>
      </w:r>
      <w:r>
        <w:rPr>
          <w:spacing w:val="-17"/>
          <w:w w:val="95"/>
        </w:rPr>
        <w:t>特色产业集群发展，到“十四五”末，园区主营业务收入达到</w:t>
      </w:r>
      <w:r>
        <w:rPr>
          <w:spacing w:val="-17"/>
        </w:rPr>
        <w:t>100</w:t>
      </w:r>
      <w:r>
        <w:rPr>
          <w:spacing w:val="-15"/>
        </w:rPr>
        <w:t xml:space="preserve"> 亿元以上。</w:t>
      </w:r>
    </w:p>
    <w:p>
      <w:pPr>
        <w:spacing w:before="0" w:line="405" w:lineRule="exact"/>
        <w:ind w:left="960" w:right="0" w:firstLine="0"/>
        <w:jc w:val="left"/>
        <w:rPr>
          <w:sz w:val="32"/>
        </w:rPr>
      </w:pPr>
      <w:r>
        <w:rPr>
          <w:rFonts w:ascii="Times New Roman" w:hAnsi="Times New Roman" w:eastAsia="Times New Roman"/>
          <w:b/>
          <w:sz w:val="32"/>
        </w:rPr>
        <w:t>——</w:t>
      </w:r>
      <w:r>
        <w:rPr>
          <w:b/>
          <w:sz w:val="32"/>
        </w:rPr>
        <w:t>新能源新材料产业基地。</w:t>
      </w:r>
      <w:r>
        <w:rPr>
          <w:sz w:val="32"/>
        </w:rPr>
        <w:t>深化与中国建材集团合作，</w:t>
      </w:r>
    </w:p>
    <w:p>
      <w:pPr>
        <w:spacing w:after="0" w:line="405" w:lineRule="exact"/>
        <w:jc w:val="left"/>
        <w:rPr>
          <w:sz w:val="32"/>
        </w:rPr>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6"/>
      </w:pPr>
      <w:r>
        <w:rPr>
          <w:spacing w:val="-10"/>
        </w:rPr>
        <w:t>大力推进锂电池隔膜、航天特种树脂、电力复合材料、桥梁及</w:t>
      </w:r>
      <w:r>
        <w:rPr>
          <w:spacing w:val="-17"/>
        </w:rPr>
        <w:t xml:space="preserve">海洋工程复合材料项目建设，打造膜材料研发生产供应、新型复合材料产业基地。推动太阳能、空气能等产业链延伸拓展， </w:t>
      </w:r>
      <w:r>
        <w:t>尽快形成产业竞争优势。</w:t>
      </w:r>
    </w:p>
    <w:p>
      <w:pPr>
        <w:pStyle w:val="3"/>
        <w:spacing w:line="328" w:lineRule="auto"/>
        <w:ind w:right="398" w:firstLine="638"/>
        <w:jc w:val="both"/>
      </w:pPr>
      <w:r>
        <w:rPr>
          <w:rFonts w:ascii="Times New Roman" w:hAnsi="Times New Roman" w:eastAsia="Times New Roman"/>
          <w:b/>
        </w:rPr>
        <w:t>——</w:t>
      </w:r>
      <w:r>
        <w:rPr>
          <w:b/>
          <w:spacing w:val="-8"/>
        </w:rPr>
        <w:t>高端玻璃制造基地。</w:t>
      </w:r>
      <w:r>
        <w:rPr>
          <w:spacing w:val="-9"/>
        </w:rPr>
        <w:t>利用数字化、网络化和智能化手</w:t>
      </w:r>
      <w:r>
        <w:rPr>
          <w:spacing w:val="-13"/>
        </w:rPr>
        <w:t>段，深化玻璃行业技术改造，抓好省级玻璃质检中心运行，加</w:t>
      </w:r>
      <w:r>
        <w:rPr>
          <w:spacing w:val="11"/>
        </w:rPr>
        <w:t>快推进金晶玻璃</w:t>
      </w:r>
      <w:r>
        <w:t>Low-E</w:t>
      </w:r>
      <w:r>
        <w:rPr>
          <w:spacing w:val="-16"/>
        </w:rPr>
        <w:t xml:space="preserve"> 低辐射镀膜玻璃生产线建设，大力发展曲面玻璃、超薄玻璃、光学玻璃等高端玻璃。</w:t>
      </w:r>
    </w:p>
    <w:p>
      <w:pPr>
        <w:pStyle w:val="3"/>
        <w:spacing w:line="328" w:lineRule="auto"/>
        <w:ind w:right="242" w:firstLine="638"/>
      </w:pPr>
      <w:r>
        <w:rPr>
          <w:rFonts w:ascii="Times New Roman" w:hAnsi="Times New Roman" w:eastAsia="Times New Roman"/>
          <w:b/>
        </w:rPr>
        <w:t>——</w:t>
      </w:r>
      <w:r>
        <w:rPr>
          <w:b/>
          <w:spacing w:val="-8"/>
        </w:rPr>
        <w:t>生物医药产业基地。</w:t>
      </w:r>
      <w:r>
        <w:rPr>
          <w:spacing w:val="-8"/>
        </w:rPr>
        <w:t>完善基础配套设施，积极引进产</w:t>
      </w:r>
      <w:r>
        <w:rPr>
          <w:spacing w:val="-20"/>
          <w:w w:val="95"/>
        </w:rPr>
        <w:t xml:space="preserve">业链上下游企业，实现生态良性循环，形成包括生物技术药物、 </w:t>
      </w:r>
      <w:r>
        <w:rPr>
          <w:spacing w:val="-20"/>
        </w:rPr>
        <w:t>化学原料药和新型制剂、现代中药和医疗器械等研发生产销售为一体的生物医药产业集聚区。</w:t>
      </w:r>
    </w:p>
    <w:p>
      <w:pPr>
        <w:pStyle w:val="3"/>
        <w:spacing w:line="328" w:lineRule="auto"/>
        <w:ind w:right="238" w:firstLine="638"/>
        <w:jc w:val="both"/>
      </w:pPr>
      <w:r>
        <w:rPr>
          <w:rFonts w:ascii="Times New Roman" w:hAnsi="Times New Roman" w:eastAsia="Times New Roman"/>
          <w:b/>
        </w:rPr>
        <w:t>——</w:t>
      </w:r>
      <w:r>
        <w:rPr>
          <w:b/>
        </w:rPr>
        <w:t>食品工业基地。</w:t>
      </w:r>
      <w:r>
        <w:t>依托今缘春生态酿酒园、盈泰集团、</w:t>
      </w:r>
      <w:r>
        <w:rPr>
          <w:spacing w:val="-20"/>
          <w:w w:val="95"/>
        </w:rPr>
        <w:t xml:space="preserve">春藤食品、新东谷面粉等龙头企业，持续招大引强、培优扶强， </w:t>
      </w:r>
      <w:r>
        <w:rPr>
          <w:spacing w:val="-20"/>
        </w:rPr>
        <w:t>加速增量崛起和存量扩张，推动食品产业集聚发展。</w:t>
      </w:r>
    </w:p>
    <w:p>
      <w:pPr>
        <w:pStyle w:val="3"/>
        <w:spacing w:line="328" w:lineRule="auto"/>
        <w:ind w:right="238" w:firstLine="638"/>
      </w:pPr>
      <w:r>
        <w:rPr>
          <w:rFonts w:ascii="Times New Roman" w:hAnsi="Times New Roman" w:eastAsia="Times New Roman"/>
          <w:b/>
        </w:rPr>
        <w:t>——</w:t>
      </w:r>
      <w:r>
        <w:rPr>
          <w:b/>
          <w:spacing w:val="-9"/>
        </w:rPr>
        <w:t>煤焦化产业基地。</w:t>
      </w:r>
      <w:r>
        <w:rPr>
          <w:spacing w:val="-6"/>
        </w:rPr>
        <w:t>以省化工重点监控点为载体，加快</w:t>
      </w:r>
      <w:r>
        <w:rPr>
          <w:spacing w:val="6"/>
        </w:rPr>
        <w:t>煤焦化产业链技术创新和技术改造，谋划煤基新材料基地建</w:t>
      </w:r>
      <w:r>
        <w:rPr>
          <w:spacing w:val="-19"/>
          <w:w w:val="95"/>
        </w:rPr>
        <w:t xml:space="preserve">设，加快煤焦化全链条发展、纵向延伸，提高安全和环保水平， </w:t>
      </w:r>
      <w:r>
        <w:rPr>
          <w:spacing w:val="-19"/>
        </w:rPr>
        <w:t>推动转型升级、提质增效。</w:t>
      </w:r>
    </w:p>
    <w:p>
      <w:pPr>
        <w:pStyle w:val="2"/>
        <w:ind w:left="2" w:right="77"/>
        <w:jc w:val="center"/>
      </w:pPr>
      <w:r>
        <w:t>打造两大千亿级产业集群</w:t>
      </w:r>
    </w:p>
    <w:p>
      <w:pPr>
        <w:pStyle w:val="3"/>
        <w:spacing w:before="51" w:line="328" w:lineRule="auto"/>
        <w:ind w:right="397" w:firstLine="638"/>
        <w:jc w:val="both"/>
      </w:pPr>
      <w:r>
        <w:rPr>
          <w:rFonts w:ascii="Times New Roman" w:hAnsi="Times New Roman" w:eastAsia="Times New Roman"/>
          <w:b/>
        </w:rPr>
        <w:t>——</w:t>
      </w:r>
      <w:r>
        <w:rPr>
          <w:b/>
          <w:spacing w:val="-21"/>
        </w:rPr>
        <w:t>高端装备产业。</w:t>
      </w:r>
      <w:r>
        <w:t>抓住京沪铁路沿线高端装备产业带机</w:t>
      </w:r>
      <w:r>
        <w:rPr>
          <w:spacing w:val="-13"/>
        </w:rPr>
        <w:t>遇，以精密化、数控化、智能化为导向，重点发展高端精密机</w:t>
      </w:r>
      <w:r>
        <w:rPr>
          <w:spacing w:val="-16"/>
        </w:rPr>
        <w:t>床及功能部件、航空发动机叶片、特种装备、专用设备、高端</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30"/>
      </w:pPr>
      <w:r>
        <mc:AlternateContent>
          <mc:Choice Requires="wps">
            <w:drawing>
              <wp:anchor distT="0" distB="0" distL="114300" distR="114300" simplePos="0" relativeHeight="249877504" behindDoc="1" locked="0" layoutInCell="1" allowOverlap="1">
                <wp:simplePos x="0" y="0"/>
                <wp:positionH relativeFrom="page">
                  <wp:posOffset>1073785</wp:posOffset>
                </wp:positionH>
                <wp:positionV relativeFrom="paragraph">
                  <wp:posOffset>4222750</wp:posOffset>
                </wp:positionV>
                <wp:extent cx="5411470" cy="3054350"/>
                <wp:effectExtent l="4445" t="4445" r="13335" b="8255"/>
                <wp:wrapNone/>
                <wp:docPr id="10" name="文本框 10"/>
                <wp:cNvGraphicFramePr/>
                <a:graphic xmlns:a="http://schemas.openxmlformats.org/drawingml/2006/main">
                  <a:graphicData uri="http://schemas.microsoft.com/office/word/2010/wordprocessingShape">
                    <wps:wsp>
                      <wps:cNvSpPr txBox="true"/>
                      <wps:spPr>
                        <a:xfrm>
                          <a:off x="0" y="0"/>
                          <a:ext cx="5411470" cy="3054350"/>
                        </a:xfrm>
                        <a:prstGeom prst="rect">
                          <a:avLst/>
                        </a:prstGeom>
                        <a:noFill/>
                        <a:ln w="6096" cap="flat" cmpd="sng">
                          <a:solidFill>
                            <a:srgbClr val="000000"/>
                          </a:solidFill>
                          <a:prstDash val="solid"/>
                          <a:miter/>
                          <a:headEnd type="none" w="med" len="med"/>
                          <a:tailEnd type="none" w="med" len="med"/>
                        </a:ln>
                      </wps:spPr>
                      <wps:txbx>
                        <w:txbxContent>
                          <w:p>
                            <w:pPr>
                              <w:spacing w:before="40"/>
                              <w:ind w:left="2325" w:right="0" w:firstLine="0"/>
                              <w:jc w:val="both"/>
                              <w:rPr>
                                <w:b/>
                                <w:sz w:val="28"/>
                              </w:rPr>
                            </w:pPr>
                            <w:r>
                              <w:rPr>
                                <w:b/>
                                <w:spacing w:val="-25"/>
                                <w:sz w:val="28"/>
                              </w:rPr>
                              <w:t xml:space="preserve">专栏 </w:t>
                            </w:r>
                            <w:r>
                              <w:rPr>
                                <w:rFonts w:ascii="Times New Roman" w:eastAsia="Times New Roman"/>
                                <w:b/>
                                <w:sz w:val="28"/>
                              </w:rPr>
                              <w:t>1</w:t>
                            </w:r>
                            <w:r>
                              <w:rPr>
                                <w:rFonts w:ascii="Times New Roman" w:eastAsia="Times New Roman"/>
                                <w:b/>
                                <w:spacing w:val="69"/>
                                <w:sz w:val="28"/>
                              </w:rPr>
                              <w:t xml:space="preserve"> </w:t>
                            </w:r>
                            <w:r>
                              <w:rPr>
                                <w:b/>
                                <w:sz w:val="28"/>
                              </w:rPr>
                              <w:t>高端装备产业重点项目</w:t>
                            </w:r>
                          </w:p>
                          <w:p>
                            <w:pPr>
                              <w:spacing w:before="43" w:line="266" w:lineRule="auto"/>
                              <w:ind w:left="103" w:right="98" w:firstLine="0"/>
                              <w:jc w:val="both"/>
                              <w:rPr>
                                <w:sz w:val="28"/>
                              </w:rPr>
                            </w:pPr>
                            <w:r>
                              <w:rPr>
                                <w:spacing w:val="-10"/>
                                <w:sz w:val="28"/>
                              </w:rPr>
                              <w:t>墨子科创园智能制造小镇项目、三维绿色集成装配式建筑产业基地项目、山森高端装备智能制造电气配套产业园项目、奚仲能源智慧矿山</w:t>
                            </w:r>
                            <w:r>
                              <w:rPr>
                                <w:spacing w:val="-12"/>
                                <w:sz w:val="28"/>
                              </w:rPr>
                              <w:t>智能化生产线项目、山东圣诺实业清洁能源谷电综合利用成套设备生产项目、普鲁特高精密主轴单元项目、海鲲高档数控机床与工业机器</w:t>
                            </w:r>
                            <w:r>
                              <w:rPr>
                                <w:spacing w:val="-11"/>
                                <w:sz w:val="28"/>
                              </w:rPr>
                              <w:t>人项目、沃达内高压成型成套设备及精密伺服液压机项目、山东凯尔</w:t>
                            </w:r>
                            <w:r>
                              <w:rPr>
                                <w:spacing w:val="-9"/>
                                <w:sz w:val="28"/>
                              </w:rPr>
                              <w:t>文智能环保设备制造项目、三合机械精密制造项目、威达重工智能制</w:t>
                            </w:r>
                            <w:r>
                              <w:rPr>
                                <w:spacing w:val="-10"/>
                                <w:sz w:val="28"/>
                              </w:rPr>
                              <w:t>造与数字化工厂项目、山东鼎梁智能应急装备产业园项目、鑫泰数控</w:t>
                            </w:r>
                            <w:r>
                              <w:rPr>
                                <w:spacing w:val="-11"/>
                                <w:sz w:val="28"/>
                              </w:rPr>
                              <w:t>军工智能装备项目、普汇森通讯设备生产制造项目、鲁南智能制造产</w:t>
                            </w:r>
                            <w:r>
                              <w:rPr>
                                <w:spacing w:val="-10"/>
                                <w:sz w:val="28"/>
                              </w:rPr>
                              <w:t>业园项目、富耀智能包装设备建设项目、清峦集团智能制造基地、山</w:t>
                            </w:r>
                            <w:r>
                              <w:rPr>
                                <w:spacing w:val="-9"/>
                                <w:sz w:val="28"/>
                              </w:rPr>
                              <w:t>东民创重工高端液压机械项目、纳旭科学仪器生产项目、滕州奚仲智</w:t>
                            </w:r>
                          </w:p>
                          <w:p>
                            <w:pPr>
                              <w:spacing w:before="18" w:line="358" w:lineRule="exact"/>
                              <w:ind w:left="103" w:right="0" w:firstLine="0"/>
                              <w:jc w:val="left"/>
                              <w:rPr>
                                <w:sz w:val="28"/>
                              </w:rPr>
                            </w:pPr>
                            <w:r>
                              <w:rPr>
                                <w:sz w:val="28"/>
                              </w:rPr>
                              <w:t>能制造产业园项目、百特电器小家电项目</w:t>
                            </w:r>
                          </w:p>
                        </w:txbxContent>
                      </wps:txbx>
                      <wps:bodyPr lIns="0" tIns="0" rIns="0" bIns="0" upright="true"/>
                    </wps:wsp>
                  </a:graphicData>
                </a:graphic>
              </wp:anchor>
            </w:drawing>
          </mc:Choice>
          <mc:Fallback>
            <w:pict>
              <v:shape id="_x0000_s1026" o:spid="_x0000_s1026" o:spt="202" type="#_x0000_t202" style="position:absolute;left:0pt;margin-left:84.55pt;margin-top:332.5pt;height:240.5pt;width:426.1pt;mso-position-horizontal-relative:page;z-index:-253438976;mso-width-relative:page;mso-height-relative:page;" filled="f" stroked="t" coordsize="21600,21600" o:gfxdata="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CBIeZ3YAAAADQEAAA8AAAAA&#10;AAAAAQAgAAAAOAAAAGRycy9kb3ducmV2LnhtbFBLAQIUABQAAAAIAIdO4kB6LdVA/gEAAOwDAAAO&#10;AAAAAAAAAAEAIAAAAD0BAABkcnMvZTJvRG9jLnhtbFBLBQYAAAAABgAGAFkBAACtBQAAAAA=&#10;">
                <v:fill on="f" focussize="0,0"/>
                <v:stroke weight="0.48pt" color="#000000" joinstyle="miter"/>
                <v:imagedata o:title=""/>
                <o:lock v:ext="edit" aspectratio="f"/>
                <v:textbox inset="0mm,0mm,0mm,0mm">
                  <w:txbxContent>
                    <w:p>
                      <w:pPr>
                        <w:spacing w:before="40"/>
                        <w:ind w:left="2325" w:right="0" w:firstLine="0"/>
                        <w:jc w:val="both"/>
                        <w:rPr>
                          <w:b/>
                          <w:sz w:val="28"/>
                        </w:rPr>
                      </w:pPr>
                      <w:r>
                        <w:rPr>
                          <w:b/>
                          <w:spacing w:val="-25"/>
                          <w:sz w:val="28"/>
                        </w:rPr>
                        <w:t xml:space="preserve">专栏 </w:t>
                      </w:r>
                      <w:r>
                        <w:rPr>
                          <w:rFonts w:ascii="Times New Roman" w:eastAsia="Times New Roman"/>
                          <w:b/>
                          <w:sz w:val="28"/>
                        </w:rPr>
                        <w:t>1</w:t>
                      </w:r>
                      <w:r>
                        <w:rPr>
                          <w:rFonts w:ascii="Times New Roman" w:eastAsia="Times New Roman"/>
                          <w:b/>
                          <w:spacing w:val="69"/>
                          <w:sz w:val="28"/>
                        </w:rPr>
                        <w:t xml:space="preserve"> </w:t>
                      </w:r>
                      <w:r>
                        <w:rPr>
                          <w:b/>
                          <w:sz w:val="28"/>
                        </w:rPr>
                        <w:t>高端装备产业重点项目</w:t>
                      </w:r>
                    </w:p>
                    <w:p>
                      <w:pPr>
                        <w:spacing w:before="43" w:line="266" w:lineRule="auto"/>
                        <w:ind w:left="103" w:right="98" w:firstLine="0"/>
                        <w:jc w:val="both"/>
                        <w:rPr>
                          <w:sz w:val="28"/>
                        </w:rPr>
                      </w:pPr>
                      <w:r>
                        <w:rPr>
                          <w:spacing w:val="-10"/>
                          <w:sz w:val="28"/>
                        </w:rPr>
                        <w:t>墨子科创园智能制造小镇项目、三维绿色集成装配式建筑产业基地项目、山森高端装备智能制造电气配套产业园项目、奚仲能源智慧矿山</w:t>
                      </w:r>
                      <w:r>
                        <w:rPr>
                          <w:spacing w:val="-12"/>
                          <w:sz w:val="28"/>
                        </w:rPr>
                        <w:t>智能化生产线项目、山东圣诺实业清洁能源谷电综合利用成套设备生产项目、普鲁特高精密主轴单元项目、海鲲高档数控机床与工业机器</w:t>
                      </w:r>
                      <w:r>
                        <w:rPr>
                          <w:spacing w:val="-11"/>
                          <w:sz w:val="28"/>
                        </w:rPr>
                        <w:t>人项目、沃达内高压成型成套设备及精密伺服液压机项目、山东凯尔</w:t>
                      </w:r>
                      <w:r>
                        <w:rPr>
                          <w:spacing w:val="-9"/>
                          <w:sz w:val="28"/>
                        </w:rPr>
                        <w:t>文智能环保设备制造项目、三合机械精密制造项目、威达重工智能制</w:t>
                      </w:r>
                      <w:r>
                        <w:rPr>
                          <w:spacing w:val="-10"/>
                          <w:sz w:val="28"/>
                        </w:rPr>
                        <w:t>造与数字化工厂项目、山东鼎梁智能应急装备产业园项目、鑫泰数控</w:t>
                      </w:r>
                      <w:r>
                        <w:rPr>
                          <w:spacing w:val="-11"/>
                          <w:sz w:val="28"/>
                        </w:rPr>
                        <w:t>军工智能装备项目、普汇森通讯设备生产制造项目、鲁南智能制造产</w:t>
                      </w:r>
                      <w:r>
                        <w:rPr>
                          <w:spacing w:val="-10"/>
                          <w:sz w:val="28"/>
                        </w:rPr>
                        <w:t>业园项目、富耀智能包装设备建设项目、清峦集团智能制造基地、山</w:t>
                      </w:r>
                      <w:r>
                        <w:rPr>
                          <w:spacing w:val="-9"/>
                          <w:sz w:val="28"/>
                        </w:rPr>
                        <w:t>东民创重工高端液压机械项目、纳旭科学仪器生产项目、滕州奚仲智</w:t>
                      </w:r>
                    </w:p>
                    <w:p>
                      <w:pPr>
                        <w:spacing w:before="18" w:line="358" w:lineRule="exact"/>
                        <w:ind w:left="103" w:right="0" w:firstLine="0"/>
                        <w:jc w:val="left"/>
                        <w:rPr>
                          <w:sz w:val="28"/>
                        </w:rPr>
                      </w:pPr>
                      <w:r>
                        <w:rPr>
                          <w:sz w:val="28"/>
                        </w:rPr>
                        <w:t>能制造产业园项目、百特电器小家电项目</w:t>
                      </w:r>
                    </w:p>
                  </w:txbxContent>
                </v:textbox>
              </v:shape>
            </w:pict>
          </mc:Fallback>
        </mc:AlternateContent>
      </w:r>
      <w:r>
        <w:rPr>
          <w:spacing w:val="-13"/>
        </w:rPr>
        <w:t>紧固件。引导大企业通过服务外包、订单生产等方式与中小企</w:t>
      </w:r>
      <w:r>
        <w:rPr>
          <w:spacing w:val="6"/>
        </w:rPr>
        <w:t>业建立长期合作关系，推动先进基础材料与基础制造工艺企业、零部件企业和主机企业之间形成有效供应链和质量保证</w:t>
      </w:r>
      <w:r>
        <w:rPr>
          <w:spacing w:val="-12"/>
        </w:rPr>
        <w:t>链，提高产业配套能力和竞争力，为主机产品向价值链中高端</w:t>
      </w:r>
      <w:r>
        <w:rPr>
          <w:spacing w:val="-23"/>
        </w:rPr>
        <w:t xml:space="preserve">攀升提供支撑和保障。引导本地机床企业差异竞争、优势互补， </w:t>
      </w:r>
      <w:r>
        <w:rPr>
          <w:spacing w:val="-21"/>
        </w:rPr>
        <w:t>重点改造提升中小型机床、基础材料与零部件、农业机械、中</w:t>
      </w:r>
      <w:r>
        <w:rPr>
          <w:spacing w:val="-24"/>
        </w:rPr>
        <w:t>小型工程机械和绿色矿山机械等行业发展动能。培植壮大威达</w:t>
      </w:r>
      <w:r>
        <w:rPr>
          <w:spacing w:val="-15"/>
        </w:rPr>
        <w:t>重工、鲁南精工、山森数控、普鲁特机床、三合机械等骨干企</w:t>
      </w:r>
      <w:r>
        <w:rPr>
          <w:spacing w:val="-13"/>
        </w:rPr>
        <w:t xml:space="preserve">业，推进高端数控机床、智能加工中心研发与产业化，形成一批知名机床工具品牌，实现主导产品从中低档向中高档转变， </w:t>
      </w:r>
      <w:r>
        <w:rPr>
          <w:spacing w:val="-38"/>
          <w:w w:val="95"/>
        </w:rPr>
        <w:t xml:space="preserve">巩固提升“中国中小机床之都”地位，建成以中小型高档数控机床、  </w:t>
      </w:r>
      <w:r>
        <w:rPr>
          <w:spacing w:val="-22"/>
        </w:rPr>
        <w:t>先进基础材料与零部件等为特色的国内领先装备制造基地。</w:t>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spacing w:before="9"/>
        <w:ind w:left="0"/>
        <w:rPr>
          <w:sz w:val="29"/>
        </w:rPr>
      </w:pPr>
    </w:p>
    <w:p>
      <w:pPr>
        <w:pStyle w:val="3"/>
        <w:spacing w:before="65" w:line="326" w:lineRule="auto"/>
        <w:ind w:right="394" w:firstLine="638"/>
        <w:jc w:val="both"/>
      </w:pPr>
      <w:r>
        <w:rPr>
          <w:rFonts w:ascii="Times New Roman" w:hAnsi="Times New Roman" w:eastAsia="Times New Roman"/>
          <w:b/>
        </w:rPr>
        <w:t>——</w:t>
      </w:r>
      <w:r>
        <w:rPr>
          <w:b/>
          <w:spacing w:val="-7"/>
        </w:rPr>
        <w:t>高端化工产业。</w:t>
      </w:r>
      <w:r>
        <w:rPr>
          <w:spacing w:val="-11"/>
        </w:rPr>
        <w:t>以鲁南化工、联泓新科、新能凤凰等</w:t>
      </w:r>
      <w:r>
        <w:rPr>
          <w:spacing w:val="-15"/>
        </w:rPr>
        <w:t>企业为依托，以合成氨、甲醇为原料，做优做强氨基、醇基新</w:t>
      </w:r>
      <w:r>
        <w:rPr>
          <w:spacing w:val="6"/>
          <w:w w:val="95"/>
        </w:rPr>
        <w:t>材料两大产业链条，突出抓好鲁南化工高端化工示范转型项</w:t>
      </w:r>
    </w:p>
    <w:p>
      <w:pPr>
        <w:spacing w:after="0" w:line="326"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6"/>
      </w:pPr>
      <w:r>
        <w:rPr>
          <w:spacing w:val="-13"/>
        </w:rPr>
        <w:t xml:space="preserve">目、联泓新科先进高分子一体化基地和中科院化工新材料中试基地建设，放大产业集聚优势。氨基新材料，依托鲁南化工， </w:t>
      </w:r>
      <w:r>
        <w:rPr>
          <w:spacing w:val="1"/>
        </w:rPr>
        <w:t xml:space="preserve">以合成氨为原料，配套粉煤气化炉建设 </w:t>
      </w:r>
      <w:r>
        <w:t>60</w:t>
      </w:r>
      <w:r>
        <w:rPr>
          <w:spacing w:val="-22"/>
        </w:rPr>
        <w:t xml:space="preserve"> 万吨</w:t>
      </w:r>
      <w:r>
        <w:rPr>
          <w:spacing w:val="8"/>
        </w:rPr>
        <w:t>/</w:t>
      </w:r>
      <w:r>
        <w:rPr>
          <w:spacing w:val="5"/>
        </w:rPr>
        <w:t>年合成氨装</w:t>
      </w:r>
      <w:r>
        <w:rPr>
          <w:spacing w:val="-13"/>
        </w:rPr>
        <w:t>置，下游规划丙烯腈、乙醇胺等项目，延伸发展丙烯腈－丁二</w:t>
      </w:r>
      <w:r>
        <w:rPr>
          <w:spacing w:val="5"/>
          <w:w w:val="99"/>
        </w:rPr>
        <w:t>烯－苯乙烯共聚物</w:t>
      </w:r>
      <w:r>
        <w:rPr>
          <w:spacing w:val="2"/>
          <w:w w:val="99"/>
        </w:rPr>
        <w:t>（</w:t>
      </w:r>
      <w:r>
        <w:rPr>
          <w:spacing w:val="1"/>
          <w:w w:val="99"/>
        </w:rPr>
        <w:t>AB</w:t>
      </w:r>
      <w:r>
        <w:rPr>
          <w:w w:val="99"/>
        </w:rPr>
        <w:t>S</w:t>
      </w:r>
      <w:r>
        <w:rPr>
          <w:spacing w:val="-78"/>
        </w:rPr>
        <w:t xml:space="preserve"> </w:t>
      </w:r>
      <w:r>
        <w:rPr>
          <w:spacing w:val="5"/>
          <w:w w:val="99"/>
        </w:rPr>
        <w:t>树脂</w:t>
      </w:r>
      <w:r>
        <w:rPr>
          <w:spacing w:val="-154"/>
          <w:w w:val="99"/>
        </w:rPr>
        <w:t>）</w:t>
      </w:r>
      <w:r>
        <w:rPr>
          <w:spacing w:val="2"/>
          <w:w w:val="99"/>
        </w:rPr>
        <w:t>，以</w:t>
      </w:r>
      <w:r>
        <w:rPr>
          <w:spacing w:val="-76"/>
        </w:rPr>
        <w:t xml:space="preserve"> </w:t>
      </w:r>
      <w:r>
        <w:rPr>
          <w:spacing w:val="1"/>
          <w:w w:val="99"/>
        </w:rPr>
        <w:t>3</w:t>
      </w:r>
      <w:r>
        <w:rPr>
          <w:w w:val="99"/>
        </w:rPr>
        <w:t>0</w:t>
      </w:r>
      <w:r>
        <w:rPr>
          <w:spacing w:val="-75"/>
        </w:rPr>
        <w:t xml:space="preserve"> </w:t>
      </w:r>
      <w:r>
        <w:rPr>
          <w:spacing w:val="5"/>
          <w:w w:val="99"/>
        </w:rPr>
        <w:t>万吨</w:t>
      </w:r>
      <w:r>
        <w:rPr>
          <w:spacing w:val="3"/>
          <w:w w:val="99"/>
        </w:rPr>
        <w:t>/</w:t>
      </w:r>
      <w:r>
        <w:rPr>
          <w:spacing w:val="4"/>
          <w:w w:val="99"/>
        </w:rPr>
        <w:t>年己内酰胺项目</w:t>
      </w:r>
      <w:r>
        <w:rPr>
          <w:spacing w:val="-14"/>
        </w:rPr>
        <w:t xml:space="preserve">为起步，向下游延伸建设尼龙 </w:t>
      </w:r>
      <w:r>
        <w:t>6</w:t>
      </w:r>
      <w:r>
        <w:rPr>
          <w:spacing w:val="-14"/>
        </w:rPr>
        <w:t xml:space="preserve"> 聚合装置，形成合成氨→己内</w:t>
      </w:r>
      <w:r>
        <w:rPr>
          <w:spacing w:val="-26"/>
        </w:rPr>
        <w:t xml:space="preserve">酰胺→尼龙 </w:t>
      </w:r>
      <w:r>
        <w:t>6</w:t>
      </w:r>
      <w:r>
        <w:rPr>
          <w:spacing w:val="-5"/>
        </w:rPr>
        <w:t>→尼龙系复合材料全产业链。醇基新材料，以甲</w:t>
      </w:r>
      <w:r>
        <w:rPr>
          <w:spacing w:val="6"/>
        </w:rPr>
        <w:t>醇、醋酸为原料，采用新技术生产丙烯酸、甲基丙烯酸甲酯</w:t>
      </w:r>
    </w:p>
    <w:p>
      <w:pPr>
        <w:pStyle w:val="3"/>
        <w:spacing w:line="397" w:lineRule="exact"/>
      </w:pPr>
      <w:r>
        <w:rPr>
          <w:w w:val="99"/>
        </w:rPr>
        <w:t>（</w:t>
      </w:r>
      <w:r>
        <w:rPr>
          <w:spacing w:val="1"/>
          <w:w w:val="99"/>
        </w:rPr>
        <w:t>MM</w:t>
      </w:r>
      <w:r>
        <w:rPr>
          <w:spacing w:val="-2"/>
          <w:w w:val="99"/>
        </w:rPr>
        <w:t>A</w:t>
      </w:r>
      <w:r>
        <w:rPr>
          <w:spacing w:val="-159"/>
          <w:w w:val="99"/>
        </w:rPr>
        <w:t>）</w:t>
      </w:r>
      <w:r>
        <w:rPr>
          <w:spacing w:val="-9"/>
          <w:w w:val="99"/>
        </w:rPr>
        <w:t>，并延伸发展高吸水性树脂</w:t>
      </w:r>
      <w:r>
        <w:rPr>
          <w:spacing w:val="2"/>
          <w:w w:val="99"/>
        </w:rPr>
        <w:t>（</w:t>
      </w:r>
      <w:r>
        <w:rPr>
          <w:spacing w:val="1"/>
          <w:w w:val="99"/>
        </w:rPr>
        <w:t>SA</w:t>
      </w:r>
      <w:r>
        <w:rPr>
          <w:spacing w:val="-2"/>
          <w:w w:val="99"/>
        </w:rPr>
        <w:t>P</w:t>
      </w:r>
      <w:r>
        <w:rPr>
          <w:spacing w:val="-161"/>
          <w:w w:val="99"/>
        </w:rPr>
        <w:t>）</w:t>
      </w:r>
      <w:r>
        <w:rPr>
          <w:spacing w:val="-14"/>
          <w:w w:val="99"/>
        </w:rPr>
        <w:t>、有机玻璃</w:t>
      </w:r>
      <w:r>
        <w:rPr>
          <w:w w:val="99"/>
        </w:rPr>
        <w:t>（</w:t>
      </w:r>
      <w:r>
        <w:rPr>
          <w:spacing w:val="1"/>
          <w:w w:val="99"/>
        </w:rPr>
        <w:t>PM</w:t>
      </w:r>
      <w:r>
        <w:rPr>
          <w:spacing w:val="-2"/>
          <w:w w:val="99"/>
        </w:rPr>
        <w:t>M</w:t>
      </w:r>
      <w:r>
        <w:rPr>
          <w:spacing w:val="1"/>
          <w:w w:val="99"/>
        </w:rPr>
        <w:t>A</w:t>
      </w:r>
      <w:r>
        <w:rPr>
          <w:spacing w:val="-161"/>
          <w:w w:val="99"/>
        </w:rPr>
        <w:t>）</w:t>
      </w:r>
      <w:r>
        <w:rPr>
          <w:w w:val="99"/>
        </w:rPr>
        <w:t>，</w:t>
      </w:r>
    </w:p>
    <w:p>
      <w:pPr>
        <w:pStyle w:val="3"/>
        <w:spacing w:before="149" w:line="328" w:lineRule="auto"/>
        <w:ind w:right="238"/>
      </w:pPr>
      <w:r>
        <mc:AlternateContent>
          <mc:Choice Requires="wps">
            <w:drawing>
              <wp:anchor distT="0" distB="0" distL="114300" distR="114300" simplePos="0" relativeHeight="249878528" behindDoc="1" locked="0" layoutInCell="1" allowOverlap="1">
                <wp:simplePos x="0" y="0"/>
                <wp:positionH relativeFrom="page">
                  <wp:posOffset>1073785</wp:posOffset>
                </wp:positionH>
                <wp:positionV relativeFrom="paragraph">
                  <wp:posOffset>2148205</wp:posOffset>
                </wp:positionV>
                <wp:extent cx="5411470" cy="2543175"/>
                <wp:effectExtent l="4445" t="4445" r="13335" b="5080"/>
                <wp:wrapNone/>
                <wp:docPr id="12" name="文本框 11"/>
                <wp:cNvGraphicFramePr/>
                <a:graphic xmlns:a="http://schemas.openxmlformats.org/drawingml/2006/main">
                  <a:graphicData uri="http://schemas.microsoft.com/office/word/2010/wordprocessingShape">
                    <wps:wsp>
                      <wps:cNvSpPr txBox="true"/>
                      <wps:spPr>
                        <a:xfrm>
                          <a:off x="0" y="0"/>
                          <a:ext cx="5411470" cy="2543175"/>
                        </a:xfrm>
                        <a:prstGeom prst="rect">
                          <a:avLst/>
                        </a:prstGeom>
                        <a:noFill/>
                        <a:ln w="3048" cap="flat" cmpd="sng">
                          <a:solidFill>
                            <a:srgbClr val="000000"/>
                          </a:solidFill>
                          <a:prstDash val="solid"/>
                          <a:miter/>
                          <a:headEnd type="none" w="med" len="med"/>
                          <a:tailEnd type="none" w="med" len="med"/>
                        </a:ln>
                      </wps:spPr>
                      <wps:txbx>
                        <w:txbxContent>
                          <w:p>
                            <w:pPr>
                              <w:spacing w:before="40"/>
                              <w:ind w:left="2328" w:right="0" w:firstLine="0"/>
                              <w:jc w:val="both"/>
                              <w:rPr>
                                <w:b/>
                                <w:sz w:val="28"/>
                              </w:rPr>
                            </w:pPr>
                            <w:r>
                              <w:rPr>
                                <w:b/>
                                <w:spacing w:val="-25"/>
                                <w:sz w:val="28"/>
                              </w:rPr>
                              <w:t xml:space="preserve">专栏 </w:t>
                            </w:r>
                            <w:r>
                              <w:rPr>
                                <w:rFonts w:ascii="Times New Roman" w:eastAsia="Times New Roman"/>
                                <w:b/>
                                <w:sz w:val="28"/>
                              </w:rPr>
                              <w:t>2</w:t>
                            </w:r>
                            <w:r>
                              <w:rPr>
                                <w:rFonts w:ascii="Times New Roman" w:eastAsia="Times New Roman"/>
                                <w:b/>
                                <w:spacing w:val="69"/>
                                <w:sz w:val="28"/>
                              </w:rPr>
                              <w:t xml:space="preserve"> </w:t>
                            </w:r>
                            <w:r>
                              <w:rPr>
                                <w:b/>
                                <w:sz w:val="28"/>
                              </w:rPr>
                              <w:t>高端化工产业重点项目</w:t>
                            </w:r>
                          </w:p>
                          <w:p>
                            <w:pPr>
                              <w:spacing w:before="43" w:line="266" w:lineRule="auto"/>
                              <w:ind w:left="105" w:right="101" w:firstLine="0"/>
                              <w:jc w:val="both"/>
                              <w:rPr>
                                <w:sz w:val="28"/>
                              </w:rPr>
                            </w:pPr>
                            <w:r>
                              <w:rPr>
                                <w:spacing w:val="-7"/>
                                <w:sz w:val="28"/>
                              </w:rPr>
                              <w:t>鲁南化工高端化工示范园暨新旧动能转换转型升级项目、国家煤基燃</w:t>
                            </w:r>
                            <w:r>
                              <w:rPr>
                                <w:spacing w:val="-9"/>
                                <w:sz w:val="28"/>
                              </w:rPr>
                              <w:t>料轻型燃气轮机试验示范基地项目、联泓新科高端绿色润滑油基础油</w:t>
                            </w:r>
                            <w:r>
                              <w:rPr>
                                <w:spacing w:val="-13"/>
                                <w:sz w:val="28"/>
                              </w:rPr>
                              <w:t xml:space="preserve">项目、聚合顺新材料项目、绿之能 </w:t>
                            </w:r>
                            <w:r>
                              <w:rPr>
                                <w:rFonts w:ascii="Times New Roman" w:eastAsia="Times New Roman"/>
                                <w:sz w:val="28"/>
                              </w:rPr>
                              <w:t>30</w:t>
                            </w:r>
                            <w:r>
                              <w:rPr>
                                <w:rFonts w:ascii="Times New Roman" w:eastAsia="Times New Roman"/>
                                <w:spacing w:val="13"/>
                                <w:sz w:val="28"/>
                              </w:rPr>
                              <w:t xml:space="preserve"> </w:t>
                            </w:r>
                            <w:r>
                              <w:rPr>
                                <w:sz w:val="28"/>
                              </w:rPr>
                              <w:t>万吨水处理剂项目、腾龙苯甲</w:t>
                            </w:r>
                            <w:r>
                              <w:rPr>
                                <w:spacing w:val="-11"/>
                                <w:sz w:val="28"/>
                              </w:rPr>
                              <w:t>酸项目、山东亿盛二氧化碳及干冰生产项目、清泉化工硝酸异辛脂及</w:t>
                            </w:r>
                            <w:r>
                              <w:rPr>
                                <w:spacing w:val="-18"/>
                                <w:sz w:val="28"/>
                              </w:rPr>
                              <w:t xml:space="preserve">过氧化物生产项目、山东弘霖环保科技有限公司项目、联泓新科 </w:t>
                            </w:r>
                            <w:r>
                              <w:rPr>
                                <w:rFonts w:ascii="Times New Roman" w:eastAsia="Times New Roman"/>
                                <w:sz w:val="28"/>
                              </w:rPr>
                              <w:t xml:space="preserve">EVA </w:t>
                            </w:r>
                            <w:r>
                              <w:rPr>
                                <w:spacing w:val="-10"/>
                                <w:sz w:val="28"/>
                              </w:rPr>
                              <w:t>装置管式尾技术升级改造项目、联泓新科聚丙烯装置二反技术改造项</w:t>
                            </w:r>
                            <w:r>
                              <w:rPr>
                                <w:spacing w:val="-21"/>
                                <w:sz w:val="28"/>
                              </w:rPr>
                              <w:t xml:space="preserve">目、联泓新科 </w:t>
                            </w:r>
                            <w:r>
                              <w:rPr>
                                <w:rFonts w:ascii="Times New Roman" w:eastAsia="Times New Roman"/>
                                <w:sz w:val="28"/>
                              </w:rPr>
                              <w:t>6.5</w:t>
                            </w:r>
                            <w:r>
                              <w:rPr>
                                <w:rFonts w:ascii="Times New Roman" w:eastAsia="Times New Roman"/>
                                <w:spacing w:val="6"/>
                                <w:sz w:val="28"/>
                              </w:rPr>
                              <w:t xml:space="preserve"> </w:t>
                            </w:r>
                            <w:r>
                              <w:rPr>
                                <w:spacing w:val="-2"/>
                                <w:sz w:val="28"/>
                              </w:rPr>
                              <w:t>万吨</w:t>
                            </w:r>
                            <w:r>
                              <w:rPr>
                                <w:rFonts w:ascii="Times New Roman" w:eastAsia="Times New Roman"/>
                                <w:sz w:val="28"/>
                              </w:rPr>
                              <w:t>/</w:t>
                            </w:r>
                            <w:r>
                              <w:rPr>
                                <w:spacing w:val="-8"/>
                                <w:sz w:val="28"/>
                              </w:rPr>
                              <w:t>年特种精细化学品项目、绿灵生物科技氰尿酸</w:t>
                            </w:r>
                          </w:p>
                          <w:p>
                            <w:pPr>
                              <w:spacing w:before="10"/>
                              <w:ind w:left="105" w:right="0" w:firstLine="0"/>
                              <w:jc w:val="left"/>
                              <w:rPr>
                                <w:sz w:val="28"/>
                              </w:rPr>
                            </w:pPr>
                            <w:r>
                              <w:rPr>
                                <w:spacing w:val="-3"/>
                                <w:sz w:val="28"/>
                              </w:rPr>
                              <w:t xml:space="preserve">脱硝剂联产氯代异氰尿酸类水处理剂项目、山东康泓 </w:t>
                            </w:r>
                            <w:r>
                              <w:rPr>
                                <w:rFonts w:ascii="Times New Roman" w:eastAsia="Times New Roman"/>
                                <w:sz w:val="28"/>
                              </w:rPr>
                              <w:t>1400</w:t>
                            </w:r>
                            <w:r>
                              <w:rPr>
                                <w:rFonts w:ascii="Times New Roman" w:eastAsia="Times New Roman"/>
                                <w:spacing w:val="13"/>
                                <w:sz w:val="28"/>
                              </w:rPr>
                              <w:t xml:space="preserve"> </w:t>
                            </w:r>
                            <w:r>
                              <w:rPr>
                                <w:sz w:val="28"/>
                              </w:rPr>
                              <w:t>吨半导体</w:t>
                            </w:r>
                          </w:p>
                          <w:p>
                            <w:pPr>
                              <w:spacing w:before="43"/>
                              <w:ind w:left="105" w:right="0" w:firstLine="0"/>
                              <w:jc w:val="left"/>
                              <w:rPr>
                                <w:sz w:val="28"/>
                              </w:rPr>
                            </w:pPr>
                            <w:r>
                              <w:rPr>
                                <w:sz w:val="28"/>
                              </w:rPr>
                              <w:t>关键新材料光刻胶及精细化工产品项目</w:t>
                            </w:r>
                          </w:p>
                        </w:txbxContent>
                      </wps:txbx>
                      <wps:bodyPr lIns="0" tIns="0" rIns="0" bIns="0" upright="true"/>
                    </wps:wsp>
                  </a:graphicData>
                </a:graphic>
              </wp:anchor>
            </w:drawing>
          </mc:Choice>
          <mc:Fallback>
            <w:pict>
              <v:shape id="文本框 11" o:spid="_x0000_s1026" o:spt="202" type="#_x0000_t202" style="position:absolute;left:0pt;margin-left:84.55pt;margin-top:169.15pt;height:200.25pt;width:426.1pt;mso-position-horizontal-relative:page;z-index:-253437952;mso-width-relative:page;mso-height-relative:page;" filled="f" stroked="t" coordsize="21600,21600" o:gfxdata="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ACdw+7ZAAAADAEAAA8AAAAA&#10;AAAAAQAgAAAAOAAAAGRycy9kb3ducmV2LnhtbFBLAQIUABQAAAAIAIdO4kDiU6h5/QEAAOwDAAAO&#10;AAAAAAAAAAEAIAAAAD4BAABkcnMvZTJvRG9jLnhtbFBLBQYAAAAABgAGAFkBAACtBQAAAAA=&#10;">
                <v:fill on="f" focussize="0,0"/>
                <v:stroke weight="0.24pt" color="#000000" joinstyle="miter"/>
                <v:imagedata o:title=""/>
                <o:lock v:ext="edit" aspectratio="f"/>
                <v:textbox inset="0mm,0mm,0mm,0mm">
                  <w:txbxContent>
                    <w:p>
                      <w:pPr>
                        <w:spacing w:before="40"/>
                        <w:ind w:left="2328" w:right="0" w:firstLine="0"/>
                        <w:jc w:val="both"/>
                        <w:rPr>
                          <w:b/>
                          <w:sz w:val="28"/>
                        </w:rPr>
                      </w:pPr>
                      <w:r>
                        <w:rPr>
                          <w:b/>
                          <w:spacing w:val="-25"/>
                          <w:sz w:val="28"/>
                        </w:rPr>
                        <w:t xml:space="preserve">专栏 </w:t>
                      </w:r>
                      <w:r>
                        <w:rPr>
                          <w:rFonts w:ascii="Times New Roman" w:eastAsia="Times New Roman"/>
                          <w:b/>
                          <w:sz w:val="28"/>
                        </w:rPr>
                        <w:t>2</w:t>
                      </w:r>
                      <w:r>
                        <w:rPr>
                          <w:rFonts w:ascii="Times New Roman" w:eastAsia="Times New Roman"/>
                          <w:b/>
                          <w:spacing w:val="69"/>
                          <w:sz w:val="28"/>
                        </w:rPr>
                        <w:t xml:space="preserve"> </w:t>
                      </w:r>
                      <w:r>
                        <w:rPr>
                          <w:b/>
                          <w:sz w:val="28"/>
                        </w:rPr>
                        <w:t>高端化工产业重点项目</w:t>
                      </w:r>
                    </w:p>
                    <w:p>
                      <w:pPr>
                        <w:spacing w:before="43" w:line="266" w:lineRule="auto"/>
                        <w:ind w:left="105" w:right="101" w:firstLine="0"/>
                        <w:jc w:val="both"/>
                        <w:rPr>
                          <w:sz w:val="28"/>
                        </w:rPr>
                      </w:pPr>
                      <w:r>
                        <w:rPr>
                          <w:spacing w:val="-7"/>
                          <w:sz w:val="28"/>
                        </w:rPr>
                        <w:t>鲁南化工高端化工示范园暨新旧动能转换转型升级项目、国家煤基燃</w:t>
                      </w:r>
                      <w:r>
                        <w:rPr>
                          <w:spacing w:val="-9"/>
                          <w:sz w:val="28"/>
                        </w:rPr>
                        <w:t>料轻型燃气轮机试验示范基地项目、联泓新科高端绿色润滑油基础油</w:t>
                      </w:r>
                      <w:r>
                        <w:rPr>
                          <w:spacing w:val="-13"/>
                          <w:sz w:val="28"/>
                        </w:rPr>
                        <w:t xml:space="preserve">项目、聚合顺新材料项目、绿之能 </w:t>
                      </w:r>
                      <w:r>
                        <w:rPr>
                          <w:rFonts w:ascii="Times New Roman" w:eastAsia="Times New Roman"/>
                          <w:sz w:val="28"/>
                        </w:rPr>
                        <w:t>30</w:t>
                      </w:r>
                      <w:r>
                        <w:rPr>
                          <w:rFonts w:ascii="Times New Roman" w:eastAsia="Times New Roman"/>
                          <w:spacing w:val="13"/>
                          <w:sz w:val="28"/>
                        </w:rPr>
                        <w:t xml:space="preserve"> </w:t>
                      </w:r>
                      <w:r>
                        <w:rPr>
                          <w:sz w:val="28"/>
                        </w:rPr>
                        <w:t>万吨水处理剂项目、腾龙苯甲</w:t>
                      </w:r>
                      <w:r>
                        <w:rPr>
                          <w:spacing w:val="-11"/>
                          <w:sz w:val="28"/>
                        </w:rPr>
                        <w:t>酸项目、山东亿盛二氧化碳及干冰生产项目、清泉化工硝酸异辛脂及</w:t>
                      </w:r>
                      <w:r>
                        <w:rPr>
                          <w:spacing w:val="-18"/>
                          <w:sz w:val="28"/>
                        </w:rPr>
                        <w:t xml:space="preserve">过氧化物生产项目、山东弘霖环保科技有限公司项目、联泓新科 </w:t>
                      </w:r>
                      <w:r>
                        <w:rPr>
                          <w:rFonts w:ascii="Times New Roman" w:eastAsia="Times New Roman"/>
                          <w:sz w:val="28"/>
                        </w:rPr>
                        <w:t xml:space="preserve">EVA </w:t>
                      </w:r>
                      <w:r>
                        <w:rPr>
                          <w:spacing w:val="-10"/>
                          <w:sz w:val="28"/>
                        </w:rPr>
                        <w:t>装置管式尾技术升级改造项目、联泓新科聚丙烯装置二反技术改造项</w:t>
                      </w:r>
                      <w:r>
                        <w:rPr>
                          <w:spacing w:val="-21"/>
                          <w:sz w:val="28"/>
                        </w:rPr>
                        <w:t xml:space="preserve">目、联泓新科 </w:t>
                      </w:r>
                      <w:r>
                        <w:rPr>
                          <w:rFonts w:ascii="Times New Roman" w:eastAsia="Times New Roman"/>
                          <w:sz w:val="28"/>
                        </w:rPr>
                        <w:t>6.5</w:t>
                      </w:r>
                      <w:r>
                        <w:rPr>
                          <w:rFonts w:ascii="Times New Roman" w:eastAsia="Times New Roman"/>
                          <w:spacing w:val="6"/>
                          <w:sz w:val="28"/>
                        </w:rPr>
                        <w:t xml:space="preserve"> </w:t>
                      </w:r>
                      <w:r>
                        <w:rPr>
                          <w:spacing w:val="-2"/>
                          <w:sz w:val="28"/>
                        </w:rPr>
                        <w:t>万吨</w:t>
                      </w:r>
                      <w:r>
                        <w:rPr>
                          <w:rFonts w:ascii="Times New Roman" w:eastAsia="Times New Roman"/>
                          <w:sz w:val="28"/>
                        </w:rPr>
                        <w:t>/</w:t>
                      </w:r>
                      <w:r>
                        <w:rPr>
                          <w:spacing w:val="-8"/>
                          <w:sz w:val="28"/>
                        </w:rPr>
                        <w:t>年特种精细化学品项目、绿灵生物科技氰尿酸</w:t>
                      </w:r>
                    </w:p>
                    <w:p>
                      <w:pPr>
                        <w:spacing w:before="10"/>
                        <w:ind w:left="105" w:right="0" w:firstLine="0"/>
                        <w:jc w:val="left"/>
                        <w:rPr>
                          <w:sz w:val="28"/>
                        </w:rPr>
                      </w:pPr>
                      <w:r>
                        <w:rPr>
                          <w:spacing w:val="-3"/>
                          <w:sz w:val="28"/>
                        </w:rPr>
                        <w:t xml:space="preserve">脱硝剂联产氯代异氰尿酸类水处理剂项目、山东康泓 </w:t>
                      </w:r>
                      <w:r>
                        <w:rPr>
                          <w:rFonts w:ascii="Times New Roman" w:eastAsia="Times New Roman"/>
                          <w:sz w:val="28"/>
                        </w:rPr>
                        <w:t>1400</w:t>
                      </w:r>
                      <w:r>
                        <w:rPr>
                          <w:rFonts w:ascii="Times New Roman" w:eastAsia="Times New Roman"/>
                          <w:spacing w:val="13"/>
                          <w:sz w:val="28"/>
                        </w:rPr>
                        <w:t xml:space="preserve"> </w:t>
                      </w:r>
                      <w:r>
                        <w:rPr>
                          <w:sz w:val="28"/>
                        </w:rPr>
                        <w:t>吨半导体</w:t>
                      </w:r>
                    </w:p>
                    <w:p>
                      <w:pPr>
                        <w:spacing w:before="43"/>
                        <w:ind w:left="105" w:right="0" w:firstLine="0"/>
                        <w:jc w:val="left"/>
                        <w:rPr>
                          <w:sz w:val="28"/>
                        </w:rPr>
                      </w:pPr>
                      <w:r>
                        <w:rPr>
                          <w:sz w:val="28"/>
                        </w:rPr>
                        <w:t>关键新材料光刻胶及精细化工产品项目</w:t>
                      </w:r>
                    </w:p>
                  </w:txbxContent>
                </v:textbox>
              </v:shape>
            </w:pict>
          </mc:Fallback>
        </mc:AlternateContent>
      </w:r>
      <w:r>
        <w:rPr>
          <w:spacing w:val="-7"/>
        </w:rPr>
        <w:t>建设甲醇制烯烃</w:t>
      </w:r>
      <w:r>
        <w:rPr>
          <w:spacing w:val="-9"/>
        </w:rPr>
        <w:t>（MTO）</w:t>
      </w:r>
      <w:r>
        <w:rPr>
          <w:spacing w:val="-7"/>
        </w:rPr>
        <w:t xml:space="preserve">项目，通过煤化工与石油化工的耦合， 实现补链扩链。依托联泓新科，打造一条以低碳烯烃为原料， 生产先进高分子材料及生物可降解材料的烯烃深加工产业链。大力发展以化工新材料和专用化学品为代表的功能性化学品， </w:t>
      </w:r>
      <w:r>
        <w:rPr>
          <w:spacing w:val="-14"/>
        </w:rPr>
        <w:t>催化产生包装材料、汽车轻量化、电子化学品、建筑材料、新能源等领域的高端和功能化学品海量的产品组合。</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2"/>
        <w:spacing w:line="537" w:lineRule="exact"/>
        <w:ind w:left="3" w:right="80"/>
        <w:jc w:val="center"/>
      </w:pPr>
      <w:r>
        <w:t>培植两大百亿级新兴产业集群</w:t>
      </w:r>
    </w:p>
    <w:p>
      <w:pPr>
        <w:pStyle w:val="3"/>
        <w:spacing w:before="78" w:line="328" w:lineRule="auto"/>
        <w:ind w:right="242" w:firstLine="638"/>
      </w:pPr>
      <w:r>
        <w:rPr>
          <w:rFonts w:ascii="Times New Roman" w:hAnsi="Times New Roman" w:eastAsia="Times New Roman"/>
          <w:b/>
        </w:rPr>
        <w:t>——</w:t>
      </w:r>
      <w:r>
        <w:rPr>
          <w:b/>
          <w:spacing w:val="-10"/>
        </w:rPr>
        <w:t>新能源新材料产业。新能源：</w:t>
      </w:r>
      <w:r>
        <w:rPr>
          <w:spacing w:val="-7"/>
        </w:rPr>
        <w:t>以耀国新能源、光普太</w:t>
      </w:r>
      <w:r>
        <w:rPr>
          <w:spacing w:val="-14"/>
        </w:rPr>
        <w:t>阳能、华闻太阳能等优势企业为基础，着力引进上下游关键技</w:t>
      </w:r>
      <w:r>
        <w:rPr>
          <w:spacing w:val="-15"/>
        </w:rPr>
        <w:t>术配套企业，加快形成集上中下游于一体、契合度高的太阳能</w:t>
      </w:r>
      <w:r>
        <w:rPr>
          <w:spacing w:val="-21"/>
          <w:w w:val="95"/>
        </w:rPr>
        <w:t xml:space="preserve">产业集群。积极推进光伏发电综合开发利用，支持晴阳新能源、 </w:t>
      </w:r>
      <w:r>
        <w:rPr>
          <w:spacing w:val="-21"/>
        </w:rPr>
        <w:t>华电山东新能源等企业建立安全、稳定、高品质的光伏电站。</w:t>
      </w:r>
      <w:r>
        <w:rPr>
          <w:spacing w:val="-20"/>
        </w:rPr>
        <w:t>充分发挥田陈富源、光大国际的龙头带动作用，完善生物质能</w:t>
      </w:r>
      <w:r>
        <w:rPr>
          <w:spacing w:val="-15"/>
        </w:rPr>
        <w:t>产业链，推动生物质能产业技术推广。依托中科福德、中科蓝</w:t>
      </w:r>
      <w:r>
        <w:rPr>
          <w:spacing w:val="-13"/>
        </w:rPr>
        <w:t>天，加快变频补焓超低温空气源热泵恒温系统、空气源热泵烘</w:t>
      </w:r>
      <w:r>
        <w:rPr>
          <w:spacing w:val="-19"/>
        </w:rPr>
        <w:t>干机组等关键技术及装备的研究推广，打造热泵产业高端生产</w:t>
      </w:r>
      <w:r>
        <w:rPr>
          <w:spacing w:val="-15"/>
        </w:rPr>
        <w:t>基地。突破工业副产氢纯化等核心技术，有序推进加氢基础设</w:t>
      </w:r>
      <w:r>
        <w:rPr>
          <w:spacing w:val="-16"/>
        </w:rPr>
        <w:t>施建设，引导燃料电池汽车在公交、物流等商用车率先示范推</w:t>
      </w:r>
      <w:r>
        <w:rPr>
          <w:spacing w:val="-11"/>
        </w:rPr>
        <w:t>广，争创新能源应用示范市。</w:t>
      </w:r>
      <w:r>
        <w:rPr>
          <w:b/>
          <w:spacing w:val="-9"/>
        </w:rPr>
        <w:t>新材料：</w:t>
      </w:r>
      <w:r>
        <w:rPr>
          <w:spacing w:val="-4"/>
        </w:rPr>
        <w:t>围绕高速专用轨道、电</w:t>
      </w:r>
      <w:r>
        <w:rPr>
          <w:spacing w:val="-13"/>
        </w:rPr>
        <w:t>力新型铜材等产品，加快金属新材料产业项目、军民融合新材</w:t>
      </w:r>
      <w:r>
        <w:rPr>
          <w:spacing w:val="-19"/>
        </w:rPr>
        <w:t>料研究院和防鼠防蚁材料实验室等建设，带动一批上下游企业</w:t>
      </w:r>
      <w:r>
        <w:rPr>
          <w:spacing w:val="-21"/>
          <w:w w:val="95"/>
        </w:rPr>
        <w:t xml:space="preserve">进驻，打造正威华能军民融合新材料产业基地。依托中材锂膜， </w:t>
      </w:r>
      <w:r>
        <w:rPr>
          <w:spacing w:val="-20"/>
        </w:rPr>
        <w:t>重点突破隔膜耐热性、超薄性、吸液性等关键技术，研发聚合</w:t>
      </w:r>
      <w:r>
        <w:rPr>
          <w:spacing w:val="-18"/>
        </w:rPr>
        <w:t>物电解质隔膜、纤维隔膜等新型产品，打造国内一流膜材料制</w:t>
      </w:r>
      <w:r>
        <w:rPr>
          <w:spacing w:val="-15"/>
        </w:rPr>
        <w:t>造基地。依托北玻院，发展海洋工程、航天特种聚合物、桥梁工程、通用航空复合材料等产品，加快推进北玻院先进复合材料项目，填补枣庄乃至山东省特种纤维复合材料产业空白，打</w:t>
      </w:r>
      <w:r>
        <w:rPr>
          <w:spacing w:val="-8"/>
        </w:rPr>
        <w:t>造国内领先的复合材料产业基地。依托辛化硅胶，持续推进高</w:t>
      </w:r>
      <w:r>
        <w:rPr>
          <w:spacing w:val="-22"/>
        </w:rPr>
        <w:t>档硅胶产品技术研发，建设国内一流无机硅化物产业基地。</w:t>
      </w:r>
    </w:p>
    <w:p>
      <w:pPr>
        <w:spacing w:after="0" w:line="328" w:lineRule="auto"/>
        <w:sectPr>
          <w:pgSz w:w="11910" w:h="16840"/>
          <w:pgMar w:top="1580" w:right="1300" w:bottom="1540" w:left="1380" w:header="0" w:footer="1346" w:gutter="0"/>
          <w:cols w:space="720" w:num="1"/>
        </w:sectPr>
      </w:pPr>
    </w:p>
    <w:p>
      <w:pPr>
        <w:pStyle w:val="3"/>
        <w:ind w:left="0"/>
        <w:rPr>
          <w:sz w:val="20"/>
        </w:rPr>
      </w:pPr>
    </w:p>
    <w:p>
      <w:pPr>
        <w:pStyle w:val="3"/>
        <w:ind w:left="0"/>
        <w:rPr>
          <w:sz w:val="20"/>
        </w:rPr>
      </w:pPr>
    </w:p>
    <w:p>
      <w:pPr>
        <w:pStyle w:val="3"/>
        <w:spacing w:before="8"/>
        <w:ind w:left="0"/>
        <w:rPr>
          <w:sz w:val="21"/>
        </w:rPr>
      </w:pPr>
    </w:p>
    <w:p>
      <w:pPr>
        <w:spacing w:before="62"/>
        <w:ind w:left="0" w:right="353" w:firstLine="0"/>
        <w:jc w:val="right"/>
        <w:rPr>
          <w:sz w:val="28"/>
        </w:rPr>
      </w:pPr>
      <w:r>
        <mc:AlternateContent>
          <mc:Choice Requires="wps">
            <w:drawing>
              <wp:anchor distT="0" distB="0" distL="114300" distR="114300" simplePos="0" relativeHeight="249879552" behindDoc="1" locked="0" layoutInCell="1" allowOverlap="1">
                <wp:simplePos x="0" y="0"/>
                <wp:positionH relativeFrom="page">
                  <wp:posOffset>1073785</wp:posOffset>
                </wp:positionH>
                <wp:positionV relativeFrom="paragraph">
                  <wp:posOffset>-243205</wp:posOffset>
                </wp:positionV>
                <wp:extent cx="5411470" cy="4070350"/>
                <wp:effectExtent l="4445" t="4445" r="13335" b="20955"/>
                <wp:wrapNone/>
                <wp:docPr id="14" name="文本框 12"/>
                <wp:cNvGraphicFramePr/>
                <a:graphic xmlns:a="http://schemas.openxmlformats.org/drawingml/2006/main">
                  <a:graphicData uri="http://schemas.microsoft.com/office/word/2010/wordprocessingShape">
                    <wps:wsp>
                      <wps:cNvSpPr txBox="true"/>
                      <wps:spPr>
                        <a:xfrm>
                          <a:off x="0" y="0"/>
                          <a:ext cx="5411470" cy="4070350"/>
                        </a:xfrm>
                        <a:prstGeom prst="rect">
                          <a:avLst/>
                        </a:prstGeom>
                        <a:noFill/>
                        <a:ln w="6096" cap="flat" cmpd="sng">
                          <a:solidFill>
                            <a:srgbClr val="000000"/>
                          </a:solidFill>
                          <a:prstDash val="solid"/>
                          <a:miter/>
                          <a:headEnd type="none" w="med" len="med"/>
                          <a:tailEnd type="none" w="med" len="med"/>
                        </a:ln>
                      </wps:spPr>
                      <wps:txbx>
                        <w:txbxContent>
                          <w:p>
                            <w:pPr>
                              <w:tabs>
                                <w:tab w:val="left" w:pos="3095"/>
                              </w:tabs>
                              <w:spacing w:before="41"/>
                              <w:ind w:left="2044" w:right="0" w:firstLine="0"/>
                              <w:jc w:val="left"/>
                              <w:rPr>
                                <w:b/>
                                <w:sz w:val="28"/>
                              </w:rPr>
                            </w:pPr>
                            <w:r>
                              <w:rPr>
                                <w:b/>
                                <w:sz w:val="28"/>
                              </w:rPr>
                              <w:t>专栏</w:t>
                            </w:r>
                            <w:r>
                              <w:rPr>
                                <w:b/>
                                <w:spacing w:val="-73"/>
                                <w:sz w:val="28"/>
                              </w:rPr>
                              <w:t xml:space="preserve"> </w:t>
                            </w:r>
                            <w:r>
                              <w:rPr>
                                <w:rFonts w:ascii="Times New Roman" w:eastAsia="Times New Roman"/>
                                <w:b/>
                                <w:sz w:val="28"/>
                              </w:rPr>
                              <w:t>3</w:t>
                            </w:r>
                            <w:r>
                              <w:rPr>
                                <w:rFonts w:ascii="Times New Roman" w:eastAsia="Times New Roman"/>
                                <w:b/>
                                <w:sz w:val="28"/>
                              </w:rPr>
                              <w:tab/>
                            </w:r>
                            <w:r>
                              <w:rPr>
                                <w:b/>
                                <w:sz w:val="28"/>
                              </w:rPr>
                              <w:t>新能源新材料产业重点项目</w:t>
                            </w:r>
                          </w:p>
                          <w:p>
                            <w:pPr>
                              <w:spacing w:before="40" w:line="268" w:lineRule="auto"/>
                              <w:ind w:left="103" w:right="98" w:firstLine="0"/>
                              <w:jc w:val="left"/>
                              <w:rPr>
                                <w:sz w:val="28"/>
                              </w:rPr>
                            </w:pPr>
                            <w:r>
                              <w:rPr>
                                <w:spacing w:val="-25"/>
                                <w:sz w:val="28"/>
                              </w:rPr>
                              <w:t xml:space="preserve">华电 </w:t>
                            </w:r>
                            <w:r>
                              <w:rPr>
                                <w:rFonts w:ascii="Times New Roman" w:eastAsia="Times New Roman"/>
                                <w:sz w:val="28"/>
                              </w:rPr>
                              <w:t xml:space="preserve">50MW </w:t>
                            </w:r>
                            <w:r>
                              <w:rPr>
                                <w:spacing w:val="-8"/>
                                <w:sz w:val="28"/>
                              </w:rPr>
                              <w:t xml:space="preserve">光伏发电项目、晴阳新能源滕州 </w:t>
                            </w:r>
                            <w:r>
                              <w:rPr>
                                <w:rFonts w:ascii="Times New Roman" w:eastAsia="Times New Roman"/>
                                <w:sz w:val="28"/>
                              </w:rPr>
                              <w:t xml:space="preserve">150MW </w:t>
                            </w:r>
                            <w:r>
                              <w:rPr>
                                <w:spacing w:val="-2"/>
                                <w:sz w:val="28"/>
                              </w:rPr>
                              <w:t>农光互补项目</w:t>
                            </w:r>
                            <w:r>
                              <w:rPr>
                                <w:spacing w:val="-11"/>
                                <w:sz w:val="28"/>
                              </w:rPr>
                              <w:t xml:space="preserve">明阳新能源滕州 </w:t>
                            </w:r>
                            <w:r>
                              <w:rPr>
                                <w:rFonts w:ascii="Times New Roman" w:eastAsia="Times New Roman"/>
                                <w:sz w:val="28"/>
                              </w:rPr>
                              <w:t xml:space="preserve">200MW </w:t>
                            </w:r>
                            <w:r>
                              <w:rPr>
                                <w:spacing w:val="-9"/>
                                <w:sz w:val="28"/>
                              </w:rPr>
                              <w:t>渔光互补项目、合超电气高低压电控设备项</w:t>
                            </w:r>
                            <w:r>
                              <w:rPr>
                                <w:spacing w:val="-14"/>
                                <w:sz w:val="28"/>
                              </w:rPr>
                              <w:t xml:space="preserve">目、红博特太阳能年产 </w:t>
                            </w:r>
                            <w:r>
                              <w:rPr>
                                <w:rFonts w:ascii="Times New Roman" w:eastAsia="Times New Roman"/>
                                <w:sz w:val="28"/>
                              </w:rPr>
                              <w:t xml:space="preserve">20 </w:t>
                            </w:r>
                            <w:r>
                              <w:rPr>
                                <w:sz w:val="28"/>
                              </w:rPr>
                              <w:t>万支中高温集热管及储能项目、中科蓝天</w:t>
                            </w:r>
                          </w:p>
                          <w:p>
                            <w:pPr>
                              <w:spacing w:before="0" w:line="268" w:lineRule="auto"/>
                              <w:ind w:left="103" w:right="-44" w:firstLine="0"/>
                              <w:jc w:val="left"/>
                              <w:rPr>
                                <w:sz w:val="28"/>
                              </w:rPr>
                            </w:pPr>
                            <w:r>
                              <w:rPr>
                                <w:spacing w:val="-9"/>
                                <w:sz w:val="28"/>
                              </w:rPr>
                              <w:t xml:space="preserve">地源热泵生产建设项目、鲁南中联光伏发电项目、枣矿田陈富源 </w:t>
                            </w:r>
                            <w:r>
                              <w:rPr>
                                <w:rFonts w:ascii="Times New Roman" w:hAnsi="Times New Roman" w:eastAsia="Times New Roman"/>
                                <w:sz w:val="28"/>
                              </w:rPr>
                              <w:t>2</w:t>
                            </w:r>
                            <w:r>
                              <w:rPr>
                                <w:sz w:val="28"/>
                              </w:rPr>
                              <w:t xml:space="preserve">× </w:t>
                            </w:r>
                            <w:r>
                              <w:rPr>
                                <w:rFonts w:ascii="Times New Roman" w:hAnsi="Times New Roman" w:eastAsia="Times New Roman"/>
                                <w:sz w:val="28"/>
                              </w:rPr>
                              <w:t>35</w:t>
                            </w:r>
                            <w:r>
                              <w:rPr>
                                <w:rFonts w:ascii="Times New Roman" w:hAnsi="Times New Roman" w:eastAsia="Times New Roman"/>
                                <w:spacing w:val="-1"/>
                                <w:sz w:val="28"/>
                              </w:rPr>
                              <w:t xml:space="preserve"> </w:t>
                            </w:r>
                            <w:r>
                              <w:rPr>
                                <w:spacing w:val="-4"/>
                                <w:sz w:val="28"/>
                              </w:rPr>
                              <w:t xml:space="preserve">万千瓦煤矸石综合利用项目、中核滕州 </w:t>
                            </w:r>
                            <w:r>
                              <w:rPr>
                                <w:rFonts w:ascii="Times New Roman" w:hAnsi="Times New Roman" w:eastAsia="Times New Roman"/>
                                <w:sz w:val="28"/>
                              </w:rPr>
                              <w:t xml:space="preserve">80MW </w:t>
                            </w:r>
                            <w:r>
                              <w:rPr>
                                <w:sz w:val="28"/>
                              </w:rPr>
                              <w:t>农光互补光伏发电</w:t>
                            </w:r>
                            <w:r>
                              <w:rPr>
                                <w:spacing w:val="-6"/>
                                <w:sz w:val="28"/>
                              </w:rPr>
                              <w:t xml:space="preserve">示范项目、滕州瑞科天启 </w:t>
                            </w:r>
                            <w:r>
                              <w:rPr>
                                <w:rFonts w:ascii="Times New Roman" w:hAnsi="Times New Roman" w:eastAsia="Times New Roman"/>
                                <w:sz w:val="28"/>
                              </w:rPr>
                              <w:t>25</w:t>
                            </w:r>
                            <w:r>
                              <w:rPr>
                                <w:rFonts w:ascii="Times New Roman" w:hAnsi="Times New Roman" w:eastAsia="Times New Roman"/>
                                <w:spacing w:val="6"/>
                                <w:sz w:val="28"/>
                              </w:rPr>
                              <w:t xml:space="preserve"> </w:t>
                            </w:r>
                            <w:r>
                              <w:rPr>
                                <w:sz w:val="28"/>
                              </w:rPr>
                              <w:t>万吨微矿分离示范项目、正威华能军民</w:t>
                            </w:r>
                            <w:r>
                              <w:rPr>
                                <w:spacing w:val="-12"/>
                                <w:sz w:val="28"/>
                              </w:rPr>
                              <w:t>融合新材料产业项目、联泓新科先进高分子一体化及生物可降解材料</w:t>
                            </w:r>
                            <w:r>
                              <w:rPr>
                                <w:spacing w:val="-15"/>
                                <w:sz w:val="28"/>
                              </w:rPr>
                              <w:t xml:space="preserve">产业链项目、金晶玻璃 </w:t>
                            </w:r>
                            <w:r>
                              <w:rPr>
                                <w:rFonts w:ascii="Times New Roman" w:hAnsi="Times New Roman" w:eastAsia="Times New Roman"/>
                                <w:sz w:val="28"/>
                              </w:rPr>
                              <w:t>Low</w:t>
                            </w:r>
                            <w:r>
                              <w:rPr>
                                <w:sz w:val="28"/>
                              </w:rPr>
                              <w:t>—</w:t>
                            </w:r>
                            <w:r>
                              <w:rPr>
                                <w:rFonts w:ascii="Times New Roman" w:hAnsi="Times New Roman" w:eastAsia="Times New Roman"/>
                                <w:sz w:val="28"/>
                              </w:rPr>
                              <w:t>E</w:t>
                            </w:r>
                            <w:r>
                              <w:rPr>
                                <w:rFonts w:ascii="Times New Roman" w:hAnsi="Times New Roman" w:eastAsia="Times New Roman"/>
                                <w:spacing w:val="2"/>
                                <w:sz w:val="28"/>
                              </w:rPr>
                              <w:t xml:space="preserve"> </w:t>
                            </w:r>
                            <w:r>
                              <w:rPr>
                                <w:spacing w:val="-6"/>
                                <w:sz w:val="28"/>
                              </w:rPr>
                              <w:t>节能玻璃产业链建设项目、山东水发</w:t>
                            </w:r>
                            <w:r>
                              <w:rPr>
                                <w:spacing w:val="-3"/>
                                <w:sz w:val="28"/>
                              </w:rPr>
                              <w:t>新型建材项目、永锦医用新材料项目、宏泰功能化硅吸附材料项目、</w:t>
                            </w:r>
                            <w:r>
                              <w:rPr>
                                <w:spacing w:val="-10"/>
                                <w:sz w:val="28"/>
                              </w:rPr>
                              <w:t>北理工新材料产业基地、孟玄新材料醋酐及醋酸纤维新材料项目、新</w:t>
                            </w:r>
                            <w:r>
                              <w:rPr>
                                <w:spacing w:val="-8"/>
                                <w:sz w:val="28"/>
                              </w:rPr>
                              <w:t>诺科技新型环保脱膜隔离及固色增艳新材料加工项目、东方钢帘线生</w:t>
                            </w:r>
                            <w:r>
                              <w:rPr>
                                <w:spacing w:val="4"/>
                                <w:sz w:val="28"/>
                              </w:rPr>
                              <w:t>产项目、中材锂电池隔膜项目（</w:t>
                            </w:r>
                            <w:r>
                              <w:rPr>
                                <w:spacing w:val="5"/>
                                <w:sz w:val="28"/>
                              </w:rPr>
                              <w:t>二期</w:t>
                            </w:r>
                            <w:r>
                              <w:rPr>
                                <w:spacing w:val="4"/>
                                <w:sz w:val="28"/>
                              </w:rPr>
                              <w:t>）</w:t>
                            </w:r>
                            <w:r>
                              <w:rPr>
                                <w:spacing w:val="3"/>
                                <w:sz w:val="28"/>
                              </w:rPr>
                              <w:t>、中材科技膜材料公司年产</w:t>
                            </w:r>
                            <w:r>
                              <w:rPr>
                                <w:rFonts w:ascii="Times New Roman" w:hAnsi="Times New Roman" w:eastAsia="Times New Roman"/>
                                <w:spacing w:val="3"/>
                                <w:sz w:val="28"/>
                              </w:rPr>
                              <w:t>1000</w:t>
                            </w:r>
                            <w:r>
                              <w:rPr>
                                <w:rFonts w:ascii="Times New Roman" w:hAnsi="Times New Roman" w:eastAsia="Times New Roman"/>
                                <w:spacing w:val="5"/>
                                <w:sz w:val="28"/>
                              </w:rPr>
                              <w:t xml:space="preserve"> </w:t>
                            </w:r>
                            <w:r>
                              <w:rPr>
                                <w:spacing w:val="-5"/>
                                <w:sz w:val="28"/>
                              </w:rPr>
                              <w:t>吨玻纤滤纸生产线项目、坤诚玻璃纤维及玻璃纤维布加工项目、</w:t>
                            </w:r>
                            <w:r>
                              <w:rPr>
                                <w:spacing w:val="-3"/>
                                <w:sz w:val="28"/>
                              </w:rPr>
                              <w:t>北玻院先进复合材料项目、东方油墨项目、雄狮高端节能幕墙项目、</w:t>
                            </w:r>
                          </w:p>
                          <w:p>
                            <w:pPr>
                              <w:spacing w:before="0" w:line="340" w:lineRule="exact"/>
                              <w:ind w:left="103" w:right="0" w:firstLine="0"/>
                              <w:jc w:val="left"/>
                              <w:rPr>
                                <w:sz w:val="28"/>
                              </w:rPr>
                            </w:pPr>
                            <w:r>
                              <w:rPr>
                                <w:sz w:val="28"/>
                              </w:rPr>
                              <w:t>金骏高档陶瓷制品项目、辛诚全降解植物纤维环保餐饮具建设项目</w:t>
                            </w:r>
                          </w:p>
                        </w:txbxContent>
                      </wps:txbx>
                      <wps:bodyPr lIns="0" tIns="0" rIns="0" bIns="0" upright="true"/>
                    </wps:wsp>
                  </a:graphicData>
                </a:graphic>
              </wp:anchor>
            </w:drawing>
          </mc:Choice>
          <mc:Fallback>
            <w:pict>
              <v:shape id="文本框 12" o:spid="_x0000_s1026" o:spt="202" type="#_x0000_t202" style="position:absolute;left:0pt;margin-left:84.55pt;margin-top:-19.15pt;height:320.5pt;width:426.1pt;mso-position-horizontal-relative:page;z-index:-253436928;mso-width-relative:page;mso-height-relative:page;" filled="f" stroked="t" coordsize="21600,21600" o:gfxdata="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j2yi+tgAAAAMAQAADwAA&#10;AAAAAAABACAAAAA4AAAAZHJzL2Rvd25yZXYueG1sUEsBAhQAFAAAAAgAh07iQDnQ9wMAAgAA7AMA&#10;AA4AAAAAAAAAAQAgAAAAPQEAAGRycy9lMm9Eb2MueG1sUEsFBgAAAAAGAAYAWQEAAK8FAAAAAA==&#10;">
                <v:fill on="f" focussize="0,0"/>
                <v:stroke weight="0.48pt" color="#000000" joinstyle="miter"/>
                <v:imagedata o:title=""/>
                <o:lock v:ext="edit" aspectratio="f"/>
                <v:textbox inset="0mm,0mm,0mm,0mm">
                  <w:txbxContent>
                    <w:p>
                      <w:pPr>
                        <w:tabs>
                          <w:tab w:val="left" w:pos="3095"/>
                        </w:tabs>
                        <w:spacing w:before="41"/>
                        <w:ind w:left="2044" w:right="0" w:firstLine="0"/>
                        <w:jc w:val="left"/>
                        <w:rPr>
                          <w:b/>
                          <w:sz w:val="28"/>
                        </w:rPr>
                      </w:pPr>
                      <w:r>
                        <w:rPr>
                          <w:b/>
                          <w:sz w:val="28"/>
                        </w:rPr>
                        <w:t>专栏</w:t>
                      </w:r>
                      <w:r>
                        <w:rPr>
                          <w:b/>
                          <w:spacing w:val="-73"/>
                          <w:sz w:val="28"/>
                        </w:rPr>
                        <w:t xml:space="preserve"> </w:t>
                      </w:r>
                      <w:r>
                        <w:rPr>
                          <w:rFonts w:ascii="Times New Roman" w:eastAsia="Times New Roman"/>
                          <w:b/>
                          <w:sz w:val="28"/>
                        </w:rPr>
                        <w:t>3</w:t>
                      </w:r>
                      <w:r>
                        <w:rPr>
                          <w:rFonts w:ascii="Times New Roman" w:eastAsia="Times New Roman"/>
                          <w:b/>
                          <w:sz w:val="28"/>
                        </w:rPr>
                        <w:tab/>
                      </w:r>
                      <w:r>
                        <w:rPr>
                          <w:b/>
                          <w:sz w:val="28"/>
                        </w:rPr>
                        <w:t>新能源新材料产业重点项目</w:t>
                      </w:r>
                    </w:p>
                    <w:p>
                      <w:pPr>
                        <w:spacing w:before="40" w:line="268" w:lineRule="auto"/>
                        <w:ind w:left="103" w:right="98" w:firstLine="0"/>
                        <w:jc w:val="left"/>
                        <w:rPr>
                          <w:sz w:val="28"/>
                        </w:rPr>
                      </w:pPr>
                      <w:r>
                        <w:rPr>
                          <w:spacing w:val="-25"/>
                          <w:sz w:val="28"/>
                        </w:rPr>
                        <w:t xml:space="preserve">华电 </w:t>
                      </w:r>
                      <w:r>
                        <w:rPr>
                          <w:rFonts w:ascii="Times New Roman" w:eastAsia="Times New Roman"/>
                          <w:sz w:val="28"/>
                        </w:rPr>
                        <w:t xml:space="preserve">50MW </w:t>
                      </w:r>
                      <w:r>
                        <w:rPr>
                          <w:spacing w:val="-8"/>
                          <w:sz w:val="28"/>
                        </w:rPr>
                        <w:t xml:space="preserve">光伏发电项目、晴阳新能源滕州 </w:t>
                      </w:r>
                      <w:r>
                        <w:rPr>
                          <w:rFonts w:ascii="Times New Roman" w:eastAsia="Times New Roman"/>
                          <w:sz w:val="28"/>
                        </w:rPr>
                        <w:t xml:space="preserve">150MW </w:t>
                      </w:r>
                      <w:r>
                        <w:rPr>
                          <w:spacing w:val="-2"/>
                          <w:sz w:val="28"/>
                        </w:rPr>
                        <w:t>农光互补项目</w:t>
                      </w:r>
                      <w:r>
                        <w:rPr>
                          <w:spacing w:val="-11"/>
                          <w:sz w:val="28"/>
                        </w:rPr>
                        <w:t xml:space="preserve">明阳新能源滕州 </w:t>
                      </w:r>
                      <w:r>
                        <w:rPr>
                          <w:rFonts w:ascii="Times New Roman" w:eastAsia="Times New Roman"/>
                          <w:sz w:val="28"/>
                        </w:rPr>
                        <w:t xml:space="preserve">200MW </w:t>
                      </w:r>
                      <w:r>
                        <w:rPr>
                          <w:spacing w:val="-9"/>
                          <w:sz w:val="28"/>
                        </w:rPr>
                        <w:t>渔光互补项目、合超电气高低压电控设备项</w:t>
                      </w:r>
                      <w:r>
                        <w:rPr>
                          <w:spacing w:val="-14"/>
                          <w:sz w:val="28"/>
                        </w:rPr>
                        <w:t xml:space="preserve">目、红博特太阳能年产 </w:t>
                      </w:r>
                      <w:r>
                        <w:rPr>
                          <w:rFonts w:ascii="Times New Roman" w:eastAsia="Times New Roman"/>
                          <w:sz w:val="28"/>
                        </w:rPr>
                        <w:t xml:space="preserve">20 </w:t>
                      </w:r>
                      <w:r>
                        <w:rPr>
                          <w:sz w:val="28"/>
                        </w:rPr>
                        <w:t>万支中高温集热管及储能项目、中科蓝天</w:t>
                      </w:r>
                    </w:p>
                    <w:p>
                      <w:pPr>
                        <w:spacing w:before="0" w:line="268" w:lineRule="auto"/>
                        <w:ind w:left="103" w:right="-44" w:firstLine="0"/>
                        <w:jc w:val="left"/>
                        <w:rPr>
                          <w:sz w:val="28"/>
                        </w:rPr>
                      </w:pPr>
                      <w:r>
                        <w:rPr>
                          <w:spacing w:val="-9"/>
                          <w:sz w:val="28"/>
                        </w:rPr>
                        <w:t xml:space="preserve">地源热泵生产建设项目、鲁南中联光伏发电项目、枣矿田陈富源 </w:t>
                      </w:r>
                      <w:r>
                        <w:rPr>
                          <w:rFonts w:ascii="Times New Roman" w:hAnsi="Times New Roman" w:eastAsia="Times New Roman"/>
                          <w:sz w:val="28"/>
                        </w:rPr>
                        <w:t>2</w:t>
                      </w:r>
                      <w:r>
                        <w:rPr>
                          <w:sz w:val="28"/>
                        </w:rPr>
                        <w:t xml:space="preserve">× </w:t>
                      </w:r>
                      <w:r>
                        <w:rPr>
                          <w:rFonts w:ascii="Times New Roman" w:hAnsi="Times New Roman" w:eastAsia="Times New Roman"/>
                          <w:sz w:val="28"/>
                        </w:rPr>
                        <w:t>35</w:t>
                      </w:r>
                      <w:r>
                        <w:rPr>
                          <w:rFonts w:ascii="Times New Roman" w:hAnsi="Times New Roman" w:eastAsia="Times New Roman"/>
                          <w:spacing w:val="-1"/>
                          <w:sz w:val="28"/>
                        </w:rPr>
                        <w:t xml:space="preserve"> </w:t>
                      </w:r>
                      <w:r>
                        <w:rPr>
                          <w:spacing w:val="-4"/>
                          <w:sz w:val="28"/>
                        </w:rPr>
                        <w:t xml:space="preserve">万千瓦煤矸石综合利用项目、中核滕州 </w:t>
                      </w:r>
                      <w:r>
                        <w:rPr>
                          <w:rFonts w:ascii="Times New Roman" w:hAnsi="Times New Roman" w:eastAsia="Times New Roman"/>
                          <w:sz w:val="28"/>
                        </w:rPr>
                        <w:t xml:space="preserve">80MW </w:t>
                      </w:r>
                      <w:r>
                        <w:rPr>
                          <w:sz w:val="28"/>
                        </w:rPr>
                        <w:t>农光互补光伏发电</w:t>
                      </w:r>
                      <w:r>
                        <w:rPr>
                          <w:spacing w:val="-6"/>
                          <w:sz w:val="28"/>
                        </w:rPr>
                        <w:t xml:space="preserve">示范项目、滕州瑞科天启 </w:t>
                      </w:r>
                      <w:r>
                        <w:rPr>
                          <w:rFonts w:ascii="Times New Roman" w:hAnsi="Times New Roman" w:eastAsia="Times New Roman"/>
                          <w:sz w:val="28"/>
                        </w:rPr>
                        <w:t>25</w:t>
                      </w:r>
                      <w:r>
                        <w:rPr>
                          <w:rFonts w:ascii="Times New Roman" w:hAnsi="Times New Roman" w:eastAsia="Times New Roman"/>
                          <w:spacing w:val="6"/>
                          <w:sz w:val="28"/>
                        </w:rPr>
                        <w:t xml:space="preserve"> </w:t>
                      </w:r>
                      <w:r>
                        <w:rPr>
                          <w:sz w:val="28"/>
                        </w:rPr>
                        <w:t>万吨微矿分离示范项目、正威华能军民</w:t>
                      </w:r>
                      <w:r>
                        <w:rPr>
                          <w:spacing w:val="-12"/>
                          <w:sz w:val="28"/>
                        </w:rPr>
                        <w:t>融合新材料产业项目、联泓新科先进高分子一体化及生物可降解材料</w:t>
                      </w:r>
                      <w:r>
                        <w:rPr>
                          <w:spacing w:val="-15"/>
                          <w:sz w:val="28"/>
                        </w:rPr>
                        <w:t xml:space="preserve">产业链项目、金晶玻璃 </w:t>
                      </w:r>
                      <w:r>
                        <w:rPr>
                          <w:rFonts w:ascii="Times New Roman" w:hAnsi="Times New Roman" w:eastAsia="Times New Roman"/>
                          <w:sz w:val="28"/>
                        </w:rPr>
                        <w:t>Low</w:t>
                      </w:r>
                      <w:r>
                        <w:rPr>
                          <w:sz w:val="28"/>
                        </w:rPr>
                        <w:t>—</w:t>
                      </w:r>
                      <w:r>
                        <w:rPr>
                          <w:rFonts w:ascii="Times New Roman" w:hAnsi="Times New Roman" w:eastAsia="Times New Roman"/>
                          <w:sz w:val="28"/>
                        </w:rPr>
                        <w:t>E</w:t>
                      </w:r>
                      <w:r>
                        <w:rPr>
                          <w:rFonts w:ascii="Times New Roman" w:hAnsi="Times New Roman" w:eastAsia="Times New Roman"/>
                          <w:spacing w:val="2"/>
                          <w:sz w:val="28"/>
                        </w:rPr>
                        <w:t xml:space="preserve"> </w:t>
                      </w:r>
                      <w:r>
                        <w:rPr>
                          <w:spacing w:val="-6"/>
                          <w:sz w:val="28"/>
                        </w:rPr>
                        <w:t>节能玻璃产业链建设项目、山东水发</w:t>
                      </w:r>
                      <w:r>
                        <w:rPr>
                          <w:spacing w:val="-3"/>
                          <w:sz w:val="28"/>
                        </w:rPr>
                        <w:t>新型建材项目、永锦医用新材料项目、宏泰功能化硅吸附材料项目、</w:t>
                      </w:r>
                      <w:r>
                        <w:rPr>
                          <w:spacing w:val="-10"/>
                          <w:sz w:val="28"/>
                        </w:rPr>
                        <w:t>北理工新材料产业基地、孟玄新材料醋酐及醋酸纤维新材料项目、新</w:t>
                      </w:r>
                      <w:r>
                        <w:rPr>
                          <w:spacing w:val="-8"/>
                          <w:sz w:val="28"/>
                        </w:rPr>
                        <w:t>诺科技新型环保脱膜隔离及固色增艳新材料加工项目、东方钢帘线生</w:t>
                      </w:r>
                      <w:r>
                        <w:rPr>
                          <w:spacing w:val="4"/>
                          <w:sz w:val="28"/>
                        </w:rPr>
                        <w:t>产项目、中材锂电池隔膜项目（</w:t>
                      </w:r>
                      <w:r>
                        <w:rPr>
                          <w:spacing w:val="5"/>
                          <w:sz w:val="28"/>
                        </w:rPr>
                        <w:t>二期</w:t>
                      </w:r>
                      <w:r>
                        <w:rPr>
                          <w:spacing w:val="4"/>
                          <w:sz w:val="28"/>
                        </w:rPr>
                        <w:t>）</w:t>
                      </w:r>
                      <w:r>
                        <w:rPr>
                          <w:spacing w:val="3"/>
                          <w:sz w:val="28"/>
                        </w:rPr>
                        <w:t>、中材科技膜材料公司年产</w:t>
                      </w:r>
                      <w:r>
                        <w:rPr>
                          <w:rFonts w:ascii="Times New Roman" w:hAnsi="Times New Roman" w:eastAsia="Times New Roman"/>
                          <w:spacing w:val="3"/>
                          <w:sz w:val="28"/>
                        </w:rPr>
                        <w:t>1000</w:t>
                      </w:r>
                      <w:r>
                        <w:rPr>
                          <w:rFonts w:ascii="Times New Roman" w:hAnsi="Times New Roman" w:eastAsia="Times New Roman"/>
                          <w:spacing w:val="5"/>
                          <w:sz w:val="28"/>
                        </w:rPr>
                        <w:t xml:space="preserve"> </w:t>
                      </w:r>
                      <w:r>
                        <w:rPr>
                          <w:spacing w:val="-5"/>
                          <w:sz w:val="28"/>
                        </w:rPr>
                        <w:t>吨玻纤滤纸生产线项目、坤诚玻璃纤维及玻璃纤维布加工项目、</w:t>
                      </w:r>
                      <w:r>
                        <w:rPr>
                          <w:spacing w:val="-3"/>
                          <w:sz w:val="28"/>
                        </w:rPr>
                        <w:t>北玻院先进复合材料项目、东方油墨项目、雄狮高端节能幕墙项目、</w:t>
                      </w:r>
                    </w:p>
                    <w:p>
                      <w:pPr>
                        <w:spacing w:before="0" w:line="340" w:lineRule="exact"/>
                        <w:ind w:left="103" w:right="0" w:firstLine="0"/>
                        <w:jc w:val="left"/>
                        <w:rPr>
                          <w:sz w:val="28"/>
                        </w:rPr>
                      </w:pPr>
                      <w:r>
                        <w:rPr>
                          <w:sz w:val="28"/>
                        </w:rPr>
                        <w:t>金骏高档陶瓷制品项目、辛诚全降解植物纤维环保餐饮具建设项目</w:t>
                      </w:r>
                    </w:p>
                  </w:txbxContent>
                </v:textbox>
              </v:shape>
            </w:pict>
          </mc:Fallback>
        </mc:AlternateContent>
      </w:r>
      <w:r>
        <w:rPr>
          <w:w w:val="100"/>
          <w:sz w:val="28"/>
        </w:rPr>
        <w:t>、</w:t>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3"/>
        </w:rPr>
      </w:pPr>
    </w:p>
    <w:p>
      <w:pPr>
        <w:spacing w:before="0" w:line="548" w:lineRule="exact"/>
        <w:ind w:left="960" w:right="0" w:firstLine="0"/>
        <w:jc w:val="left"/>
        <w:rPr>
          <w:sz w:val="32"/>
        </w:rPr>
      </w:pPr>
      <w:r>
        <w:rPr>
          <w:rFonts w:ascii="Times New Roman" w:hAnsi="Times New Roman" w:eastAsia="Times New Roman"/>
          <w:b/>
          <w:sz w:val="32"/>
        </w:rPr>
        <w:t>——</w:t>
      </w:r>
      <w:r>
        <w:rPr>
          <w:rFonts w:hint="eastAsia" w:ascii="Microsoft JhengHei" w:hAnsi="Microsoft JhengHei" w:eastAsia="Microsoft JhengHei"/>
          <w:b/>
          <w:sz w:val="32"/>
        </w:rPr>
        <w:t>新一代信息技术产业。</w:t>
      </w:r>
      <w:r>
        <w:rPr>
          <w:sz w:val="32"/>
        </w:rPr>
        <w:t>大力发展数字经济，深入推动</w:t>
      </w:r>
    </w:p>
    <w:p>
      <w:pPr>
        <w:pStyle w:val="3"/>
        <w:spacing w:before="78" w:line="328" w:lineRule="auto"/>
        <w:ind w:right="238"/>
      </w:pPr>
      <w:r>
        <w:rPr>
          <w:spacing w:val="-9"/>
        </w:rPr>
        <w:t>新一代信息技术向各行业、各领域广泛渗透应用，积极引进高</w:t>
      </w:r>
      <w:r>
        <w:rPr>
          <w:spacing w:val="-20"/>
        </w:rPr>
        <w:t>端服务器、大容量存储、新型智能终端、网络安全等设备企业。</w:t>
      </w:r>
      <w:r>
        <w:rPr>
          <w:spacing w:val="-19"/>
          <w:w w:val="95"/>
        </w:rPr>
        <w:t xml:space="preserve">扶持“企业上云”，促进云计算、物联网、大数据在高端装备、 </w:t>
      </w:r>
      <w:r>
        <w:rPr>
          <w:spacing w:val="-16"/>
        </w:rPr>
        <w:t>高端化工、新能源新材料等企业的深度应用和创新应用。支持箭波通讯、大汉智能、华中数控、清栾福星、翰林经纬等企业</w:t>
      </w:r>
      <w:r>
        <w:rPr>
          <w:spacing w:val="-37"/>
        </w:rPr>
        <w:t xml:space="preserve">加快 </w:t>
      </w:r>
      <w:r>
        <w:t>5G</w:t>
      </w:r>
      <w:r>
        <w:rPr>
          <w:spacing w:val="-9"/>
        </w:rPr>
        <w:t xml:space="preserve"> 光模块、智能设备、新型电感元件等开发和应用。鼓</w:t>
      </w:r>
      <w:r>
        <w:rPr>
          <w:spacing w:val="-14"/>
        </w:rPr>
        <w:t xml:space="preserve">励启迪亚都、鑫迪家居扩大智能全屋净化系统、智能家居等终端产品生产规模，提高市场占有率。以大数据产业园为依托， </w:t>
      </w:r>
      <w:r>
        <w:rPr>
          <w:spacing w:val="-16"/>
        </w:rPr>
        <w:t>打造规范化、前沿化、特色化、集群化、绿色化省级示范数字经济园区。</w:t>
      </w:r>
    </w:p>
    <w:p>
      <w:pPr>
        <w:spacing w:after="0" w:line="328" w:lineRule="auto"/>
        <w:sectPr>
          <w:pgSz w:w="11910" w:h="16840"/>
          <w:pgMar w:top="1580" w:right="1300" w:bottom="1540" w:left="1380" w:header="0" w:footer="1346" w:gutter="0"/>
          <w:cols w:space="720" w:num="1"/>
        </w:sectPr>
      </w:pPr>
    </w:p>
    <w:p>
      <w:pPr>
        <w:pStyle w:val="3"/>
        <w:spacing w:before="5" w:after="1"/>
        <w:ind w:left="0"/>
        <w:rPr>
          <w:sz w:val="22"/>
        </w:rPr>
      </w:pPr>
    </w:p>
    <w:p>
      <w:pPr>
        <w:pStyle w:val="3"/>
        <w:ind w:left="307"/>
        <w:rPr>
          <w:sz w:val="20"/>
        </w:rPr>
      </w:pPr>
      <w:r>
        <w:rPr>
          <w:sz w:val="20"/>
        </w:rPr>
        <mc:AlternateContent>
          <mc:Choice Requires="wps">
            <w:drawing>
              <wp:inline distT="0" distB="0" distL="114300" distR="114300">
                <wp:extent cx="5411470" cy="1530350"/>
                <wp:effectExtent l="4445" t="4445" r="13335" b="8255"/>
                <wp:docPr id="26" name="文本框 13"/>
                <wp:cNvGraphicFramePr/>
                <a:graphic xmlns:a="http://schemas.openxmlformats.org/drawingml/2006/main">
                  <a:graphicData uri="http://schemas.microsoft.com/office/word/2010/wordprocessingShape">
                    <wps:wsp>
                      <wps:cNvSpPr txBox="true"/>
                      <wps:spPr>
                        <a:xfrm>
                          <a:off x="0" y="0"/>
                          <a:ext cx="5411470" cy="1530350"/>
                        </a:xfrm>
                        <a:prstGeom prst="rect">
                          <a:avLst/>
                        </a:prstGeom>
                        <a:noFill/>
                        <a:ln w="6096" cap="flat" cmpd="sng">
                          <a:solidFill>
                            <a:srgbClr val="000000"/>
                          </a:solidFill>
                          <a:prstDash val="solid"/>
                          <a:miter/>
                          <a:headEnd type="none" w="med" len="med"/>
                          <a:tailEnd type="none" w="med" len="med"/>
                        </a:ln>
                      </wps:spPr>
                      <wps:txbx>
                        <w:txbxContent>
                          <w:p>
                            <w:pPr>
                              <w:spacing w:before="40"/>
                              <w:ind w:left="1903" w:right="0" w:firstLine="0"/>
                              <w:jc w:val="both"/>
                              <w:rPr>
                                <w:b/>
                                <w:sz w:val="28"/>
                              </w:rPr>
                            </w:pPr>
                            <w:r>
                              <w:rPr>
                                <w:b/>
                                <w:spacing w:val="-25"/>
                                <w:sz w:val="28"/>
                              </w:rPr>
                              <w:t xml:space="preserve">专栏 </w:t>
                            </w:r>
                            <w:r>
                              <w:rPr>
                                <w:rFonts w:ascii="Times New Roman" w:eastAsia="Times New Roman"/>
                                <w:b/>
                                <w:sz w:val="28"/>
                              </w:rPr>
                              <w:t>4</w:t>
                            </w:r>
                            <w:r>
                              <w:rPr>
                                <w:rFonts w:ascii="Times New Roman" w:eastAsia="Times New Roman"/>
                                <w:b/>
                                <w:spacing w:val="68"/>
                                <w:sz w:val="28"/>
                              </w:rPr>
                              <w:t xml:space="preserve"> </w:t>
                            </w:r>
                            <w:r>
                              <w:rPr>
                                <w:b/>
                                <w:sz w:val="28"/>
                              </w:rPr>
                              <w:t>新一代信息技术产业重点项目</w:t>
                            </w:r>
                          </w:p>
                          <w:p>
                            <w:pPr>
                              <w:spacing w:before="42" w:line="266" w:lineRule="auto"/>
                              <w:ind w:left="103" w:right="100" w:firstLine="0"/>
                              <w:jc w:val="both"/>
                              <w:rPr>
                                <w:sz w:val="28"/>
                              </w:rPr>
                            </w:pPr>
                            <w:r>
                              <w:rPr>
                                <w:spacing w:val="-8"/>
                                <w:sz w:val="28"/>
                              </w:rPr>
                              <w:t>国家工业互联网二级标识解析节点平台、智慧滕州感知网络平台、机</w:t>
                            </w:r>
                            <w:r>
                              <w:rPr>
                                <w:spacing w:val="4"/>
                                <w:sz w:val="28"/>
                              </w:rPr>
                              <w:t>械机床创新协同服务平台（机械机床工业大数据中心）</w:t>
                            </w:r>
                            <w:r>
                              <w:rPr>
                                <w:spacing w:val="3"/>
                                <w:sz w:val="28"/>
                              </w:rPr>
                              <w:t>、中国铁塔</w:t>
                            </w:r>
                            <w:r>
                              <w:rPr>
                                <w:rFonts w:ascii="Times New Roman" w:hAnsi="Times New Roman" w:eastAsia="Times New Roman"/>
                                <w:spacing w:val="3"/>
                                <w:sz w:val="28"/>
                              </w:rPr>
                              <w:t xml:space="preserve">5G </w:t>
                            </w:r>
                            <w:r>
                              <w:rPr>
                                <w:sz w:val="28"/>
                              </w:rPr>
                              <w:t>新基建项目、翰林经纬项目、“全球影像”医疗服务大数据平台</w:t>
                            </w:r>
                            <w:r>
                              <w:rPr>
                                <w:spacing w:val="-10"/>
                                <w:sz w:val="28"/>
                              </w:rPr>
                              <w:t>项目、创视数字文创产业园项目、云视科技电商直播产业园、城乡水</w:t>
                            </w:r>
                          </w:p>
                          <w:p>
                            <w:pPr>
                              <w:spacing w:before="8" w:line="358" w:lineRule="exact"/>
                              <w:ind w:left="103" w:right="0" w:firstLine="0"/>
                              <w:jc w:val="left"/>
                              <w:rPr>
                                <w:sz w:val="28"/>
                              </w:rPr>
                            </w:pPr>
                            <w:r>
                              <w:rPr>
                                <w:sz w:val="28"/>
                              </w:rPr>
                              <w:t>务设施智能信息化管理系统项目</w:t>
                            </w:r>
                          </w:p>
                        </w:txbxContent>
                      </wps:txbx>
                      <wps:bodyPr lIns="0" tIns="0" rIns="0" bIns="0" upright="true"/>
                    </wps:wsp>
                  </a:graphicData>
                </a:graphic>
              </wp:inline>
            </w:drawing>
          </mc:Choice>
          <mc:Fallback>
            <w:pict>
              <v:shape id="文本框 13" o:spid="_x0000_s1026" o:spt="202" type="#_x0000_t202" style="height:120.5pt;width:426.1pt;" filled="f" stroked="t" coordsize="21600,21600" o:gfxdata="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zfxq/UAAAABQEAAA8AAAAAAAAA&#10;AQAgAAAAOAAAAGRycy9kb3ducmV2LnhtbFBLAQIUABQAAAAIAIdO4kDwAbCB/wEAAOwDAAAOAAAA&#10;AAAAAAEAIAAAADkBAABkcnMvZTJvRG9jLnhtbFBLBQYAAAAABgAGAFkBAACqBQAAAAA=&#10;">
                <v:fill on="f" focussize="0,0"/>
                <v:stroke weight="0.48pt" color="#000000" joinstyle="miter"/>
                <v:imagedata o:title=""/>
                <o:lock v:ext="edit" aspectratio="f"/>
                <v:textbox inset="0mm,0mm,0mm,0mm">
                  <w:txbxContent>
                    <w:p>
                      <w:pPr>
                        <w:spacing w:before="40"/>
                        <w:ind w:left="1903" w:right="0" w:firstLine="0"/>
                        <w:jc w:val="both"/>
                        <w:rPr>
                          <w:b/>
                          <w:sz w:val="28"/>
                        </w:rPr>
                      </w:pPr>
                      <w:r>
                        <w:rPr>
                          <w:b/>
                          <w:spacing w:val="-25"/>
                          <w:sz w:val="28"/>
                        </w:rPr>
                        <w:t xml:space="preserve">专栏 </w:t>
                      </w:r>
                      <w:r>
                        <w:rPr>
                          <w:rFonts w:ascii="Times New Roman" w:eastAsia="Times New Roman"/>
                          <w:b/>
                          <w:sz w:val="28"/>
                        </w:rPr>
                        <w:t>4</w:t>
                      </w:r>
                      <w:r>
                        <w:rPr>
                          <w:rFonts w:ascii="Times New Roman" w:eastAsia="Times New Roman"/>
                          <w:b/>
                          <w:spacing w:val="68"/>
                          <w:sz w:val="28"/>
                        </w:rPr>
                        <w:t xml:space="preserve"> </w:t>
                      </w:r>
                      <w:r>
                        <w:rPr>
                          <w:b/>
                          <w:sz w:val="28"/>
                        </w:rPr>
                        <w:t>新一代信息技术产业重点项目</w:t>
                      </w:r>
                    </w:p>
                    <w:p>
                      <w:pPr>
                        <w:spacing w:before="42" w:line="266" w:lineRule="auto"/>
                        <w:ind w:left="103" w:right="100" w:firstLine="0"/>
                        <w:jc w:val="both"/>
                        <w:rPr>
                          <w:sz w:val="28"/>
                        </w:rPr>
                      </w:pPr>
                      <w:r>
                        <w:rPr>
                          <w:spacing w:val="-8"/>
                          <w:sz w:val="28"/>
                        </w:rPr>
                        <w:t>国家工业互联网二级标识解析节点平台、智慧滕州感知网络平台、机</w:t>
                      </w:r>
                      <w:r>
                        <w:rPr>
                          <w:spacing w:val="4"/>
                          <w:sz w:val="28"/>
                        </w:rPr>
                        <w:t>械机床创新协同服务平台（机械机床工业大数据中心）</w:t>
                      </w:r>
                      <w:r>
                        <w:rPr>
                          <w:spacing w:val="3"/>
                          <w:sz w:val="28"/>
                        </w:rPr>
                        <w:t>、中国铁塔</w:t>
                      </w:r>
                      <w:r>
                        <w:rPr>
                          <w:rFonts w:ascii="Times New Roman" w:hAnsi="Times New Roman" w:eastAsia="Times New Roman"/>
                          <w:spacing w:val="3"/>
                          <w:sz w:val="28"/>
                        </w:rPr>
                        <w:t xml:space="preserve">5G </w:t>
                      </w:r>
                      <w:r>
                        <w:rPr>
                          <w:sz w:val="28"/>
                        </w:rPr>
                        <w:t>新基建项目、翰林经纬项目、“全球影像”医疗服务大数据平台</w:t>
                      </w:r>
                      <w:r>
                        <w:rPr>
                          <w:spacing w:val="-10"/>
                          <w:sz w:val="28"/>
                        </w:rPr>
                        <w:t>项目、创视数字文创产业园项目、云视科技电商直播产业园、城乡水</w:t>
                      </w:r>
                    </w:p>
                    <w:p>
                      <w:pPr>
                        <w:spacing w:before="8" w:line="358" w:lineRule="exact"/>
                        <w:ind w:left="103" w:right="0" w:firstLine="0"/>
                        <w:jc w:val="left"/>
                        <w:rPr>
                          <w:sz w:val="28"/>
                        </w:rPr>
                      </w:pPr>
                      <w:r>
                        <w:rPr>
                          <w:sz w:val="28"/>
                        </w:rPr>
                        <w:t>务设施智能信息化管理系统项目</w:t>
                      </w:r>
                    </w:p>
                  </w:txbxContent>
                </v:textbox>
                <w10:wrap type="none"/>
                <w10:anchorlock/>
              </v:shape>
            </w:pict>
          </mc:Fallback>
        </mc:AlternateContent>
      </w:r>
    </w:p>
    <w:p>
      <w:pPr>
        <w:pStyle w:val="2"/>
        <w:spacing w:line="577" w:lineRule="exact"/>
        <w:ind w:left="0" w:right="80"/>
        <w:jc w:val="center"/>
      </w:pPr>
      <w:r>
        <w:t>改造提升传统产业</w:t>
      </w:r>
    </w:p>
    <w:p>
      <w:pPr>
        <w:pStyle w:val="3"/>
        <w:spacing w:before="78" w:line="328" w:lineRule="auto"/>
        <w:ind w:right="255" w:firstLine="638"/>
      </w:pPr>
      <w:r>
        <w:rPr>
          <w:rFonts w:ascii="Times New Roman" w:hAnsi="Times New Roman" w:eastAsia="Times New Roman"/>
          <w:b/>
        </w:rPr>
        <w:t>——</w:t>
      </w:r>
      <w:r>
        <w:rPr>
          <w:b/>
        </w:rPr>
        <w:t>食品轻工。</w:t>
      </w:r>
      <w:r>
        <w:t xml:space="preserve">以质量提升、品牌建设为主导升级路径， </w:t>
      </w:r>
      <w:r>
        <w:rPr>
          <w:spacing w:val="-12"/>
        </w:rPr>
        <w:t>发挥“中国马铃薯之乡”载体优势，延伸产业链条，培育壮大</w:t>
      </w:r>
      <w:r>
        <w:rPr>
          <w:spacing w:val="-16"/>
        </w:rPr>
        <w:t>马铃薯产业；鼓励支持春藤、东启、盈泰、鼎盛等企业加大自</w:t>
      </w:r>
      <w:r>
        <w:rPr>
          <w:spacing w:val="-19"/>
        </w:rPr>
        <w:t>动化食品装备引进力度，应用数字化生产线，逐步提升生产全</w:t>
      </w:r>
      <w:r>
        <w:rPr>
          <w:spacing w:val="-18"/>
        </w:rPr>
        <w:t>过程智能化水平；鼓励恒仁工贸、大宗生物开发、东谷面粉等</w:t>
      </w:r>
      <w:r>
        <w:rPr>
          <w:spacing w:val="-16"/>
        </w:rPr>
        <w:t xml:space="preserve">企业多层次、精深加工，研发高附加值产品，推动产业链上下游协同发展，做大做强企业规模。引导今缘春酒业开拓差异化消费渠道，研究探索个性化定制酒。依托滨湖禽蛋加工基地， </w:t>
      </w:r>
      <w:r>
        <w:rPr>
          <w:spacing w:val="-17"/>
        </w:rPr>
        <w:t>做大禽蛋制品、藕制品等湖特产品加工业。加快推进爱啤士精</w:t>
      </w:r>
      <w:r>
        <w:rPr>
          <w:spacing w:val="-18"/>
        </w:rPr>
        <w:t>酿啤酒滕州酒厂项目、恒仁工贸玉米精深加工产业一体化示范项目、春藤牧业肉鸡加工项目等重大项目建设。</w:t>
      </w:r>
    </w:p>
    <w:p>
      <w:pPr>
        <w:spacing w:before="0" w:line="390" w:lineRule="exact"/>
        <w:ind w:left="960" w:right="0" w:firstLine="0"/>
        <w:jc w:val="left"/>
        <w:rPr>
          <w:sz w:val="32"/>
        </w:rPr>
      </w:pPr>
      <w:r>
        <w:rPr>
          <w:rFonts w:ascii="Times New Roman" w:hAnsi="Times New Roman" w:eastAsia="Times New Roman"/>
          <w:b/>
          <w:w w:val="95"/>
          <w:sz w:val="32"/>
        </w:rPr>
        <w:t>——</w:t>
      </w:r>
      <w:r>
        <w:rPr>
          <w:b/>
          <w:spacing w:val="-14"/>
          <w:w w:val="95"/>
          <w:sz w:val="32"/>
        </w:rPr>
        <w:t>玻璃建材。</w:t>
      </w:r>
      <w:r>
        <w:rPr>
          <w:spacing w:val="-5"/>
          <w:w w:val="95"/>
          <w:sz w:val="32"/>
        </w:rPr>
        <w:t>严格控制普通建筑玻璃新增产能，重点突</w:t>
      </w:r>
    </w:p>
    <w:p>
      <w:pPr>
        <w:pStyle w:val="3"/>
        <w:spacing w:before="152" w:line="328" w:lineRule="auto"/>
        <w:ind w:right="398"/>
        <w:jc w:val="both"/>
      </w:pPr>
      <w:r>
        <w:rPr>
          <w:spacing w:val="-12"/>
          <w:w w:val="95"/>
        </w:rPr>
        <w:t xml:space="preserve">破超薄、高强、无碱、镀膜等高性能产品关键技术，促进生产 </w:t>
      </w:r>
      <w:r>
        <w:rPr>
          <w:spacing w:val="-17"/>
          <w:w w:val="95"/>
        </w:rPr>
        <w:t xml:space="preserve">和精深加工一体化发展。支持金晶、华阳、丰华、金明等重点 </w:t>
      </w:r>
      <w:r>
        <w:rPr>
          <w:spacing w:val="-16"/>
          <w:w w:val="95"/>
        </w:rPr>
        <w:t xml:space="preserve">企业发展，加大对功能玻璃、艺术玻璃、制镜玻璃等科技含量 </w:t>
      </w:r>
      <w:r>
        <w:rPr>
          <w:spacing w:val="-18"/>
        </w:rPr>
        <w:t>高的深加工产品研发力度，加快发展曲面玻璃、超薄玻璃、光</w:t>
      </w:r>
      <w:r>
        <w:rPr>
          <w:spacing w:val="-15"/>
          <w:w w:val="95"/>
        </w:rPr>
        <w:t xml:space="preserve">学玻璃、丝印玻璃、立体彩镜玻璃、防弹玻璃、磁控镀膜玻璃 </w:t>
      </w:r>
      <w:r>
        <w:rPr>
          <w:spacing w:val="-16"/>
          <w:w w:val="95"/>
        </w:rPr>
        <w:t>等高端产品，打造全国玻璃深加工基地。依托鲁南中联、滕州</w:t>
      </w:r>
    </w:p>
    <w:p>
      <w:pPr>
        <w:spacing w:after="0" w:line="328" w:lineRule="auto"/>
        <w:jc w:val="both"/>
        <w:sectPr>
          <w:footerReference r:id="rId11" w:type="default"/>
          <w:footerReference r:id="rId12" w:type="even"/>
          <w:pgSz w:w="11910" w:h="16840"/>
          <w:pgMar w:top="1580" w:right="1300" w:bottom="1540" w:left="1380" w:header="0" w:footer="1346" w:gutter="0"/>
          <w:pgNumType w:start="30"/>
          <w:cols w:space="720" w:num="1"/>
        </w:sectPr>
      </w:pPr>
    </w:p>
    <w:p>
      <w:pPr>
        <w:pStyle w:val="3"/>
        <w:spacing w:before="10"/>
        <w:ind w:left="0"/>
        <w:rPr>
          <w:sz w:val="13"/>
        </w:rPr>
      </w:pPr>
    </w:p>
    <w:p>
      <w:pPr>
        <w:pStyle w:val="3"/>
        <w:spacing w:before="54" w:line="328" w:lineRule="auto"/>
        <w:ind w:right="401"/>
      </w:pPr>
      <w:r>
        <w:rPr>
          <w:spacing w:val="-13"/>
          <w:w w:val="95"/>
        </w:rPr>
        <w:t xml:space="preserve">中联、连云山国家级装配式建筑产业基地，大力推进高端水泥 </w:t>
      </w:r>
      <w:r>
        <w:rPr>
          <w:spacing w:val="-13"/>
        </w:rPr>
        <w:t>和装配式建筑发展。</w:t>
      </w:r>
    </w:p>
    <w:p>
      <w:pPr>
        <w:pStyle w:val="3"/>
        <w:spacing w:line="328" w:lineRule="auto"/>
        <w:ind w:right="397" w:firstLine="638"/>
        <w:jc w:val="both"/>
      </w:pPr>
      <w:r>
        <mc:AlternateContent>
          <mc:Choice Requires="wps">
            <w:drawing>
              <wp:anchor distT="0" distB="0" distL="114300" distR="114300" simplePos="0" relativeHeight="249881600" behindDoc="1" locked="0" layoutInCell="1" allowOverlap="1">
                <wp:simplePos x="0" y="0"/>
                <wp:positionH relativeFrom="page">
                  <wp:posOffset>1073785</wp:posOffset>
                </wp:positionH>
                <wp:positionV relativeFrom="paragraph">
                  <wp:posOffset>3138170</wp:posOffset>
                </wp:positionV>
                <wp:extent cx="5411470" cy="2292350"/>
                <wp:effectExtent l="4445" t="4445" r="13335" b="8255"/>
                <wp:wrapNone/>
                <wp:docPr id="16" name="文本框 14"/>
                <wp:cNvGraphicFramePr/>
                <a:graphic xmlns:a="http://schemas.openxmlformats.org/drawingml/2006/main">
                  <a:graphicData uri="http://schemas.microsoft.com/office/word/2010/wordprocessingShape">
                    <wps:wsp>
                      <wps:cNvSpPr txBox="true"/>
                      <wps:spPr>
                        <a:xfrm>
                          <a:off x="0" y="0"/>
                          <a:ext cx="5411470" cy="2292350"/>
                        </a:xfrm>
                        <a:prstGeom prst="rect">
                          <a:avLst/>
                        </a:prstGeom>
                        <a:noFill/>
                        <a:ln w="6096" cap="flat" cmpd="sng">
                          <a:solidFill>
                            <a:srgbClr val="000000"/>
                          </a:solidFill>
                          <a:prstDash val="solid"/>
                          <a:miter/>
                          <a:headEnd type="none" w="med" len="med"/>
                          <a:tailEnd type="none" w="med" len="med"/>
                        </a:ln>
                      </wps:spPr>
                      <wps:txbx>
                        <w:txbxContent>
                          <w:p>
                            <w:pPr>
                              <w:tabs>
                                <w:tab w:val="left" w:pos="1051"/>
                              </w:tabs>
                              <w:spacing w:before="41"/>
                              <w:ind w:left="0" w:right="0" w:firstLine="0"/>
                              <w:jc w:val="center"/>
                              <w:rPr>
                                <w:b/>
                                <w:sz w:val="28"/>
                              </w:rPr>
                            </w:pPr>
                            <w:r>
                              <w:rPr>
                                <w:b/>
                                <w:sz w:val="28"/>
                              </w:rPr>
                              <w:t>专栏</w:t>
                            </w:r>
                            <w:r>
                              <w:rPr>
                                <w:b/>
                                <w:spacing w:val="-73"/>
                                <w:sz w:val="28"/>
                              </w:rPr>
                              <w:t xml:space="preserve"> </w:t>
                            </w:r>
                            <w:r>
                              <w:rPr>
                                <w:rFonts w:ascii="Times New Roman" w:eastAsia="Times New Roman"/>
                                <w:b/>
                                <w:sz w:val="28"/>
                              </w:rPr>
                              <w:t>5</w:t>
                            </w:r>
                            <w:r>
                              <w:rPr>
                                <w:rFonts w:ascii="Times New Roman" w:eastAsia="Times New Roman"/>
                                <w:b/>
                                <w:sz w:val="28"/>
                              </w:rPr>
                              <w:tab/>
                            </w:r>
                            <w:r>
                              <w:rPr>
                                <w:b/>
                                <w:sz w:val="28"/>
                              </w:rPr>
                              <w:t>传统产业改造提升重点项目</w:t>
                            </w:r>
                          </w:p>
                          <w:p>
                            <w:pPr>
                              <w:spacing w:before="42"/>
                              <w:ind w:left="0" w:right="0" w:firstLine="0"/>
                              <w:jc w:val="center"/>
                              <w:rPr>
                                <w:sz w:val="28"/>
                              </w:rPr>
                            </w:pPr>
                            <w:r>
                              <w:rPr>
                                <w:sz w:val="28"/>
                              </w:rPr>
                              <w:t xml:space="preserve">鑫迪家居工业 </w:t>
                            </w:r>
                            <w:r>
                              <w:rPr>
                                <w:rFonts w:ascii="Times New Roman" w:eastAsia="Times New Roman"/>
                                <w:sz w:val="28"/>
                              </w:rPr>
                              <w:t xml:space="preserve">4.0 </w:t>
                            </w:r>
                            <w:r>
                              <w:rPr>
                                <w:sz w:val="28"/>
                              </w:rPr>
                              <w:t>智能制造项目、今缘春生态酿酒园项目、爱啤士精</w:t>
                            </w:r>
                          </w:p>
                          <w:p>
                            <w:pPr>
                              <w:spacing w:before="39" w:line="266" w:lineRule="auto"/>
                              <w:ind w:left="103" w:right="100" w:firstLine="0"/>
                              <w:jc w:val="both"/>
                              <w:rPr>
                                <w:sz w:val="28"/>
                              </w:rPr>
                            </w:pPr>
                            <w:r>
                              <w:rPr>
                                <w:spacing w:val="-10"/>
                                <w:sz w:val="28"/>
                              </w:rPr>
                              <w:t xml:space="preserve">酿啤酒项目、丽博家居智能制造 </w:t>
                            </w:r>
                            <w:r>
                              <w:rPr>
                                <w:rFonts w:ascii="Times New Roman" w:eastAsia="Times New Roman"/>
                                <w:sz w:val="28"/>
                              </w:rPr>
                              <w:t xml:space="preserve">4.0 </w:t>
                            </w:r>
                            <w:r>
                              <w:rPr>
                                <w:spacing w:val="-4"/>
                                <w:sz w:val="28"/>
                              </w:rPr>
                              <w:t>项目、赛迪乐节能中空内置磁控</w:t>
                            </w:r>
                            <w:r>
                              <w:rPr>
                                <w:spacing w:val="-10"/>
                                <w:sz w:val="28"/>
                              </w:rPr>
                              <w:t>百叶窗生产项目、宇城玻璃新材料产业链高端智造项目、丰华玻璃中空内置磁控百叶窗项目、新远大新型石膏板项目、金晶玻璃四线技术</w:t>
                            </w:r>
                            <w:r>
                              <w:rPr>
                                <w:spacing w:val="-14"/>
                                <w:sz w:val="28"/>
                              </w:rPr>
                              <w:t xml:space="preserve">改造升级项目、华怡服装年产 </w:t>
                            </w:r>
                            <w:r>
                              <w:rPr>
                                <w:rFonts w:ascii="Times New Roman" w:eastAsia="Times New Roman"/>
                                <w:sz w:val="28"/>
                              </w:rPr>
                              <w:t xml:space="preserve">300 </w:t>
                            </w:r>
                            <w:r>
                              <w:rPr>
                                <w:spacing w:val="-9"/>
                                <w:sz w:val="28"/>
                              </w:rPr>
                              <w:t>万件服装加工项目、山东汇志无纺</w:t>
                            </w:r>
                            <w:r>
                              <w:rPr>
                                <w:spacing w:val="-12"/>
                                <w:sz w:val="28"/>
                              </w:rPr>
                              <w:t>布生产项目、通达海藻扩建项目、爱拉森高档非织造布及母婴用品生</w:t>
                            </w:r>
                            <w:r>
                              <w:rPr>
                                <w:spacing w:val="-15"/>
                                <w:sz w:val="28"/>
                              </w:rPr>
                              <w:t xml:space="preserve">产项目、山田橡胶科技年产 </w:t>
                            </w:r>
                            <w:r>
                              <w:rPr>
                                <w:rFonts w:ascii="Times New Roman" w:eastAsia="Times New Roman"/>
                                <w:sz w:val="28"/>
                              </w:rPr>
                              <w:t xml:space="preserve">900 </w:t>
                            </w:r>
                            <w:r>
                              <w:rPr>
                                <w:spacing w:val="-8"/>
                                <w:sz w:val="28"/>
                              </w:rPr>
                              <w:t>万套子午线轮胎项目、东郭水泥市政</w:t>
                            </w:r>
                            <w:r>
                              <w:rPr>
                                <w:spacing w:val="-3"/>
                                <w:sz w:val="28"/>
                              </w:rPr>
                              <w:t>污泥协同处置环保建设项目、鲁南中联新型干法水泥熟料项目</w:t>
                            </w:r>
                          </w:p>
                        </w:txbxContent>
                      </wps:txbx>
                      <wps:bodyPr lIns="0" tIns="0" rIns="0" bIns="0" upright="true"/>
                    </wps:wsp>
                  </a:graphicData>
                </a:graphic>
              </wp:anchor>
            </w:drawing>
          </mc:Choice>
          <mc:Fallback>
            <w:pict>
              <v:shape id="文本框 14" o:spid="_x0000_s1026" o:spt="202" type="#_x0000_t202" style="position:absolute;left:0pt;margin-left:84.55pt;margin-top:247.1pt;height:180.5pt;width:426.1pt;mso-position-horizontal-relative:page;z-index:-253434880;mso-width-relative:page;mso-height-relative:page;" filled="f" stroked="t" coordsize="21600,21600" o:gfxdata="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CqnudtgAAAAMAQAADwAA&#10;AAAAAAABACAAAAA4AAAAZHJzL2Rvd25yZXYueG1sUEsBAhQAFAAAAAgAh07iQLjo4xgAAgAA7AMA&#10;AA4AAAAAAAAAAQAgAAAAPQEAAGRycy9lMm9Eb2MueG1sUEsFBgAAAAAGAAYAWQEAAK8FAAAAAA==&#10;">
                <v:fill on="f" focussize="0,0"/>
                <v:stroke weight="0.48pt" color="#000000" joinstyle="miter"/>
                <v:imagedata o:title=""/>
                <o:lock v:ext="edit" aspectratio="f"/>
                <v:textbox inset="0mm,0mm,0mm,0mm">
                  <w:txbxContent>
                    <w:p>
                      <w:pPr>
                        <w:tabs>
                          <w:tab w:val="left" w:pos="1051"/>
                        </w:tabs>
                        <w:spacing w:before="41"/>
                        <w:ind w:left="0" w:right="0" w:firstLine="0"/>
                        <w:jc w:val="center"/>
                        <w:rPr>
                          <w:b/>
                          <w:sz w:val="28"/>
                        </w:rPr>
                      </w:pPr>
                      <w:r>
                        <w:rPr>
                          <w:b/>
                          <w:sz w:val="28"/>
                        </w:rPr>
                        <w:t>专栏</w:t>
                      </w:r>
                      <w:r>
                        <w:rPr>
                          <w:b/>
                          <w:spacing w:val="-73"/>
                          <w:sz w:val="28"/>
                        </w:rPr>
                        <w:t xml:space="preserve"> </w:t>
                      </w:r>
                      <w:r>
                        <w:rPr>
                          <w:rFonts w:ascii="Times New Roman" w:eastAsia="Times New Roman"/>
                          <w:b/>
                          <w:sz w:val="28"/>
                        </w:rPr>
                        <w:t>5</w:t>
                      </w:r>
                      <w:r>
                        <w:rPr>
                          <w:rFonts w:ascii="Times New Roman" w:eastAsia="Times New Roman"/>
                          <w:b/>
                          <w:sz w:val="28"/>
                        </w:rPr>
                        <w:tab/>
                      </w:r>
                      <w:r>
                        <w:rPr>
                          <w:b/>
                          <w:sz w:val="28"/>
                        </w:rPr>
                        <w:t>传统产业改造提升重点项目</w:t>
                      </w:r>
                    </w:p>
                    <w:p>
                      <w:pPr>
                        <w:spacing w:before="42"/>
                        <w:ind w:left="0" w:right="0" w:firstLine="0"/>
                        <w:jc w:val="center"/>
                        <w:rPr>
                          <w:sz w:val="28"/>
                        </w:rPr>
                      </w:pPr>
                      <w:r>
                        <w:rPr>
                          <w:sz w:val="28"/>
                        </w:rPr>
                        <w:t xml:space="preserve">鑫迪家居工业 </w:t>
                      </w:r>
                      <w:r>
                        <w:rPr>
                          <w:rFonts w:ascii="Times New Roman" w:eastAsia="Times New Roman"/>
                          <w:sz w:val="28"/>
                        </w:rPr>
                        <w:t xml:space="preserve">4.0 </w:t>
                      </w:r>
                      <w:r>
                        <w:rPr>
                          <w:sz w:val="28"/>
                        </w:rPr>
                        <w:t>智能制造项目、今缘春生态酿酒园项目、爱啤士精</w:t>
                      </w:r>
                    </w:p>
                    <w:p>
                      <w:pPr>
                        <w:spacing w:before="39" w:line="266" w:lineRule="auto"/>
                        <w:ind w:left="103" w:right="100" w:firstLine="0"/>
                        <w:jc w:val="both"/>
                        <w:rPr>
                          <w:sz w:val="28"/>
                        </w:rPr>
                      </w:pPr>
                      <w:r>
                        <w:rPr>
                          <w:spacing w:val="-10"/>
                          <w:sz w:val="28"/>
                        </w:rPr>
                        <w:t xml:space="preserve">酿啤酒项目、丽博家居智能制造 </w:t>
                      </w:r>
                      <w:r>
                        <w:rPr>
                          <w:rFonts w:ascii="Times New Roman" w:eastAsia="Times New Roman"/>
                          <w:sz w:val="28"/>
                        </w:rPr>
                        <w:t xml:space="preserve">4.0 </w:t>
                      </w:r>
                      <w:r>
                        <w:rPr>
                          <w:spacing w:val="-4"/>
                          <w:sz w:val="28"/>
                        </w:rPr>
                        <w:t>项目、赛迪乐节能中空内置磁控</w:t>
                      </w:r>
                      <w:r>
                        <w:rPr>
                          <w:spacing w:val="-10"/>
                          <w:sz w:val="28"/>
                        </w:rPr>
                        <w:t>百叶窗生产项目、宇城玻璃新材料产业链高端智造项目、丰华玻璃中空内置磁控百叶窗项目、新远大新型石膏板项目、金晶玻璃四线技术</w:t>
                      </w:r>
                      <w:r>
                        <w:rPr>
                          <w:spacing w:val="-14"/>
                          <w:sz w:val="28"/>
                        </w:rPr>
                        <w:t xml:space="preserve">改造升级项目、华怡服装年产 </w:t>
                      </w:r>
                      <w:r>
                        <w:rPr>
                          <w:rFonts w:ascii="Times New Roman" w:eastAsia="Times New Roman"/>
                          <w:sz w:val="28"/>
                        </w:rPr>
                        <w:t xml:space="preserve">300 </w:t>
                      </w:r>
                      <w:r>
                        <w:rPr>
                          <w:spacing w:val="-9"/>
                          <w:sz w:val="28"/>
                        </w:rPr>
                        <w:t>万件服装加工项目、山东汇志无纺</w:t>
                      </w:r>
                      <w:r>
                        <w:rPr>
                          <w:spacing w:val="-12"/>
                          <w:sz w:val="28"/>
                        </w:rPr>
                        <w:t>布生产项目、通达海藻扩建项目、爱拉森高档非织造布及母婴用品生</w:t>
                      </w:r>
                      <w:r>
                        <w:rPr>
                          <w:spacing w:val="-15"/>
                          <w:sz w:val="28"/>
                        </w:rPr>
                        <w:t xml:space="preserve">产项目、山田橡胶科技年产 </w:t>
                      </w:r>
                      <w:r>
                        <w:rPr>
                          <w:rFonts w:ascii="Times New Roman" w:eastAsia="Times New Roman"/>
                          <w:sz w:val="28"/>
                        </w:rPr>
                        <w:t xml:space="preserve">900 </w:t>
                      </w:r>
                      <w:r>
                        <w:rPr>
                          <w:spacing w:val="-8"/>
                          <w:sz w:val="28"/>
                        </w:rPr>
                        <w:t>万套子午线轮胎项目、东郭水泥市政</w:t>
                      </w:r>
                      <w:r>
                        <w:rPr>
                          <w:spacing w:val="-3"/>
                          <w:sz w:val="28"/>
                        </w:rPr>
                        <w:t>污泥协同处置环保建设项目、鲁南中联新型干法水泥熟料项目</w:t>
                      </w:r>
                    </w:p>
                  </w:txbxContent>
                </v:textbox>
              </v:shape>
            </w:pict>
          </mc:Fallback>
        </mc:AlternateContent>
      </w:r>
      <w:r>
        <w:rPr>
          <w:rFonts w:ascii="Times New Roman" w:hAnsi="Times New Roman" w:eastAsia="Times New Roman"/>
          <w:b/>
          <w:w w:val="95"/>
        </w:rPr>
        <w:t>——</w:t>
      </w:r>
      <w:r>
        <w:rPr>
          <w:b/>
          <w:spacing w:val="-9"/>
          <w:w w:val="95"/>
        </w:rPr>
        <w:t>家居装饰。</w:t>
      </w:r>
      <w:r>
        <w:rPr>
          <w:spacing w:val="-9"/>
          <w:w w:val="95"/>
        </w:rPr>
        <w:t xml:space="preserve">大力发展全屋定制、童车童床、纺织服装 </w:t>
      </w:r>
      <w:r>
        <w:rPr>
          <w:spacing w:val="-13"/>
        </w:rPr>
        <w:t>等行业，推动由制造向创造、由产品向品牌的转变，打造“时</w:t>
      </w:r>
      <w:r>
        <w:rPr>
          <w:spacing w:val="-13"/>
          <w:w w:val="95"/>
        </w:rPr>
        <w:t xml:space="preserve">尚、舒适、安全、环保、智能”的滕州品牌。依托鑫迪家居工 </w:t>
      </w:r>
      <w:r>
        <w:rPr>
          <w:spacing w:val="-50"/>
        </w:rPr>
        <w:t xml:space="preserve">业 </w:t>
      </w:r>
      <w:r>
        <w:t>4.0</w:t>
      </w:r>
      <w:r>
        <w:rPr>
          <w:spacing w:val="-16"/>
        </w:rPr>
        <w:t xml:space="preserve"> 智能制造产业园，打造全国最大的智能家居生产制造基</w:t>
      </w:r>
      <w:r>
        <w:rPr>
          <w:spacing w:val="-12"/>
        </w:rPr>
        <w:t>地。支持启迪亚都等骨干企业延伸产业链、提升价值链，扩大</w:t>
      </w:r>
      <w:r>
        <w:rPr>
          <w:spacing w:val="-18"/>
        </w:rPr>
        <w:t>智能全屋净化系统等终端产品生产规模，提高市场占有率。鼓</w:t>
      </w:r>
      <w:r>
        <w:rPr>
          <w:spacing w:val="-15"/>
          <w:w w:val="95"/>
        </w:rPr>
        <w:t xml:space="preserve">励小阿龙、万宝等企业研发新产品，积极向健康、环保、多元 </w:t>
      </w:r>
      <w:r>
        <w:rPr>
          <w:spacing w:val="-15"/>
        </w:rPr>
        <w:t>化方向发展，鼓励纺织服装企业发展大规模个性化定制等新型生产模式和产业形态。</w:t>
      </w: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ind w:left="0"/>
      </w:pPr>
    </w:p>
    <w:p>
      <w:pPr>
        <w:pStyle w:val="3"/>
        <w:spacing w:before="2"/>
        <w:ind w:left="0"/>
      </w:pPr>
    </w:p>
    <w:p>
      <w:pPr>
        <w:pStyle w:val="3"/>
        <w:tabs>
          <w:tab w:val="left" w:pos="1279"/>
        </w:tabs>
        <w:spacing w:before="1"/>
        <w:ind w:left="0" w:right="77"/>
        <w:jc w:val="center"/>
        <w:rPr>
          <w:rFonts w:hint="eastAsia" w:ascii="宋体" w:eastAsia="宋体"/>
        </w:rPr>
      </w:pPr>
      <w:bookmarkStart w:id="20" w:name="第二节  推进服务业提档升级"/>
      <w:bookmarkEnd w:id="20"/>
      <w:r>
        <w:rPr>
          <w:rFonts w:hint="eastAsia" w:ascii="宋体" w:eastAsia="宋体"/>
        </w:rPr>
        <w:t>第二节</w:t>
      </w:r>
      <w:r>
        <w:rPr>
          <w:rFonts w:hint="eastAsia" w:ascii="宋体" w:eastAsia="宋体"/>
        </w:rPr>
        <w:tab/>
      </w:r>
      <w:r>
        <w:rPr>
          <w:rFonts w:hint="eastAsia" w:ascii="宋体" w:eastAsia="宋体"/>
        </w:rPr>
        <w:t>推进服务业提档升级</w:t>
      </w:r>
    </w:p>
    <w:p>
      <w:pPr>
        <w:pStyle w:val="3"/>
        <w:spacing w:before="149" w:line="328" w:lineRule="auto"/>
        <w:ind w:right="266" w:firstLine="638"/>
      </w:pPr>
      <w:r>
        <w:rPr>
          <w:spacing w:val="-12"/>
        </w:rPr>
        <w:t xml:space="preserve">顺应经济服务化发展趋势，推动生产性服务业向专业化和价值链高端延伸，推动生活性服务业向高品质和多样化升级， </w:t>
      </w:r>
      <w:r>
        <w:rPr>
          <w:spacing w:val="-1"/>
          <w:w w:val="95"/>
        </w:rPr>
        <w:t>推动服务业加快扩大规模、拓展空间、优质高效、融合发展。</w:t>
      </w:r>
    </w:p>
    <w:p>
      <w:pPr>
        <w:pStyle w:val="3"/>
        <w:spacing w:line="328" w:lineRule="auto"/>
        <w:ind w:right="266" w:firstLine="638"/>
      </w:pPr>
      <w:r>
        <w:rPr>
          <w:rFonts w:ascii="Times New Roman" w:hAnsi="Times New Roman" w:eastAsia="Times New Roman"/>
          <w:b/>
        </w:rPr>
        <w:t>——</w:t>
      </w:r>
      <w:r>
        <w:rPr>
          <w:b/>
          <w:spacing w:val="-10"/>
        </w:rPr>
        <w:t>医养健康产业。</w:t>
      </w:r>
      <w:r>
        <w:rPr>
          <w:spacing w:val="-6"/>
        </w:rPr>
        <w:t>深度挖掘整合健康旅游资源，打造鲁</w:t>
      </w:r>
      <w:r>
        <w:rPr>
          <w:spacing w:val="-7"/>
          <w:w w:val="95"/>
        </w:rPr>
        <w:t>西南健康旅游示范基地；整合医疗、山水、中药等特色资源，</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9"/>
        </w:rPr>
        <w:t>打造全省医养健康产业发展高地；以国家紧密型县域医共体试</w:t>
      </w:r>
      <w:r>
        <w:rPr>
          <w:spacing w:val="-15"/>
        </w:rPr>
        <w:t>点县建设为契机，打造淮海经济区医疗和应急服务中心；发掘</w:t>
      </w:r>
      <w:r>
        <w:rPr>
          <w:spacing w:val="-17"/>
        </w:rPr>
        <w:t>中医药文化资源，打造国家中医药健康旅游示范基地。以医养</w:t>
      </w:r>
      <w:r>
        <w:rPr>
          <w:spacing w:val="-19"/>
        </w:rPr>
        <w:t>健康产业核心引领区为引领，以生物医药及医疗器械制造、温</w:t>
      </w:r>
      <w:r>
        <w:rPr>
          <w:spacing w:val="-18"/>
        </w:rPr>
        <w:t>泉健康养生养老、山地生态养生度假、湿地旅游休闲康养四个</w:t>
      </w:r>
      <w:r>
        <w:rPr>
          <w:spacing w:val="-22"/>
          <w:w w:val="95"/>
        </w:rPr>
        <w:t xml:space="preserve">片区为支撑，以市医养健康中心、高铁新区医养健康特色基地、 </w:t>
      </w:r>
      <w:r>
        <w:rPr>
          <w:spacing w:val="-19"/>
        </w:rPr>
        <w:t>洪绪温泉康养小镇、南沙河医养健康小镇、羊庄医养健康生态</w:t>
      </w:r>
      <w:r>
        <w:rPr>
          <w:spacing w:val="-14"/>
        </w:rPr>
        <w:t>镇、森林康养旅游基地、社区医养服务中心等为突破点，健全完善健康养老服务体系，推动健康医疗与体育、旅游、休闲、</w:t>
      </w:r>
      <w:r>
        <w:rPr>
          <w:spacing w:val="-16"/>
        </w:rPr>
        <w:t>养生融合发展，打造全省医养结合示范市。大力发展医疗卫生</w:t>
      </w:r>
      <w:r>
        <w:rPr>
          <w:spacing w:val="-14"/>
        </w:rPr>
        <w:t>事业，优化完善医疗资源配置，打造区域医疗高地。抓好市医</w:t>
      </w:r>
      <w:r>
        <w:rPr>
          <w:spacing w:val="-20"/>
        </w:rPr>
        <w:t>养健康中心暨中心人民医院新院区等项目建设，支持市养老综</w:t>
      </w:r>
      <w:r>
        <w:rPr>
          <w:spacing w:val="-17"/>
        </w:rPr>
        <w:t>合服务中心、龙河湾、金桂园等康养企业规模化发展，大力发</w:t>
      </w:r>
      <w:r>
        <w:rPr>
          <w:spacing w:val="-16"/>
        </w:rPr>
        <w:t>展生物医药、智能医疗器械、保健食品等医养健康产业，引导益康药业、威智医药、爱朵等企业加大生物药物、基因制药、</w:t>
      </w:r>
      <w:r>
        <w:rPr>
          <w:spacing w:val="-19"/>
        </w:rPr>
        <w:t>智能医疗护理设备研发，做强健康保健食品品牌，培育一批生</w:t>
      </w:r>
      <w:r>
        <w:rPr>
          <w:spacing w:val="-17"/>
        </w:rPr>
        <w:t>物医药龙头企业。以鲍沟、柴胡店、东郭、西岗、张汪等为重</w:t>
      </w:r>
      <w:r>
        <w:rPr>
          <w:spacing w:val="-14"/>
        </w:rPr>
        <w:t>点，突出道地药材种植，重点发展金银花、丹参、元宝枫等中</w:t>
      </w:r>
      <w:r>
        <w:rPr>
          <w:spacing w:val="-15"/>
        </w:rPr>
        <w:t xml:space="preserve">药材品种，打造鲁西南中药材基地。大力开发微山湖湿地、山地生态、中医药等健康旅游，推进医疗和旅游跨界融合。大力发展体育及运动康复等产业，坚持全生命周期健康管理理念， </w:t>
      </w:r>
      <w:r>
        <w:rPr>
          <w:spacing w:val="-18"/>
        </w:rPr>
        <w:t>培育发展健康管理产业。医养健康产业融合度和协同性进一步</w:t>
      </w:r>
      <w:r>
        <w:rPr>
          <w:spacing w:val="-15"/>
        </w:rPr>
        <w:t>增强，产业发展水平实现新的突破，建成一批技术先进的医疗</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jc w:val="both"/>
      </w:pPr>
      <w:r>
        <w:t xml:space="preserve">服务中心、健康养老中心、生物医药基地、健康旅游目的地， 涌现出健康大数据、智慧健康养老、智慧医疗等融合新业态， </w:t>
      </w:r>
      <w:r>
        <w:rPr>
          <w:spacing w:val="-18"/>
          <w:w w:val="95"/>
        </w:rPr>
        <w:t xml:space="preserve">全面建成产业集聚、特色鲜明、布局合理的医养健康产业体系， </w:t>
      </w:r>
      <w:r>
        <w:rPr>
          <w:spacing w:val="-18"/>
        </w:rPr>
        <w:t>构建覆盖居民全生命周期的医养健康服务体系。</w:t>
      </w:r>
    </w:p>
    <w:p>
      <w:pPr>
        <w:pStyle w:val="3"/>
        <w:ind w:left="307"/>
        <w:rPr>
          <w:sz w:val="20"/>
        </w:rPr>
      </w:pPr>
      <w:r>
        <w:rPr>
          <w:sz w:val="20"/>
        </w:rPr>
        <mc:AlternateContent>
          <mc:Choice Requires="wps">
            <w:drawing>
              <wp:inline distT="0" distB="0" distL="114300" distR="114300">
                <wp:extent cx="5411470" cy="1530350"/>
                <wp:effectExtent l="4445" t="4445" r="13335" b="8255"/>
                <wp:docPr id="28" name="文本框 15"/>
                <wp:cNvGraphicFramePr/>
                <a:graphic xmlns:a="http://schemas.openxmlformats.org/drawingml/2006/main">
                  <a:graphicData uri="http://schemas.microsoft.com/office/word/2010/wordprocessingShape">
                    <wps:wsp>
                      <wps:cNvSpPr txBox="true"/>
                      <wps:spPr>
                        <a:xfrm>
                          <a:off x="0" y="0"/>
                          <a:ext cx="5411470" cy="1530350"/>
                        </a:xfrm>
                        <a:prstGeom prst="rect">
                          <a:avLst/>
                        </a:prstGeom>
                        <a:noFill/>
                        <a:ln w="6096" cap="flat" cmpd="sng">
                          <a:solidFill>
                            <a:srgbClr val="000000"/>
                          </a:solidFill>
                          <a:prstDash val="solid"/>
                          <a:miter/>
                          <a:headEnd type="none" w="med" len="med"/>
                          <a:tailEnd type="none" w="med" len="med"/>
                        </a:ln>
                      </wps:spPr>
                      <wps:txbx>
                        <w:txbxContent>
                          <w:p>
                            <w:pPr>
                              <w:spacing w:before="42"/>
                              <w:ind w:left="2325" w:right="0" w:firstLine="0"/>
                              <w:jc w:val="both"/>
                              <w:rPr>
                                <w:b/>
                                <w:sz w:val="28"/>
                              </w:rPr>
                            </w:pPr>
                            <w:r>
                              <w:rPr>
                                <w:b/>
                                <w:spacing w:val="-25"/>
                                <w:sz w:val="28"/>
                              </w:rPr>
                              <w:t xml:space="preserve">专栏 </w:t>
                            </w:r>
                            <w:r>
                              <w:rPr>
                                <w:rFonts w:ascii="Times New Roman" w:eastAsia="Times New Roman"/>
                                <w:b/>
                                <w:sz w:val="28"/>
                              </w:rPr>
                              <w:t>6</w:t>
                            </w:r>
                            <w:r>
                              <w:rPr>
                                <w:rFonts w:ascii="Times New Roman" w:eastAsia="Times New Roman"/>
                                <w:b/>
                                <w:spacing w:val="69"/>
                                <w:sz w:val="28"/>
                              </w:rPr>
                              <w:t xml:space="preserve"> </w:t>
                            </w:r>
                            <w:r>
                              <w:rPr>
                                <w:b/>
                                <w:sz w:val="28"/>
                              </w:rPr>
                              <w:t>医养健康产业重点项目</w:t>
                            </w:r>
                          </w:p>
                          <w:p>
                            <w:pPr>
                              <w:spacing w:before="39" w:line="266" w:lineRule="auto"/>
                              <w:ind w:left="103" w:right="98" w:firstLine="0"/>
                              <w:jc w:val="both"/>
                              <w:rPr>
                                <w:sz w:val="28"/>
                              </w:rPr>
                            </w:pPr>
                            <w:r>
                              <w:rPr>
                                <w:spacing w:val="-8"/>
                                <w:sz w:val="28"/>
                              </w:rPr>
                              <w:t>全国县域紧密型医共体建设试点县项目、市医养健康中心、市老年服</w:t>
                            </w:r>
                            <w:r>
                              <w:rPr>
                                <w:spacing w:val="-10"/>
                                <w:sz w:val="28"/>
                              </w:rPr>
                              <w:t>务中心医养护理院项目、中国光大美铭康养温泉小镇、市养老福利中</w:t>
                            </w:r>
                            <w:r>
                              <w:rPr>
                                <w:spacing w:val="-11"/>
                                <w:sz w:val="28"/>
                              </w:rPr>
                              <w:t>心、善南医养健康产业基地、金桂园康养中心、永安科技人工心脏项</w:t>
                            </w:r>
                            <w:r>
                              <w:rPr>
                                <w:spacing w:val="3"/>
                                <w:sz w:val="28"/>
                              </w:rPr>
                              <w:t>目、良医智能医疗项目、西岗镇康复养老中心建设项目、核磁检测</w:t>
                            </w:r>
                          </w:p>
                          <w:p>
                            <w:pPr>
                              <w:spacing w:before="8"/>
                              <w:ind w:left="103" w:right="0" w:firstLine="0"/>
                              <w:jc w:val="left"/>
                              <w:rPr>
                                <w:sz w:val="28"/>
                              </w:rPr>
                            </w:pPr>
                            <w:r>
                              <w:rPr>
                                <w:sz w:val="28"/>
                              </w:rPr>
                              <w:t>（</w:t>
                            </w:r>
                            <w:r>
                              <w:rPr>
                                <w:rFonts w:ascii="Times New Roman" w:eastAsia="Times New Roman"/>
                                <w:sz w:val="28"/>
                              </w:rPr>
                              <w:t>MRI</w:t>
                            </w:r>
                            <w:r>
                              <w:rPr>
                                <w:sz w:val="28"/>
                              </w:rPr>
                              <w:t>）试剂研发与产业化项目</w:t>
                            </w:r>
                          </w:p>
                        </w:txbxContent>
                      </wps:txbx>
                      <wps:bodyPr lIns="0" tIns="0" rIns="0" bIns="0" upright="true"/>
                    </wps:wsp>
                  </a:graphicData>
                </a:graphic>
              </wp:inline>
            </w:drawing>
          </mc:Choice>
          <mc:Fallback>
            <w:pict>
              <v:shape id="文本框 15" o:spid="_x0000_s1026" o:spt="202" type="#_x0000_t202" style="height:120.5pt;width:426.1pt;" filled="f" stroked="t" coordsize="21600,21600" o:gfxdata="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838av1AAAAAUBAAAPAAAAAAAA&#10;AAEAIAAAADgAAABkcnMvZG93bnJldi54bWxQSwECFAAUAAAACACHTuJAsF+0/wACAADsAwAADgAA&#10;AAAAAAABACAAAAA5AQAAZHJzL2Uyb0RvYy54bWxQSwUGAAAAAAYABgBZAQAAqwUAAAAA&#10;">
                <v:fill on="f" focussize="0,0"/>
                <v:stroke weight="0.48pt" color="#000000" joinstyle="miter"/>
                <v:imagedata o:title=""/>
                <o:lock v:ext="edit" aspectratio="f"/>
                <v:textbox inset="0mm,0mm,0mm,0mm">
                  <w:txbxContent>
                    <w:p>
                      <w:pPr>
                        <w:spacing w:before="42"/>
                        <w:ind w:left="2325" w:right="0" w:firstLine="0"/>
                        <w:jc w:val="both"/>
                        <w:rPr>
                          <w:b/>
                          <w:sz w:val="28"/>
                        </w:rPr>
                      </w:pPr>
                      <w:r>
                        <w:rPr>
                          <w:b/>
                          <w:spacing w:val="-25"/>
                          <w:sz w:val="28"/>
                        </w:rPr>
                        <w:t xml:space="preserve">专栏 </w:t>
                      </w:r>
                      <w:r>
                        <w:rPr>
                          <w:rFonts w:ascii="Times New Roman" w:eastAsia="Times New Roman"/>
                          <w:b/>
                          <w:sz w:val="28"/>
                        </w:rPr>
                        <w:t>6</w:t>
                      </w:r>
                      <w:r>
                        <w:rPr>
                          <w:rFonts w:ascii="Times New Roman" w:eastAsia="Times New Roman"/>
                          <w:b/>
                          <w:spacing w:val="69"/>
                          <w:sz w:val="28"/>
                        </w:rPr>
                        <w:t xml:space="preserve"> </w:t>
                      </w:r>
                      <w:r>
                        <w:rPr>
                          <w:b/>
                          <w:sz w:val="28"/>
                        </w:rPr>
                        <w:t>医养健康产业重点项目</w:t>
                      </w:r>
                    </w:p>
                    <w:p>
                      <w:pPr>
                        <w:spacing w:before="39" w:line="266" w:lineRule="auto"/>
                        <w:ind w:left="103" w:right="98" w:firstLine="0"/>
                        <w:jc w:val="both"/>
                        <w:rPr>
                          <w:sz w:val="28"/>
                        </w:rPr>
                      </w:pPr>
                      <w:r>
                        <w:rPr>
                          <w:spacing w:val="-8"/>
                          <w:sz w:val="28"/>
                        </w:rPr>
                        <w:t>全国县域紧密型医共体建设试点县项目、市医养健康中心、市老年服</w:t>
                      </w:r>
                      <w:r>
                        <w:rPr>
                          <w:spacing w:val="-10"/>
                          <w:sz w:val="28"/>
                        </w:rPr>
                        <w:t>务中心医养护理院项目、中国光大美铭康养温泉小镇、市养老福利中</w:t>
                      </w:r>
                      <w:r>
                        <w:rPr>
                          <w:spacing w:val="-11"/>
                          <w:sz w:val="28"/>
                        </w:rPr>
                        <w:t>心、善南医养健康产业基地、金桂园康养中心、永安科技人工心脏项</w:t>
                      </w:r>
                      <w:r>
                        <w:rPr>
                          <w:spacing w:val="3"/>
                          <w:sz w:val="28"/>
                        </w:rPr>
                        <w:t>目、良医智能医疗项目、西岗镇康复养老中心建设项目、核磁检测</w:t>
                      </w:r>
                    </w:p>
                    <w:p>
                      <w:pPr>
                        <w:spacing w:before="8"/>
                        <w:ind w:left="103" w:right="0" w:firstLine="0"/>
                        <w:jc w:val="left"/>
                        <w:rPr>
                          <w:sz w:val="28"/>
                        </w:rPr>
                      </w:pPr>
                      <w:r>
                        <w:rPr>
                          <w:sz w:val="28"/>
                        </w:rPr>
                        <w:t>（</w:t>
                      </w:r>
                      <w:r>
                        <w:rPr>
                          <w:rFonts w:ascii="Times New Roman" w:eastAsia="Times New Roman"/>
                          <w:sz w:val="28"/>
                        </w:rPr>
                        <w:t>MRI</w:t>
                      </w:r>
                      <w:r>
                        <w:rPr>
                          <w:sz w:val="28"/>
                        </w:rPr>
                        <w:t>）试剂研发与产业化项目</w:t>
                      </w:r>
                    </w:p>
                  </w:txbxContent>
                </v:textbox>
                <w10:wrap type="none"/>
                <w10:anchorlock/>
              </v:shape>
            </w:pict>
          </mc:Fallback>
        </mc:AlternateContent>
      </w:r>
    </w:p>
    <w:p>
      <w:pPr>
        <w:pStyle w:val="3"/>
        <w:spacing w:before="79" w:line="328" w:lineRule="auto"/>
        <w:ind w:right="266" w:firstLine="638"/>
      </w:pPr>
      <w:r>
        <w:rPr>
          <w:rFonts w:ascii="Times New Roman" w:hAnsi="Times New Roman" w:eastAsia="Times New Roman"/>
          <w:b/>
        </w:rPr>
        <w:t>——</w:t>
      </w:r>
      <w:r>
        <w:rPr>
          <w:b/>
          <w:spacing w:val="-10"/>
        </w:rPr>
        <w:t>文创旅游产业。</w:t>
      </w:r>
      <w:r>
        <w:rPr>
          <w:spacing w:val="-7"/>
        </w:rPr>
        <w:t>创新传承墨子创新精神、鲁班工匠精</w:t>
      </w:r>
      <w:r>
        <w:rPr>
          <w:spacing w:val="-8"/>
        </w:rPr>
        <w:t xml:space="preserve">神，以创建国家全域旅游示范区为引领，聚焦文旅产业振兴， </w:t>
      </w:r>
      <w:r>
        <w:rPr>
          <w:spacing w:val="5"/>
        </w:rPr>
        <w:t>加快文旅高质量发展，实现打造鲁南文化旅游核心区和目的</w:t>
      </w:r>
      <w:r>
        <w:rPr>
          <w:spacing w:val="-12"/>
        </w:rPr>
        <w:t>地、文化旅游融合发展示范区、文化旅游强市三大目标。实施</w:t>
      </w:r>
      <w:r>
        <w:rPr>
          <w:spacing w:val="-16"/>
        </w:rPr>
        <w:t>文化产业培育工程，争创国家、省文化示范园区，培育壮大红鹦鹉公司、九伍传媒、鲁班天工木艺、智业集团、巧林榫卯积</w:t>
      </w:r>
      <w:r>
        <w:rPr>
          <w:spacing w:val="-18"/>
        </w:rPr>
        <w:t>木等龙头骨干文化企业，做大做强墨子鲁班文创产品及木制品</w:t>
      </w:r>
      <w:r>
        <w:rPr>
          <w:spacing w:val="-16"/>
        </w:rPr>
        <w:t>智能制造、盛凯文玺文创产业园、红鹦鹉直播电商基地等文化</w:t>
      </w:r>
      <w:r>
        <w:rPr>
          <w:spacing w:val="-15"/>
        </w:rPr>
        <w:t xml:space="preserve">产业项目，持续开展文化惠民消费季，办好红荷节、墨子鲁班文化节、滕州书展、温泉文化旅游节等品牌节会，深入扩大文化消费，争创省级文化消费示范市。实施旅游项目带动工程， </w:t>
      </w:r>
      <w:r>
        <w:rPr>
          <w:spacing w:val="-12"/>
        </w:rPr>
        <w:t>牢固树立“项目为王”的理念，主动对接合作资源库企业，加</w:t>
      </w:r>
      <w:r>
        <w:rPr>
          <w:spacing w:val="-16"/>
        </w:rPr>
        <w:t>大招商引资力度，推动墨子文化城、微山湖旅游度假区、光大</w:t>
      </w:r>
      <w:r>
        <w:rPr>
          <w:spacing w:val="-18"/>
        </w:rPr>
        <w:t>美铭康养温泉小镇、微山湖红荷水镇、蓝城鲁班田园小镇、莲</w:t>
      </w:r>
      <w:r>
        <w:rPr>
          <w:spacing w:val="-21"/>
        </w:rPr>
        <w:t>青山景区深度开发等重点旅游项目建设。实施龙头景区壮大工</w:t>
      </w:r>
    </w:p>
    <w:p>
      <w:pPr>
        <w:spacing w:after="0" w:line="328" w:lineRule="auto"/>
        <w:sectPr>
          <w:pgSz w:w="11910" w:h="16840"/>
          <w:pgMar w:top="1580" w:right="1300" w:bottom="1540" w:left="1380" w:header="0" w:footer="1346" w:gutter="0"/>
          <w:cols w:space="720" w:num="1"/>
        </w:sectPr>
      </w:pPr>
    </w:p>
    <w:p>
      <w:pPr>
        <w:pStyle w:val="3"/>
        <w:ind w:left="0"/>
        <w:rPr>
          <w:sz w:val="13"/>
        </w:rPr>
      </w:pPr>
    </w:p>
    <w:p>
      <w:pPr>
        <w:pStyle w:val="3"/>
        <w:spacing w:before="64" w:line="328" w:lineRule="auto"/>
        <w:ind w:right="238"/>
      </w:pPr>
      <w:r>
        <w:rPr>
          <w:spacing w:val="-5"/>
        </w:rPr>
        <w:t xml:space="preserve">程，加快微山湖红荷湿地景区创建国家 </w:t>
      </w:r>
      <w:r>
        <w:rPr>
          <w:rFonts w:ascii="Times New Roman" w:hAnsi="Times New Roman" w:eastAsia="Times New Roman"/>
        </w:rPr>
        <w:t>5A</w:t>
      </w:r>
      <w:r>
        <w:t>级景区和国家级旅</w:t>
      </w:r>
      <w:r>
        <w:rPr>
          <w:spacing w:val="-4"/>
        </w:rPr>
        <w:t xml:space="preserve">游度假区步伐，积极推动墨子文化城争创国家 </w:t>
      </w:r>
      <w:r>
        <w:rPr>
          <w:rFonts w:ascii="Times New Roman" w:hAnsi="Times New Roman" w:eastAsia="Times New Roman"/>
        </w:rPr>
        <w:t>5A</w:t>
      </w:r>
      <w:r>
        <w:t>级景区，莲</w:t>
      </w:r>
      <w:r>
        <w:rPr>
          <w:spacing w:val="-5"/>
        </w:rPr>
        <w:t xml:space="preserve">青山、龙山龙湖等景区创建国家 </w:t>
      </w:r>
      <w:r>
        <w:rPr>
          <w:rFonts w:ascii="Times New Roman" w:hAnsi="Times New Roman" w:eastAsia="Times New Roman"/>
        </w:rPr>
        <w:t>4A</w:t>
      </w:r>
      <w:r>
        <w:t>级景区。实施旅游业态丰富工程，加快“旅游</w:t>
      </w:r>
      <w:r>
        <w:rPr>
          <w:rFonts w:ascii="Times New Roman" w:hAnsi="Times New Roman" w:eastAsia="Times New Roman"/>
        </w:rPr>
        <w:t>+</w:t>
      </w:r>
      <w:r>
        <w:t>”融合发展，丰富研学游、考古游、近</w:t>
      </w:r>
      <w:r>
        <w:rPr>
          <w:spacing w:val="-12"/>
        </w:rPr>
        <w:t>郊游、红色游、工业游、乡村游、节会游、运动休闲旅游、健</w:t>
      </w:r>
      <w:r>
        <w:rPr>
          <w:spacing w:val="-21"/>
        </w:rPr>
        <w:t>康养生旅游，完善旅游产业链，着力构建全业融合、全景建设、全民参与的全域化发展格局。实施旅游质量提升工程，打造旅</w:t>
      </w:r>
      <w:r>
        <w:rPr>
          <w:spacing w:val="-22"/>
          <w:w w:val="95"/>
        </w:rPr>
        <w:t xml:space="preserve">游交通精品工程，加强文创旅游商品开发，加快星级酒店发展， </w:t>
      </w:r>
      <w:r>
        <w:rPr>
          <w:spacing w:val="-22"/>
        </w:rPr>
        <w:t>强化旅游信用体系和智慧旅游公共服务网络体系建设，策划、</w:t>
      </w:r>
      <w:r>
        <w:rPr>
          <w:spacing w:val="-11"/>
          <w:w w:val="99"/>
        </w:rPr>
        <w:t>包装、推出各具特色的“一日游”“二日游”等旅游产品，吸</w:t>
      </w:r>
      <w:r>
        <w:rPr>
          <w:spacing w:val="-16"/>
        </w:rPr>
        <w:t>引更多的游客齐聚滕州。优化产业要素，完善产品体系，提升服务品质，持续实施“文旅+”融合发展战略，打造国家文化生态度假目的地。</w:t>
      </w:r>
    </w:p>
    <w:p>
      <w:pPr>
        <w:pStyle w:val="3"/>
        <w:ind w:left="454"/>
        <w:rPr>
          <w:sz w:val="20"/>
        </w:rPr>
      </w:pPr>
      <w:r>
        <w:rPr>
          <w:sz w:val="20"/>
        </w:rPr>
        <mc:AlternateContent>
          <mc:Choice Requires="wps">
            <w:drawing>
              <wp:inline distT="0" distB="0" distL="114300" distR="114300">
                <wp:extent cx="5411470" cy="3130550"/>
                <wp:effectExtent l="4445" t="4445" r="13335" b="8255"/>
                <wp:docPr id="30" name="文本框 16"/>
                <wp:cNvGraphicFramePr/>
                <a:graphic xmlns:a="http://schemas.openxmlformats.org/drawingml/2006/main">
                  <a:graphicData uri="http://schemas.microsoft.com/office/word/2010/wordprocessingShape">
                    <wps:wsp>
                      <wps:cNvSpPr txBox="true"/>
                      <wps:spPr>
                        <a:xfrm>
                          <a:off x="0" y="0"/>
                          <a:ext cx="5411470" cy="3130550"/>
                        </a:xfrm>
                        <a:prstGeom prst="rect">
                          <a:avLst/>
                        </a:prstGeom>
                        <a:noFill/>
                        <a:ln w="6096" cap="flat" cmpd="sng">
                          <a:solidFill>
                            <a:srgbClr val="000000"/>
                          </a:solidFill>
                          <a:prstDash val="solid"/>
                          <a:miter/>
                          <a:headEnd type="none" w="med" len="med"/>
                          <a:tailEnd type="none" w="med" len="med"/>
                        </a:ln>
                      </wps:spPr>
                      <wps:txbx>
                        <w:txbxContent>
                          <w:p>
                            <w:pPr>
                              <w:tabs>
                                <w:tab w:val="left" w:pos="3376"/>
                              </w:tabs>
                              <w:spacing w:before="40"/>
                              <w:ind w:left="2324" w:right="0" w:firstLine="0"/>
                              <w:jc w:val="left"/>
                              <w:rPr>
                                <w:b/>
                                <w:sz w:val="28"/>
                              </w:rPr>
                            </w:pPr>
                            <w:r>
                              <w:rPr>
                                <w:b/>
                                <w:sz w:val="28"/>
                              </w:rPr>
                              <w:t>专栏</w:t>
                            </w:r>
                            <w:r>
                              <w:rPr>
                                <w:b/>
                                <w:spacing w:val="-73"/>
                                <w:sz w:val="28"/>
                              </w:rPr>
                              <w:t xml:space="preserve"> </w:t>
                            </w:r>
                            <w:r>
                              <w:rPr>
                                <w:rFonts w:ascii="Times New Roman" w:eastAsia="Times New Roman"/>
                                <w:b/>
                                <w:sz w:val="28"/>
                              </w:rPr>
                              <w:t>7</w:t>
                            </w:r>
                            <w:r>
                              <w:rPr>
                                <w:rFonts w:ascii="Times New Roman" w:eastAsia="Times New Roman"/>
                                <w:b/>
                                <w:sz w:val="28"/>
                              </w:rPr>
                              <w:tab/>
                            </w:r>
                            <w:r>
                              <w:rPr>
                                <w:b/>
                                <w:sz w:val="28"/>
                              </w:rPr>
                              <w:t>文创旅游产业重点项目</w:t>
                            </w:r>
                          </w:p>
                          <w:p>
                            <w:pPr>
                              <w:spacing w:before="42" w:line="268" w:lineRule="auto"/>
                              <w:ind w:left="102" w:right="5" w:firstLine="0"/>
                              <w:jc w:val="left"/>
                              <w:rPr>
                                <w:sz w:val="28"/>
                              </w:rPr>
                            </w:pPr>
                            <w:r>
                              <w:rPr>
                                <w:spacing w:val="-11"/>
                                <w:sz w:val="28"/>
                              </w:rPr>
                              <w:t>墨子文化城、微山湖旅游度假区、中国光大美铭康养温泉小镇、莲青山景区深度开发、龙山龙湖景区深度开发、滕国故城文化旅游区、荆河湿地公园、微山湖红荷水镇、红荷湿地温泉生态康养度假村项目、蓝城鲁班田园小镇、鲁中南文物保护考古研究中心</w:t>
                            </w:r>
                            <w:r>
                              <w:rPr>
                                <w:spacing w:val="-3"/>
                                <w:sz w:val="28"/>
                              </w:rPr>
                              <w:t>（岗上遗址保护与展示工程</w:t>
                            </w:r>
                            <w:r>
                              <w:rPr>
                                <w:spacing w:val="-25"/>
                                <w:sz w:val="28"/>
                              </w:rPr>
                              <w:t>）</w:t>
                            </w:r>
                            <w:r>
                              <w:rPr>
                                <w:spacing w:val="-10"/>
                                <w:sz w:val="28"/>
                              </w:rPr>
                              <w:t>、墨子书院二期工程、界河生态文化长廊、葫芦套影视文化旅游区、接官巷历史文化街区、鲍沟工艺玻璃创意基地、墨子鲁班文创产品</w:t>
                            </w:r>
                            <w:r>
                              <w:rPr>
                                <w:spacing w:val="-13"/>
                                <w:sz w:val="28"/>
                              </w:rPr>
                              <w:t>及木制品智能制造、盛凯文玺文创产业园、红鹦鹉直播电商基地、北沙河湿地公园、九龙湾湿地公园、“善国田园”青少年劳动实践教育基地</w:t>
                            </w:r>
                            <w:r>
                              <w:rPr>
                                <w:spacing w:val="-3"/>
                                <w:sz w:val="28"/>
                              </w:rPr>
                              <w:t>（研学旅行集散服务中心</w:t>
                            </w:r>
                            <w:r>
                              <w:rPr>
                                <w:spacing w:val="-25"/>
                                <w:sz w:val="28"/>
                              </w:rPr>
                              <w:t>）</w:t>
                            </w:r>
                            <w:r>
                              <w:rPr>
                                <w:spacing w:val="-10"/>
                                <w:sz w:val="28"/>
                              </w:rPr>
                              <w:t>、金蜗牛房车营地、滕州海洋乐园、德意君瑞商业综合体、李沟山居休闲旅游度假区、巧林榫卯文化创意项目</w:t>
                            </w:r>
                          </w:p>
                        </w:txbxContent>
                      </wps:txbx>
                      <wps:bodyPr lIns="0" tIns="0" rIns="0" bIns="0" upright="true"/>
                    </wps:wsp>
                  </a:graphicData>
                </a:graphic>
              </wp:inline>
            </w:drawing>
          </mc:Choice>
          <mc:Fallback>
            <w:pict>
              <v:shape id="文本框 16" o:spid="_x0000_s1026" o:spt="202" type="#_x0000_t202" style="height:246.5pt;width:426.1pt;" filled="f" stroked="t" coordsize="21600,21600" o:gfxdata="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KN9KL/UAAAABQEAAA8AAAAAAAAA&#10;AQAgAAAAOAAAAGRycy9kb3ducmV2LnhtbFBLAQIUABQAAAAIAIdO4kChf+XU/wEAAOwDAAAOAAAA&#10;AAAAAAEAIAAAADkBAABkcnMvZTJvRG9jLnhtbFBLBQYAAAAABgAGAFkBAACqBQAAAAA=&#10;">
                <v:fill on="f" focussize="0,0"/>
                <v:stroke weight="0.48pt" color="#000000" joinstyle="miter"/>
                <v:imagedata o:title=""/>
                <o:lock v:ext="edit" aspectratio="f"/>
                <v:textbox inset="0mm,0mm,0mm,0mm">
                  <w:txbxContent>
                    <w:p>
                      <w:pPr>
                        <w:tabs>
                          <w:tab w:val="left" w:pos="3376"/>
                        </w:tabs>
                        <w:spacing w:before="40"/>
                        <w:ind w:left="2324" w:right="0" w:firstLine="0"/>
                        <w:jc w:val="left"/>
                        <w:rPr>
                          <w:b/>
                          <w:sz w:val="28"/>
                        </w:rPr>
                      </w:pPr>
                      <w:r>
                        <w:rPr>
                          <w:b/>
                          <w:sz w:val="28"/>
                        </w:rPr>
                        <w:t>专栏</w:t>
                      </w:r>
                      <w:r>
                        <w:rPr>
                          <w:b/>
                          <w:spacing w:val="-73"/>
                          <w:sz w:val="28"/>
                        </w:rPr>
                        <w:t xml:space="preserve"> </w:t>
                      </w:r>
                      <w:r>
                        <w:rPr>
                          <w:rFonts w:ascii="Times New Roman" w:eastAsia="Times New Roman"/>
                          <w:b/>
                          <w:sz w:val="28"/>
                        </w:rPr>
                        <w:t>7</w:t>
                      </w:r>
                      <w:r>
                        <w:rPr>
                          <w:rFonts w:ascii="Times New Roman" w:eastAsia="Times New Roman"/>
                          <w:b/>
                          <w:sz w:val="28"/>
                        </w:rPr>
                        <w:tab/>
                      </w:r>
                      <w:r>
                        <w:rPr>
                          <w:b/>
                          <w:sz w:val="28"/>
                        </w:rPr>
                        <w:t>文创旅游产业重点项目</w:t>
                      </w:r>
                    </w:p>
                    <w:p>
                      <w:pPr>
                        <w:spacing w:before="42" w:line="268" w:lineRule="auto"/>
                        <w:ind w:left="102" w:right="5" w:firstLine="0"/>
                        <w:jc w:val="left"/>
                        <w:rPr>
                          <w:sz w:val="28"/>
                        </w:rPr>
                      </w:pPr>
                      <w:r>
                        <w:rPr>
                          <w:spacing w:val="-11"/>
                          <w:sz w:val="28"/>
                        </w:rPr>
                        <w:t>墨子文化城、微山湖旅游度假区、中国光大美铭康养温泉小镇、莲青山景区深度开发、龙山龙湖景区深度开发、滕国故城文化旅游区、荆河湿地公园、微山湖红荷水镇、红荷湿地温泉生态康养度假村项目、蓝城鲁班田园小镇、鲁中南文物保护考古研究中心</w:t>
                      </w:r>
                      <w:r>
                        <w:rPr>
                          <w:spacing w:val="-3"/>
                          <w:sz w:val="28"/>
                        </w:rPr>
                        <w:t>（岗上遗址保护与展示工程</w:t>
                      </w:r>
                      <w:r>
                        <w:rPr>
                          <w:spacing w:val="-25"/>
                          <w:sz w:val="28"/>
                        </w:rPr>
                        <w:t>）</w:t>
                      </w:r>
                      <w:r>
                        <w:rPr>
                          <w:spacing w:val="-10"/>
                          <w:sz w:val="28"/>
                        </w:rPr>
                        <w:t>、墨子书院二期工程、界河生态文化长廊、葫芦套影视文化旅游区、接官巷历史文化街区、鲍沟工艺玻璃创意基地、墨子鲁班文创产品</w:t>
                      </w:r>
                      <w:r>
                        <w:rPr>
                          <w:spacing w:val="-13"/>
                          <w:sz w:val="28"/>
                        </w:rPr>
                        <w:t>及木制品智能制造、盛凯文玺文创产业园、红鹦鹉直播电商基地、北沙河湿地公园、九龙湾湿地公园、“善国田园”青少年劳动实践教育基地</w:t>
                      </w:r>
                      <w:r>
                        <w:rPr>
                          <w:spacing w:val="-3"/>
                          <w:sz w:val="28"/>
                        </w:rPr>
                        <w:t>（研学旅行集散服务中心</w:t>
                      </w:r>
                      <w:r>
                        <w:rPr>
                          <w:spacing w:val="-25"/>
                          <w:sz w:val="28"/>
                        </w:rPr>
                        <w:t>）</w:t>
                      </w:r>
                      <w:r>
                        <w:rPr>
                          <w:spacing w:val="-10"/>
                          <w:sz w:val="28"/>
                        </w:rPr>
                        <w:t>、金蜗牛房车营地、滕州海洋乐园、德意君瑞商业综合体、李沟山居休闲旅游度假区、巧林榫卯文化创意项目</w:t>
                      </w:r>
                    </w:p>
                  </w:txbxContent>
                </v:textbox>
                <w10:wrap type="none"/>
                <w10:anchorlock/>
              </v:shape>
            </w:pict>
          </mc:Fallback>
        </mc:AlternateContent>
      </w:r>
    </w:p>
    <w:p>
      <w:pPr>
        <w:spacing w:before="85"/>
        <w:ind w:left="960" w:right="0" w:firstLine="0"/>
        <w:jc w:val="left"/>
        <w:rPr>
          <w:sz w:val="32"/>
        </w:rPr>
      </w:pPr>
      <w:r>
        <w:rPr>
          <w:rFonts w:ascii="Times New Roman" w:hAnsi="Times New Roman" w:eastAsia="Times New Roman"/>
          <w:b/>
          <w:sz w:val="32"/>
        </w:rPr>
        <w:t>——</w:t>
      </w:r>
      <w:r>
        <w:rPr>
          <w:b/>
          <w:sz w:val="32"/>
        </w:rPr>
        <w:t>商贸物流产业。</w:t>
      </w:r>
      <w:r>
        <w:rPr>
          <w:sz w:val="32"/>
        </w:rPr>
        <w:t>围绕全国知名商贸集散地的产业定</w:t>
      </w:r>
    </w:p>
    <w:p>
      <w:pPr>
        <w:spacing w:after="0"/>
        <w:jc w:val="left"/>
        <w:rPr>
          <w:sz w:val="32"/>
        </w:rPr>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38"/>
      </w:pPr>
      <w:r>
        <mc:AlternateContent>
          <mc:Choice Requires="wps">
            <w:drawing>
              <wp:anchor distT="0" distB="0" distL="0" distR="0" simplePos="0" relativeHeight="251674624" behindDoc="1" locked="0" layoutInCell="1" allowOverlap="1">
                <wp:simplePos x="0" y="0"/>
                <wp:positionH relativeFrom="page">
                  <wp:posOffset>1073785</wp:posOffset>
                </wp:positionH>
                <wp:positionV relativeFrom="paragraph">
                  <wp:posOffset>4008120</wp:posOffset>
                </wp:positionV>
                <wp:extent cx="5411470" cy="2800350"/>
                <wp:effectExtent l="4445" t="4445" r="13335" b="14605"/>
                <wp:wrapTopAndBottom/>
                <wp:docPr id="46" name="文本框 17"/>
                <wp:cNvGraphicFramePr/>
                <a:graphic xmlns:a="http://schemas.openxmlformats.org/drawingml/2006/main">
                  <a:graphicData uri="http://schemas.microsoft.com/office/word/2010/wordprocessingShape">
                    <wps:wsp>
                      <wps:cNvSpPr txBox="true"/>
                      <wps:spPr>
                        <a:xfrm>
                          <a:off x="0" y="0"/>
                          <a:ext cx="5411470" cy="2800350"/>
                        </a:xfrm>
                        <a:prstGeom prst="rect">
                          <a:avLst/>
                        </a:prstGeom>
                        <a:noFill/>
                        <a:ln w="6096" cap="flat" cmpd="sng">
                          <a:solidFill>
                            <a:srgbClr val="000000"/>
                          </a:solidFill>
                          <a:prstDash val="solid"/>
                          <a:miter/>
                          <a:headEnd type="none" w="med" len="med"/>
                          <a:tailEnd type="none" w="med" len="med"/>
                        </a:ln>
                      </wps:spPr>
                      <wps:txbx>
                        <w:txbxContent>
                          <w:p>
                            <w:pPr>
                              <w:spacing w:before="40"/>
                              <w:ind w:left="2325" w:right="0" w:firstLine="0"/>
                              <w:jc w:val="both"/>
                              <w:rPr>
                                <w:b/>
                                <w:sz w:val="28"/>
                              </w:rPr>
                            </w:pPr>
                            <w:r>
                              <w:rPr>
                                <w:b/>
                                <w:spacing w:val="-25"/>
                                <w:sz w:val="28"/>
                              </w:rPr>
                              <w:t xml:space="preserve">专栏 </w:t>
                            </w:r>
                            <w:r>
                              <w:rPr>
                                <w:rFonts w:ascii="Times New Roman" w:eastAsia="Times New Roman"/>
                                <w:b/>
                                <w:sz w:val="28"/>
                              </w:rPr>
                              <w:t>8</w:t>
                            </w:r>
                            <w:r>
                              <w:rPr>
                                <w:rFonts w:ascii="Times New Roman" w:eastAsia="Times New Roman"/>
                                <w:b/>
                                <w:spacing w:val="69"/>
                                <w:sz w:val="28"/>
                              </w:rPr>
                              <w:t xml:space="preserve"> </w:t>
                            </w:r>
                            <w:r>
                              <w:rPr>
                                <w:b/>
                                <w:sz w:val="28"/>
                              </w:rPr>
                              <w:t>商贸物流产业重点项目</w:t>
                            </w:r>
                          </w:p>
                          <w:p>
                            <w:pPr>
                              <w:spacing w:before="42" w:line="266" w:lineRule="auto"/>
                              <w:ind w:left="103" w:right="98" w:firstLine="0"/>
                              <w:jc w:val="both"/>
                              <w:rPr>
                                <w:sz w:val="28"/>
                              </w:rPr>
                            </w:pPr>
                            <w:r>
                              <w:rPr>
                                <w:spacing w:val="-7"/>
                                <w:sz w:val="28"/>
                              </w:rPr>
                              <w:t>国家级电子商务进农村综合示范暨智慧物流产业园项目、美铭电商产</w:t>
                            </w:r>
                            <w:r>
                              <w:rPr>
                                <w:spacing w:val="-10"/>
                                <w:sz w:val="28"/>
                              </w:rPr>
                              <w:t>业园项目、市保税仓库建设暨干杂海货市场扩建项目、滕州传化物流小镇项目、鲁南公铁水联运物流产业园、市中界发仓储物流、善南汽</w:t>
                            </w:r>
                            <w:r>
                              <w:rPr>
                                <w:spacing w:val="-8"/>
                                <w:sz w:val="28"/>
                              </w:rPr>
                              <w:t>车城项目、供销社乡镇商贸综合体</w:t>
                            </w:r>
                            <w:r>
                              <w:rPr>
                                <w:spacing w:val="-3"/>
                                <w:sz w:val="28"/>
                              </w:rPr>
                              <w:t>（</w:t>
                            </w:r>
                            <w:r>
                              <w:rPr>
                                <w:spacing w:val="-2"/>
                                <w:sz w:val="28"/>
                              </w:rPr>
                              <w:t>商贸中心</w:t>
                            </w:r>
                            <w:r>
                              <w:rPr>
                                <w:spacing w:val="-25"/>
                                <w:sz w:val="28"/>
                              </w:rPr>
                              <w:t>）</w:t>
                            </w:r>
                            <w:r>
                              <w:rPr>
                                <w:spacing w:val="-6"/>
                                <w:sz w:val="28"/>
                              </w:rPr>
                              <w:t>项目、国际知名红酒</w:t>
                            </w:r>
                            <w:r>
                              <w:rPr>
                                <w:spacing w:val="-11"/>
                                <w:sz w:val="28"/>
                              </w:rPr>
                              <w:t>展销中心项目、供销社净菜加工及中央厨房建设项目、供销社镇级商</w:t>
                            </w:r>
                            <w:r>
                              <w:rPr>
                                <w:spacing w:val="-8"/>
                                <w:sz w:val="28"/>
                              </w:rPr>
                              <w:t>贸综合体建设项目、仲家汇城市生活服务</w:t>
                            </w:r>
                            <w:r>
                              <w:rPr>
                                <w:spacing w:val="-3"/>
                                <w:sz w:val="28"/>
                              </w:rPr>
                              <w:t>（</w:t>
                            </w:r>
                            <w:r>
                              <w:rPr>
                                <w:sz w:val="28"/>
                              </w:rPr>
                              <w:t>保障</w:t>
                            </w:r>
                            <w:r>
                              <w:rPr>
                                <w:spacing w:val="-25"/>
                                <w:sz w:val="28"/>
                              </w:rPr>
                              <w:t>）</w:t>
                            </w:r>
                            <w:r>
                              <w:rPr>
                                <w:spacing w:val="-6"/>
                                <w:sz w:val="28"/>
                              </w:rPr>
                              <w:t>中心项目、废旧机</w:t>
                            </w:r>
                            <w:r>
                              <w:rPr>
                                <w:spacing w:val="-10"/>
                                <w:sz w:val="28"/>
                              </w:rPr>
                              <w:t>动车零部件交易中心、鲁南林果智慧交易中心、梨乡智慧仓储物流基地、东郭镇新建粮油和农贸市场、真爱步行街项目、山东佰佳兴酒店项目、杏花村市场四期扩建亿龙区块项目、真爱商城三期项目、鲁班</w:t>
                            </w:r>
                            <w:r>
                              <w:rPr>
                                <w:spacing w:val="-21"/>
                                <w:sz w:val="28"/>
                              </w:rPr>
                              <w:t>里文商旅直播基地项目、真爱商城直播电商供应链基地项目</w:t>
                            </w:r>
                          </w:p>
                        </w:txbxContent>
                      </wps:txbx>
                      <wps:bodyPr lIns="0" tIns="0" rIns="0" bIns="0" upright="true"/>
                    </wps:wsp>
                  </a:graphicData>
                </a:graphic>
              </wp:anchor>
            </w:drawing>
          </mc:Choice>
          <mc:Fallback>
            <w:pict>
              <v:shape id="文本框 17" o:spid="_x0000_s1026" o:spt="202" type="#_x0000_t202" style="position:absolute;left:0pt;margin-left:84.55pt;margin-top:315.6pt;height:220.5pt;width:426.1pt;mso-position-horizontal-relative:page;mso-wrap-distance-bottom:0pt;mso-wrap-distance-top:0pt;z-index:-251641856;mso-width-relative:page;mso-height-relative:page;" filled="f" stroked="t" coordsize="21600,21600" o:gfxdata="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gckueNgAAAANAQAADwAA&#10;AAAAAAABACAAAAA4AAAAZHJzL2Rvd25yZXYueG1sUEsBAhQAFAAAAAgAh07iQFT2td0AAgAA7AMA&#10;AA4AAAAAAAAAAQAgAAAAPQEAAGRycy9lMm9Eb2MueG1sUEsFBgAAAAAGAAYAWQEAAK8FAAAAAA==&#10;">
                <v:fill on="f" focussize="0,0"/>
                <v:stroke weight="0.48pt" color="#000000" joinstyle="miter"/>
                <v:imagedata o:title=""/>
                <o:lock v:ext="edit" aspectratio="f"/>
                <v:textbox inset="0mm,0mm,0mm,0mm">
                  <w:txbxContent>
                    <w:p>
                      <w:pPr>
                        <w:spacing w:before="40"/>
                        <w:ind w:left="2325" w:right="0" w:firstLine="0"/>
                        <w:jc w:val="both"/>
                        <w:rPr>
                          <w:b/>
                          <w:sz w:val="28"/>
                        </w:rPr>
                      </w:pPr>
                      <w:r>
                        <w:rPr>
                          <w:b/>
                          <w:spacing w:val="-25"/>
                          <w:sz w:val="28"/>
                        </w:rPr>
                        <w:t xml:space="preserve">专栏 </w:t>
                      </w:r>
                      <w:r>
                        <w:rPr>
                          <w:rFonts w:ascii="Times New Roman" w:eastAsia="Times New Roman"/>
                          <w:b/>
                          <w:sz w:val="28"/>
                        </w:rPr>
                        <w:t>8</w:t>
                      </w:r>
                      <w:r>
                        <w:rPr>
                          <w:rFonts w:ascii="Times New Roman" w:eastAsia="Times New Roman"/>
                          <w:b/>
                          <w:spacing w:val="69"/>
                          <w:sz w:val="28"/>
                        </w:rPr>
                        <w:t xml:space="preserve"> </w:t>
                      </w:r>
                      <w:r>
                        <w:rPr>
                          <w:b/>
                          <w:sz w:val="28"/>
                        </w:rPr>
                        <w:t>商贸物流产业重点项目</w:t>
                      </w:r>
                    </w:p>
                    <w:p>
                      <w:pPr>
                        <w:spacing w:before="42" w:line="266" w:lineRule="auto"/>
                        <w:ind w:left="103" w:right="98" w:firstLine="0"/>
                        <w:jc w:val="both"/>
                        <w:rPr>
                          <w:sz w:val="28"/>
                        </w:rPr>
                      </w:pPr>
                      <w:r>
                        <w:rPr>
                          <w:spacing w:val="-7"/>
                          <w:sz w:val="28"/>
                        </w:rPr>
                        <w:t>国家级电子商务进农村综合示范暨智慧物流产业园项目、美铭电商产</w:t>
                      </w:r>
                      <w:r>
                        <w:rPr>
                          <w:spacing w:val="-10"/>
                          <w:sz w:val="28"/>
                        </w:rPr>
                        <w:t>业园项目、市保税仓库建设暨干杂海货市场扩建项目、滕州传化物流小镇项目、鲁南公铁水联运物流产业园、市中界发仓储物流、善南汽</w:t>
                      </w:r>
                      <w:r>
                        <w:rPr>
                          <w:spacing w:val="-8"/>
                          <w:sz w:val="28"/>
                        </w:rPr>
                        <w:t>车城项目、供销社乡镇商贸综合体</w:t>
                      </w:r>
                      <w:r>
                        <w:rPr>
                          <w:spacing w:val="-3"/>
                          <w:sz w:val="28"/>
                        </w:rPr>
                        <w:t>（</w:t>
                      </w:r>
                      <w:r>
                        <w:rPr>
                          <w:spacing w:val="-2"/>
                          <w:sz w:val="28"/>
                        </w:rPr>
                        <w:t>商贸中心</w:t>
                      </w:r>
                      <w:r>
                        <w:rPr>
                          <w:spacing w:val="-25"/>
                          <w:sz w:val="28"/>
                        </w:rPr>
                        <w:t>）</w:t>
                      </w:r>
                      <w:r>
                        <w:rPr>
                          <w:spacing w:val="-6"/>
                          <w:sz w:val="28"/>
                        </w:rPr>
                        <w:t>项目、国际知名红酒</w:t>
                      </w:r>
                      <w:r>
                        <w:rPr>
                          <w:spacing w:val="-11"/>
                          <w:sz w:val="28"/>
                        </w:rPr>
                        <w:t>展销中心项目、供销社净菜加工及中央厨房建设项目、供销社镇级商</w:t>
                      </w:r>
                      <w:r>
                        <w:rPr>
                          <w:spacing w:val="-8"/>
                          <w:sz w:val="28"/>
                        </w:rPr>
                        <w:t>贸综合体建设项目、仲家汇城市生活服务</w:t>
                      </w:r>
                      <w:r>
                        <w:rPr>
                          <w:spacing w:val="-3"/>
                          <w:sz w:val="28"/>
                        </w:rPr>
                        <w:t>（</w:t>
                      </w:r>
                      <w:r>
                        <w:rPr>
                          <w:sz w:val="28"/>
                        </w:rPr>
                        <w:t>保障</w:t>
                      </w:r>
                      <w:r>
                        <w:rPr>
                          <w:spacing w:val="-25"/>
                          <w:sz w:val="28"/>
                        </w:rPr>
                        <w:t>）</w:t>
                      </w:r>
                      <w:r>
                        <w:rPr>
                          <w:spacing w:val="-6"/>
                          <w:sz w:val="28"/>
                        </w:rPr>
                        <w:t>中心项目、废旧机</w:t>
                      </w:r>
                      <w:r>
                        <w:rPr>
                          <w:spacing w:val="-10"/>
                          <w:sz w:val="28"/>
                        </w:rPr>
                        <w:t>动车零部件交易中心、鲁南林果智慧交易中心、梨乡智慧仓储物流基地、东郭镇新建粮油和农贸市场、真爱步行街项目、山东佰佳兴酒店项目、杏花村市场四期扩建亿龙区块项目、真爱商城三期项目、鲁班</w:t>
                      </w:r>
                      <w:r>
                        <w:rPr>
                          <w:spacing w:val="-21"/>
                          <w:sz w:val="28"/>
                        </w:rPr>
                        <w:t>里文商旅直播基地项目、真爱商城直播电商供应链基地项目</w:t>
                      </w:r>
                    </w:p>
                  </w:txbxContent>
                </v:textbox>
                <w10:wrap type="topAndBottom"/>
              </v:shape>
            </w:pict>
          </mc:Fallback>
        </mc:AlternateContent>
      </w:r>
      <w:r>
        <w:rPr>
          <w:spacing w:val="-12"/>
        </w:rPr>
        <w:t>位，积极培育综合物流、智慧物流、绿色物流新业态，扩大现</w:t>
      </w:r>
      <w:r>
        <w:rPr>
          <w:spacing w:val="-21"/>
        </w:rPr>
        <w:t xml:space="preserve">代服务业占比，更好融入国内国际双循环。发挥交通区位优势， </w:t>
      </w:r>
      <w:r>
        <w:rPr>
          <w:spacing w:val="-23"/>
        </w:rPr>
        <w:t>推进真爱商城、嘉誉商贸城等专业市场转型升级，提升国际化、</w:t>
      </w:r>
      <w:r>
        <w:rPr>
          <w:spacing w:val="-21"/>
        </w:rPr>
        <w:t xml:space="preserve">电商化、集约化、品牌化发展水平，增强市场影响力和竞争力， </w:t>
      </w:r>
      <w:r>
        <w:rPr>
          <w:spacing w:val="-25"/>
        </w:rPr>
        <w:t>推进国家级电子商务进农村综合示范暨智慧物流产业园、美铭</w:t>
      </w:r>
      <w:r>
        <w:rPr>
          <w:spacing w:val="-18"/>
        </w:rPr>
        <w:t>电商产业园、滕州市保税仓库建设暨干杂海货市场扩建等重点</w:t>
      </w:r>
      <w:r>
        <w:rPr>
          <w:spacing w:val="-16"/>
        </w:rPr>
        <w:t>项目建设。大力发展夜间经济，培育一批地标性商圈、高品质</w:t>
      </w:r>
      <w:r>
        <w:rPr>
          <w:spacing w:val="-19"/>
          <w:w w:val="95"/>
        </w:rPr>
        <w:t xml:space="preserve">街区。鼓励发展网络经济、直播经济，打造区域电商直播基地。 </w:t>
      </w:r>
      <w:r>
        <w:rPr>
          <w:spacing w:val="-24"/>
        </w:rPr>
        <w:t xml:space="preserve">深化商贸物流业改革开放，提升产业数字化、标准化、品牌化， </w:t>
      </w:r>
      <w:r>
        <w:rPr>
          <w:spacing w:val="-23"/>
        </w:rPr>
        <w:t>推动现代服务业同先进制造业、现代农业深度融合，打造现代服务业创新发展区。</w:t>
      </w:r>
    </w:p>
    <w:p>
      <w:pPr>
        <w:pStyle w:val="3"/>
        <w:tabs>
          <w:tab w:val="left" w:pos="1281"/>
        </w:tabs>
        <w:spacing w:before="162"/>
        <w:ind w:left="0" w:right="80"/>
        <w:jc w:val="center"/>
        <w:rPr>
          <w:rFonts w:hint="eastAsia" w:ascii="宋体" w:eastAsia="宋体"/>
        </w:rPr>
      </w:pPr>
      <w:bookmarkStart w:id="21" w:name="第三节  超前布局未来产业"/>
      <w:bookmarkEnd w:id="21"/>
      <w:r>
        <w:rPr>
          <w:rFonts w:hint="eastAsia" w:ascii="宋体" w:eastAsia="宋体"/>
        </w:rPr>
        <w:t>第三节</w:t>
      </w:r>
      <w:r>
        <w:rPr>
          <w:rFonts w:hint="eastAsia" w:ascii="宋体" w:eastAsia="宋体"/>
        </w:rPr>
        <w:tab/>
      </w:r>
      <w:r>
        <w:rPr>
          <w:rFonts w:hint="eastAsia" w:ascii="宋体" w:eastAsia="宋体"/>
        </w:rPr>
        <w:t>超前布局未来产业</w:t>
      </w:r>
    </w:p>
    <w:p>
      <w:pPr>
        <w:pStyle w:val="3"/>
        <w:spacing w:before="151" w:line="326" w:lineRule="auto"/>
        <w:ind w:right="266" w:firstLine="638"/>
      </w:pPr>
      <w:r>
        <w:rPr>
          <w:spacing w:val="-1"/>
        </w:rPr>
        <w:t>拓展未来产业发展空间，充分发挥数字经济引领、撬动、</w:t>
      </w:r>
      <w:r>
        <w:rPr>
          <w:spacing w:val="-13"/>
        </w:rPr>
        <w:t>赋能作用，推动服务业与制造业深度融合，提高经济发展质量和效益。</w:t>
      </w:r>
    </w:p>
    <w:p>
      <w:pPr>
        <w:spacing w:after="0" w:line="326" w:lineRule="auto"/>
        <w:sectPr>
          <w:pgSz w:w="11910" w:h="16840"/>
          <w:pgMar w:top="1580" w:right="1300" w:bottom="1540" w:left="1380" w:header="0" w:footer="1346" w:gutter="0"/>
          <w:cols w:space="720" w:num="1"/>
        </w:sectPr>
      </w:pPr>
    </w:p>
    <w:p>
      <w:pPr>
        <w:pStyle w:val="3"/>
        <w:ind w:left="0"/>
        <w:rPr>
          <w:sz w:val="13"/>
        </w:rPr>
      </w:pPr>
    </w:p>
    <w:p>
      <w:pPr>
        <w:pStyle w:val="3"/>
        <w:spacing w:before="64" w:line="328" w:lineRule="auto"/>
        <w:ind w:right="242" w:firstLine="638"/>
      </w:pPr>
      <w:r>
        <w:rPr>
          <w:rFonts w:ascii="Times New Roman" w:hAnsi="Times New Roman" w:eastAsia="Times New Roman"/>
          <w:b/>
        </w:rPr>
        <w:t>——</w:t>
      </w:r>
      <w:r>
        <w:rPr>
          <w:b/>
          <w:spacing w:val="-7"/>
        </w:rPr>
        <w:t>数字经济产业。</w:t>
      </w:r>
      <w:r>
        <w:rPr>
          <w:spacing w:val="-7"/>
        </w:rPr>
        <w:t>大力发展智能制造新模式，开展“机</w:t>
      </w:r>
      <w:r>
        <w:rPr>
          <w:spacing w:val="-13"/>
        </w:rPr>
        <w:t>器换人”行动，引导企业开展数字化装备应用普及，加速装备</w:t>
      </w:r>
      <w:r>
        <w:rPr>
          <w:spacing w:val="-14"/>
        </w:rPr>
        <w:t>制造、家居装饰、玻璃建材、食品轻工等传统产业技术改造和</w:t>
      </w:r>
      <w:r>
        <w:rPr>
          <w:spacing w:val="-9"/>
          <w:w w:val="99"/>
        </w:rPr>
        <w:t>智能化升级。激励工业企业“主动上云</w:t>
      </w:r>
      <w:r>
        <w:rPr>
          <w:spacing w:val="-37"/>
          <w:w w:val="99"/>
        </w:rPr>
        <w:t>”“深度用云”，开展线</w:t>
      </w:r>
      <w:r>
        <w:rPr>
          <w:spacing w:val="-21"/>
        </w:rPr>
        <w:t>上协同研发设计、线上生产过程管控、上下游供应链协同。深化互联网与服务业深度融合，着力打造集衣食住行游购等为一</w:t>
      </w:r>
      <w:r>
        <w:rPr>
          <w:spacing w:val="-22"/>
        </w:rPr>
        <w:t>体的滕州智慧城市统一门户，支持微山湖湿地、莲青山、墨子纪念馆等创建智慧旅游示范景区。加快建设新型智慧城市，打</w:t>
      </w:r>
      <w:r>
        <w:rPr>
          <w:spacing w:val="-21"/>
        </w:rPr>
        <w:t>造一批智能城市管理示范点，全力推进大数据智能化政用、民</w:t>
      </w:r>
      <w:r>
        <w:rPr>
          <w:spacing w:val="-16"/>
        </w:rPr>
        <w:t>用和商用。整合公安、卫生健康、人力社保、教育、民政、市场监管、税务等部门业务数据，推进数据开放共享。推动档案</w:t>
      </w:r>
      <w:r>
        <w:rPr>
          <w:spacing w:val="-17"/>
        </w:rPr>
        <w:t>事业创新发展，加快档案数字化步伐。突出数字技术对城市治</w:t>
      </w:r>
      <w:r>
        <w:rPr>
          <w:spacing w:val="-15"/>
        </w:rPr>
        <w:t>理作用，围绕政府管理、公共服务、社会治理等领域，提升数</w:t>
      </w:r>
      <w:r>
        <w:rPr>
          <w:spacing w:val="-21"/>
          <w:w w:val="95"/>
        </w:rPr>
        <w:t xml:space="preserve">字化治理能力，建设智治社会。全面提升网上审批事项覆盖率， </w:t>
      </w:r>
      <w:r>
        <w:rPr>
          <w:spacing w:val="-12"/>
          <w:w w:val="99"/>
        </w:rPr>
        <w:t>加快实现“全程网办”，优化政务服务网上办事指南，提升政</w:t>
      </w:r>
      <w:r>
        <w:rPr>
          <w:spacing w:val="-12"/>
        </w:rPr>
        <w:t>务服务办理便利度。</w:t>
      </w:r>
    </w:p>
    <w:p>
      <w:pPr>
        <w:spacing w:before="0" w:line="384" w:lineRule="exact"/>
        <w:ind w:left="960" w:right="0" w:firstLine="0"/>
        <w:jc w:val="left"/>
        <w:rPr>
          <w:sz w:val="32"/>
        </w:rPr>
      </w:pPr>
      <w:r>
        <w:rPr>
          <w:rFonts w:ascii="Times New Roman" w:hAnsi="Times New Roman" w:eastAsia="Times New Roman"/>
          <w:b/>
          <w:sz w:val="32"/>
        </w:rPr>
        <w:t>——</w:t>
      </w:r>
      <w:r>
        <w:rPr>
          <w:b/>
          <w:sz w:val="32"/>
        </w:rPr>
        <w:t>现代服务业。</w:t>
      </w:r>
      <w:r>
        <w:rPr>
          <w:sz w:val="32"/>
        </w:rPr>
        <w:t>依托“两区四园五基地”和高端装备、</w:t>
      </w:r>
    </w:p>
    <w:p>
      <w:pPr>
        <w:pStyle w:val="3"/>
        <w:spacing w:before="149" w:line="328" w:lineRule="auto"/>
        <w:ind w:right="242"/>
      </w:pPr>
      <w:r>
        <w:rPr>
          <w:spacing w:val="-13"/>
        </w:rPr>
        <w:t>高端化工、新能源新材料等产业集群，以全产业链思维投入生</w:t>
      </w:r>
      <w:r>
        <w:rPr>
          <w:spacing w:val="-15"/>
        </w:rPr>
        <w:t xml:space="preserve">产性服务业，构建开放、协同、高效的平台载体，促使研发技术产业化，聚集研发、制造、销售各产业环节，最终形成集成制造与服务功能的产业链集合的产业集群。在制造业集群内， </w:t>
      </w:r>
      <w:r>
        <w:rPr>
          <w:spacing w:val="-21"/>
          <w:w w:val="95"/>
        </w:rPr>
        <w:t xml:space="preserve">搭建研发设计、知识产权、信息服务、金融、商贸等服务平台， </w:t>
      </w:r>
      <w:r>
        <w:rPr>
          <w:spacing w:val="-24"/>
        </w:rPr>
        <w:t>整合制造业内部投入要素间的关联性与互补性，确定各产业园</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jc w:val="both"/>
      </w:pPr>
      <w:r>
        <w:rPr>
          <w:spacing w:val="-11"/>
          <w:w w:val="95"/>
        </w:rPr>
        <w:t xml:space="preserve">区核心主导产业，构建围绕制造业集群的区域服务体系，形成 </w:t>
      </w:r>
      <w:r>
        <w:rPr>
          <w:spacing w:val="-14"/>
          <w:w w:val="95"/>
        </w:rPr>
        <w:t xml:space="preserve">产业共生、资源共享的开放、互动、协同发展格局。在服务业 集群内，实现物流管理、人力资源管理、信息技术研发等生产 </w:t>
      </w:r>
      <w:r>
        <w:rPr>
          <w:spacing w:val="6"/>
          <w:w w:val="95"/>
        </w:rPr>
        <w:t xml:space="preserve">性服务行业企业的聚集，支持设立和发展专业化服务外包企 </w:t>
      </w:r>
      <w:r>
        <w:rPr>
          <w:spacing w:val="-13"/>
        </w:rPr>
        <w:t>业，为制造业提供专业化、个性化服务，推动产业链节点细化</w:t>
      </w:r>
      <w:r>
        <w:rPr>
          <w:spacing w:val="-15"/>
          <w:w w:val="95"/>
        </w:rPr>
        <w:t xml:space="preserve">和功能延伸，打造特色生产性服务业集群，实现制造业规模经 </w:t>
      </w:r>
      <w:r>
        <w:rPr>
          <w:spacing w:val="-15"/>
        </w:rPr>
        <w:t>济和核心竞争力的提升。</w:t>
      </w:r>
    </w:p>
    <w:p>
      <w:pPr>
        <w:pStyle w:val="3"/>
        <w:spacing w:line="328" w:lineRule="auto"/>
        <w:ind w:right="266" w:firstLine="638"/>
      </w:pPr>
      <w:r>
        <w:rPr>
          <w:rFonts w:ascii="Times New Roman" w:hAnsi="Times New Roman" w:eastAsia="Times New Roman"/>
          <w:b/>
        </w:rPr>
        <w:t>——</w:t>
      </w:r>
      <w:r>
        <w:rPr>
          <w:b/>
          <w:spacing w:val="-10"/>
        </w:rPr>
        <w:t>生命科学产业。</w:t>
      </w:r>
      <w:r>
        <w:rPr>
          <w:spacing w:val="-8"/>
        </w:rPr>
        <w:t>围绕生命健康产业，积极引进和培育</w:t>
      </w:r>
      <w:r>
        <w:rPr>
          <w:spacing w:val="-9"/>
        </w:rPr>
        <w:t xml:space="preserve">具有核心竞争力的生物企业及项目，奠定产业发展基础支撑， </w:t>
      </w:r>
      <w:r>
        <w:rPr>
          <w:spacing w:val="-10"/>
        </w:rPr>
        <w:t>形成先行示范效应。依托我市的生物医药、智能医疗器械、保</w:t>
      </w:r>
      <w:r>
        <w:rPr>
          <w:spacing w:val="-16"/>
        </w:rPr>
        <w:t>健食品等医养健康产业，引进先进生命科学研究机构，加强产学研结合，为全省乃至全国精准医疗、精准健康等需求提供先</w:t>
      </w:r>
      <w:r>
        <w:rPr>
          <w:spacing w:val="-15"/>
        </w:rPr>
        <w:t>进设备、技术保障和解决方案，打造区域生命科学和产业发展创新基地。</w:t>
      </w:r>
    </w:p>
    <w:p>
      <w:pPr>
        <w:pStyle w:val="3"/>
        <w:tabs>
          <w:tab w:val="left" w:pos="1281"/>
        </w:tabs>
        <w:spacing w:before="40"/>
        <w:ind w:left="0" w:right="80"/>
        <w:jc w:val="center"/>
        <w:rPr>
          <w:rFonts w:hint="eastAsia" w:ascii="宋体" w:eastAsia="宋体"/>
        </w:rPr>
      </w:pPr>
      <w:bookmarkStart w:id="22" w:name="第四节  深化经济领域改革"/>
      <w:bookmarkEnd w:id="22"/>
      <w:r>
        <w:rPr>
          <w:rFonts w:hint="eastAsia" w:ascii="宋体" w:eastAsia="宋体"/>
        </w:rPr>
        <w:t>第四节</w:t>
      </w:r>
      <w:r>
        <w:rPr>
          <w:rFonts w:hint="eastAsia" w:ascii="宋体" w:eastAsia="宋体"/>
        </w:rPr>
        <w:tab/>
      </w:r>
      <w:r>
        <w:rPr>
          <w:rFonts w:hint="eastAsia" w:ascii="宋体" w:eastAsia="宋体"/>
        </w:rPr>
        <w:t>深化经济领域改革</w:t>
      </w:r>
    </w:p>
    <w:p>
      <w:pPr>
        <w:pStyle w:val="3"/>
        <w:spacing w:before="149" w:line="328" w:lineRule="auto"/>
        <w:ind w:right="399" w:firstLine="638"/>
        <w:jc w:val="both"/>
      </w:pPr>
      <w:r>
        <w:rPr>
          <w:spacing w:val="-10"/>
        </w:rPr>
        <w:t>纵深推进重点领域改革攻坚，加快流程再造，扩大有效制</w:t>
      </w:r>
      <w:r>
        <w:rPr>
          <w:spacing w:val="-14"/>
          <w:w w:val="95"/>
        </w:rPr>
        <w:t xml:space="preserve">度供给，推动有效市场和有为政府更好结合，全面激发高质量 </w:t>
      </w:r>
      <w:r>
        <w:rPr>
          <w:spacing w:val="-14"/>
        </w:rPr>
        <w:t>发展动力。</w:t>
      </w:r>
    </w:p>
    <w:p>
      <w:pPr>
        <w:pStyle w:val="3"/>
        <w:spacing w:line="328" w:lineRule="auto"/>
        <w:ind w:right="250" w:firstLine="638"/>
      </w:pPr>
      <w:r>
        <w:rPr>
          <w:b/>
        </w:rPr>
        <w:t>强化提升要素保障。</w:t>
      </w:r>
      <w:r>
        <w:t>深化预算管理和税收征管体制改革， 强化预算约束和绩效管理，探索财政资金股权投资改革，提高财政资金使用效益。在保工资、保运转、保基本民生的同时， 增强财政对实体经济的支持保障能力。改进和重组银企关系， 放宽金融服务业市场准入，大力发展普惠金融，增加小微和民</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10"/>
        </w:rPr>
        <w:t>营企业的金融服务供给，提高直接融资比重，降低企业融资成</w:t>
      </w:r>
      <w:r>
        <w:rPr>
          <w:spacing w:val="-20"/>
          <w:w w:val="95"/>
        </w:rPr>
        <w:t xml:space="preserve">本。培育发展土地二级市场，完善城乡建设用地增减挂钩政策， </w:t>
      </w:r>
      <w:r>
        <w:rPr>
          <w:spacing w:val="-18"/>
        </w:rPr>
        <w:t>盘活存量建设用地。建立健全劳动者终身职业技能培训以及技</w:t>
      </w:r>
      <w:r>
        <w:rPr>
          <w:spacing w:val="-28"/>
        </w:rPr>
        <w:t>术工人评价选拔等制度，强化劳动力培养与素质提升，培育“工匠精神”。</w:t>
      </w:r>
    </w:p>
    <w:p>
      <w:pPr>
        <w:pStyle w:val="3"/>
        <w:spacing w:line="328" w:lineRule="auto"/>
        <w:ind w:right="242" w:firstLine="638"/>
      </w:pPr>
      <w:r>
        <w:rPr>
          <w:b/>
          <w:spacing w:val="-16"/>
        </w:rPr>
        <w:t>培育壮大市场主体。</w:t>
      </w:r>
      <w:r>
        <w:t>健全市场准入负面清单制度和市场主</w:t>
      </w:r>
      <w:r>
        <w:rPr>
          <w:spacing w:val="-12"/>
        </w:rPr>
        <w:t>体退出机制，完善产权制度，加强反不正当竞争执法。深化国</w:t>
      </w:r>
      <w:r>
        <w:rPr>
          <w:spacing w:val="-15"/>
        </w:rPr>
        <w:t>资国企改革，压缩管理层级，优化股权结构，规范投资，加强</w:t>
      </w:r>
      <w:r>
        <w:rPr>
          <w:spacing w:val="-20"/>
          <w:w w:val="95"/>
        </w:rPr>
        <w:t xml:space="preserve">监管，确保国有资产保值增值；持续推进国企混合所有制改革， </w:t>
      </w:r>
      <w:r>
        <w:rPr>
          <w:spacing w:val="-20"/>
        </w:rPr>
        <w:t>构建现代企业制度和治理结构，提高国有企业市场竞争能力。</w:t>
      </w:r>
      <w:r>
        <w:rPr>
          <w:spacing w:val="-23"/>
        </w:rPr>
        <w:t>全面落实放宽民营企业市场准入的政策措施，着力放宽民营企</w:t>
      </w:r>
      <w:r>
        <w:rPr>
          <w:spacing w:val="-16"/>
        </w:rPr>
        <w:t>业开办、经营条件，培育一批具有现代企业制度、可跨区域经</w:t>
      </w:r>
      <w:r>
        <w:rPr>
          <w:spacing w:val="-17"/>
        </w:rPr>
        <w:t>营的民营企业。实施好民法典等法律法规，依法平等保护民营</w:t>
      </w:r>
      <w:r>
        <w:rPr>
          <w:spacing w:val="-18"/>
        </w:rPr>
        <w:t>企业和企业家权益。弘扬企业家精神，支持企业家以恒心办恒业。2025</w:t>
      </w:r>
      <w:r>
        <w:rPr>
          <w:spacing w:val="-17"/>
        </w:rPr>
        <w:t xml:space="preserve"> 年，主营业务收入过 </w:t>
      </w:r>
      <w:r>
        <w:t>10</w:t>
      </w:r>
      <w:r>
        <w:rPr>
          <w:spacing w:val="-22"/>
        </w:rPr>
        <w:t xml:space="preserve"> 亿元企业突破 </w:t>
      </w:r>
      <w:r>
        <w:t>15</w:t>
      </w:r>
      <w:r>
        <w:rPr>
          <w:spacing w:val="-33"/>
        </w:rPr>
        <w:t xml:space="preserve"> 家、过 </w:t>
      </w:r>
      <w:r>
        <w:t>50</w:t>
      </w:r>
    </w:p>
    <w:p>
      <w:pPr>
        <w:pStyle w:val="3"/>
        <w:spacing w:line="392" w:lineRule="exact"/>
      </w:pPr>
      <w:r>
        <w:rPr>
          <w:spacing w:val="-12"/>
        </w:rPr>
        <w:t xml:space="preserve">亿元企业突破 </w:t>
      </w:r>
      <w:r>
        <w:t>5</w:t>
      </w:r>
      <w:r>
        <w:rPr>
          <w:spacing w:val="-63"/>
        </w:rPr>
        <w:t xml:space="preserve"> 家、过 </w:t>
      </w:r>
      <w:r>
        <w:t>100</w:t>
      </w:r>
      <w:r>
        <w:rPr>
          <w:spacing w:val="-17"/>
        </w:rPr>
        <w:t xml:space="preserve"> 亿元企业实现零突破，新培育主板、</w:t>
      </w:r>
    </w:p>
    <w:p>
      <w:pPr>
        <w:pStyle w:val="3"/>
        <w:spacing w:before="144"/>
      </w:pPr>
      <w:r>
        <w:t>中小板、创业板、科创板上市企业 8 家。</w:t>
      </w:r>
    </w:p>
    <w:p>
      <w:pPr>
        <w:pStyle w:val="3"/>
        <w:spacing w:before="149" w:line="328" w:lineRule="auto"/>
        <w:ind w:right="398" w:firstLine="638"/>
        <w:jc w:val="both"/>
      </w:pPr>
      <w:r>
        <w:rPr>
          <w:b/>
        </w:rPr>
        <w:t>深化“放管服”改革。</w:t>
      </w:r>
      <w:r>
        <w:rPr>
          <w:spacing w:val="-12"/>
        </w:rPr>
        <w:t xml:space="preserve">全面落实《优化营商环境条例》， </w:t>
      </w:r>
      <w:r>
        <w:rPr>
          <w:spacing w:val="-26"/>
          <w:w w:val="95"/>
        </w:rPr>
        <w:t>对标打造“市场化、法治化、国际化”一流营商环境，坚持“五</w:t>
      </w:r>
      <w:r>
        <w:rPr>
          <w:w w:val="99"/>
        </w:rPr>
        <w:t>心</w:t>
      </w:r>
      <w:r>
        <w:rPr>
          <w:spacing w:val="-12"/>
          <w:w w:val="99"/>
        </w:rPr>
        <w:t>”“五个一样”服务理念，持续推进“入企五问”行动常态化、制度化，构建“亲”“清”新型政商关系。加快推进“一次办好”，健全完善容缺受理、容缺办理、并联审批、帮办代</w:t>
      </w:r>
      <w:r>
        <w:t>办</w:t>
      </w:r>
      <w:r>
        <w:rPr>
          <w:spacing w:val="-12"/>
        </w:rPr>
        <w:t>、</w:t>
      </w:r>
      <w:r>
        <w:t>24</w:t>
      </w:r>
      <w:r>
        <w:rPr>
          <w:spacing w:val="-19"/>
        </w:rPr>
        <w:t xml:space="preserve"> 小时不打烊服务等各项机制，打造“无证明城市”。实</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9"/>
        </w:rPr>
        <w:t xml:space="preserve">施流程再造改革攻坚行动，持续推进行政审批改革，积极做好上级下放权力事项承接工作，建立政务服务事项标准化清单， </w:t>
      </w:r>
      <w:r>
        <w:rPr>
          <w:spacing w:val="-16"/>
        </w:rPr>
        <w:t>打造精简高效的政务生态。优化大数据管理和运行体制，实现</w:t>
      </w:r>
      <w:r>
        <w:rPr>
          <w:spacing w:val="-28"/>
          <w:w w:val="95"/>
        </w:rPr>
        <w:t xml:space="preserve">政务服务“一网通办”、城市运行“一网统管”。深化简政放权， </w:t>
      </w:r>
      <w:r>
        <w:rPr>
          <w:spacing w:val="-23"/>
        </w:rPr>
        <w:t>做实镇街综合执法办公室。优化政务服务区域布局，完善提升</w:t>
      </w:r>
      <w:r>
        <w:rPr>
          <w:spacing w:val="-19"/>
        </w:rPr>
        <w:t>镇街便民服务中心，推进全市社区和有条件的村完善基层便民</w:t>
      </w:r>
      <w:r>
        <w:rPr>
          <w:spacing w:val="-17"/>
        </w:rPr>
        <w:t>服务场所建设，提升基层便民服务标准化水平，有序推动民生</w:t>
      </w:r>
      <w:r>
        <w:rPr>
          <w:spacing w:val="-14"/>
        </w:rPr>
        <w:t>领域高频事项下放，打造全域“</w:t>
      </w:r>
      <w:r>
        <w:t>15</w:t>
      </w:r>
      <w:r>
        <w:rPr>
          <w:spacing w:val="-23"/>
        </w:rPr>
        <w:t xml:space="preserve"> 分钟政务服务圈”。探索政</w:t>
      </w:r>
      <w:r>
        <w:rPr>
          <w:spacing w:val="-26"/>
          <w:w w:val="95"/>
        </w:rPr>
        <w:t xml:space="preserve">务服务多渠道办理方式，主动与银行、邮政等第三方开展合作， </w:t>
      </w:r>
      <w:r>
        <w:rPr>
          <w:spacing w:val="-25"/>
        </w:rPr>
        <w:t>实现量大面广的个人事项服务端口前移。全面推行“双随机</w:t>
      </w:r>
      <w:r>
        <w:rPr>
          <w:rFonts w:hint="eastAsia"/>
          <w:spacing w:val="-25"/>
          <w:lang w:eastAsia="zh-CN"/>
        </w:rPr>
        <w:t>、</w:t>
      </w:r>
      <w:bookmarkStart w:id="64" w:name="_GoBack"/>
      <w:bookmarkEnd w:id="64"/>
      <w:r>
        <w:rPr>
          <w:spacing w:val="-25"/>
        </w:rPr>
        <w:t>一</w:t>
      </w:r>
      <w:r>
        <w:rPr>
          <w:spacing w:val="-12"/>
          <w:w w:val="99"/>
        </w:rPr>
        <w:t>公开”，加强事中事后监管，对新产业新业态实行包容审慎监</w:t>
      </w:r>
      <w:r>
        <w:rPr>
          <w:spacing w:val="-12"/>
        </w:rPr>
        <w:t>管。</w:t>
      </w:r>
    </w:p>
    <w:p>
      <w:pPr>
        <w:pStyle w:val="3"/>
        <w:tabs>
          <w:tab w:val="left" w:pos="1279"/>
        </w:tabs>
        <w:spacing w:before="136"/>
        <w:ind w:left="0" w:right="80"/>
        <w:jc w:val="center"/>
        <w:rPr>
          <w:rFonts w:hint="eastAsia" w:ascii="黑体" w:eastAsia="黑体"/>
        </w:rPr>
      </w:pPr>
      <w:bookmarkStart w:id="23" w:name="第五章  扩内需促开放，积极融入双循环发展新格局"/>
      <w:bookmarkEnd w:id="23"/>
      <w:r>
        <w:rPr>
          <w:rFonts w:hint="eastAsia" w:ascii="黑体" w:eastAsia="黑体"/>
        </w:rPr>
        <w:t>第五章</w:t>
      </w:r>
      <w:r>
        <w:rPr>
          <w:rFonts w:hint="eastAsia" w:ascii="黑体" w:eastAsia="黑体"/>
        </w:rPr>
        <w:tab/>
      </w:r>
      <w:r>
        <w:rPr>
          <w:rFonts w:hint="eastAsia" w:ascii="黑体" w:eastAsia="黑体"/>
        </w:rPr>
        <w:t>扩内需促开放，积极融入双循环发展新格局</w:t>
      </w:r>
    </w:p>
    <w:p>
      <w:pPr>
        <w:pStyle w:val="3"/>
        <w:spacing w:before="151" w:line="326" w:lineRule="auto"/>
        <w:ind w:right="399" w:firstLine="638"/>
        <w:jc w:val="both"/>
      </w:pPr>
      <w:r>
        <w:rPr>
          <w:spacing w:val="-10"/>
        </w:rPr>
        <w:t>扭住扩大内需战略基点，以高质量供给引领需求，释放消</w:t>
      </w:r>
      <w:r>
        <w:rPr>
          <w:spacing w:val="-14"/>
          <w:w w:val="95"/>
        </w:rPr>
        <w:t xml:space="preserve">费活力，扩大有效投资，提升开放水平，深度融入以国内大循 </w:t>
      </w:r>
      <w:r>
        <w:rPr>
          <w:spacing w:val="-14"/>
        </w:rPr>
        <w:t>环为主体、国内国际双循环相互促进的新发展格局。</w:t>
      </w:r>
    </w:p>
    <w:p>
      <w:pPr>
        <w:pStyle w:val="3"/>
        <w:tabs>
          <w:tab w:val="left" w:pos="1281"/>
        </w:tabs>
        <w:spacing w:before="70"/>
        <w:ind w:left="0" w:right="80"/>
        <w:jc w:val="center"/>
        <w:rPr>
          <w:rFonts w:hint="eastAsia" w:ascii="宋体" w:eastAsia="宋体"/>
        </w:rPr>
      </w:pPr>
      <w:bookmarkStart w:id="24" w:name="第一节  深挖内需释放活力"/>
      <w:bookmarkEnd w:id="24"/>
      <w:r>
        <w:rPr>
          <w:rFonts w:hint="eastAsia" w:ascii="宋体" w:eastAsia="宋体"/>
        </w:rPr>
        <w:t>第一节</w:t>
      </w:r>
      <w:r>
        <w:rPr>
          <w:rFonts w:hint="eastAsia" w:ascii="宋体" w:eastAsia="宋体"/>
        </w:rPr>
        <w:tab/>
      </w:r>
      <w:r>
        <w:rPr>
          <w:rFonts w:hint="eastAsia" w:ascii="宋体" w:eastAsia="宋体"/>
        </w:rPr>
        <w:t>深挖内需释放活力</w:t>
      </w:r>
    </w:p>
    <w:p>
      <w:pPr>
        <w:pStyle w:val="3"/>
        <w:spacing w:before="149" w:line="326" w:lineRule="auto"/>
        <w:ind w:right="266" w:firstLine="638"/>
      </w:pPr>
      <w:r>
        <w:rPr>
          <w:spacing w:val="-9"/>
        </w:rPr>
        <w:t>增强消费对经济发展的基础性作用，增加优质产品服务供</w:t>
      </w:r>
      <w:r>
        <w:rPr>
          <w:spacing w:val="-10"/>
          <w:w w:val="95"/>
        </w:rPr>
        <w:t>给，推动消费扩容提质，深入开展“放心消费在滕州”行动。</w:t>
      </w:r>
    </w:p>
    <w:p>
      <w:pPr>
        <w:pStyle w:val="3"/>
        <w:spacing w:before="6" w:line="328" w:lineRule="auto"/>
        <w:ind w:right="398" w:firstLine="638"/>
        <w:jc w:val="both"/>
      </w:pPr>
      <w:r>
        <w:rPr>
          <w:b/>
          <w:spacing w:val="-7"/>
        </w:rPr>
        <w:t>打造消费新场景新体验。</w:t>
      </w:r>
      <w:r>
        <w:rPr>
          <w:spacing w:val="-7"/>
        </w:rPr>
        <w:t>完善城市商业网点布局，以万达</w:t>
      </w:r>
      <w:r>
        <w:rPr>
          <w:spacing w:val="-14"/>
          <w:w w:val="95"/>
        </w:rPr>
        <w:t xml:space="preserve">广场、人和广场、玫瑰广场、真爱商城、德意君瑞综合体为基 </w:t>
      </w:r>
      <w:r>
        <w:rPr>
          <w:spacing w:val="-12"/>
          <w:w w:val="95"/>
        </w:rPr>
        <w:t xml:space="preserve">础，推动旅游商品、文创商品进入，与美食、娱乐、购物、休 </w:t>
      </w:r>
      <w:r>
        <w:rPr>
          <w:spacing w:val="-15"/>
          <w:w w:val="95"/>
        </w:rPr>
        <w:t>闲相结合，形成若干主题鲜明的商业地标和体验中心。改造提</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7"/>
        <w:jc w:val="both"/>
      </w:pPr>
      <w:r>
        <w:rPr>
          <w:spacing w:val="-13"/>
        </w:rPr>
        <w:t>升新兴路、鲁班里、真爱步行街和接官巷古玩一条街等特色商</w:t>
      </w:r>
      <w:r>
        <w:rPr>
          <w:spacing w:val="-14"/>
        </w:rPr>
        <w:t>业街区，聚集人气商机，满足差异化消费需求。以便民利民为宗旨，建设社区零售网点，完善生活服务设施，打造五分钟便</w:t>
      </w:r>
      <w:r>
        <w:rPr>
          <w:spacing w:val="-26"/>
        </w:rPr>
        <w:t>民生活圈。规划建设城乡融合新型消费网络节点，积极发展“智</w:t>
      </w:r>
      <w:r>
        <w:rPr>
          <w:spacing w:val="-15"/>
        </w:rPr>
        <w:t>慧街区”“智慧商圈”，提高农产品可电商化水平，扩大农产</w:t>
      </w:r>
      <w:r>
        <w:rPr>
          <w:spacing w:val="-16"/>
        </w:rPr>
        <w:t>品网络消费。发挥滕州民营企业、滕州机械工业行业等协会商会作用，大力发展会展经济。</w:t>
      </w:r>
    </w:p>
    <w:p>
      <w:pPr>
        <w:pStyle w:val="3"/>
        <w:spacing w:line="328" w:lineRule="auto"/>
        <w:ind w:right="236" w:firstLine="638"/>
      </w:pPr>
      <w:r>
        <w:rPr>
          <w:b/>
          <w:spacing w:val="-7"/>
        </w:rPr>
        <w:t>培育消费新业态新模式。</w:t>
      </w:r>
      <w:r>
        <w:rPr>
          <w:spacing w:val="-8"/>
        </w:rPr>
        <w:t>培育发展新零售、首店经济等新</w:t>
      </w:r>
      <w:r>
        <w:rPr>
          <w:spacing w:val="-14"/>
          <w:w w:val="95"/>
        </w:rPr>
        <w:t xml:space="preserve">业态新模式，构建“智能+”消费生态体系，促进教育、医疗、 </w:t>
      </w:r>
      <w:r>
        <w:rPr>
          <w:spacing w:val="-13"/>
        </w:rPr>
        <w:t>养老、托育、体育、家政等服务消费线上线下有机融合、双向</w:t>
      </w:r>
      <w:r>
        <w:rPr>
          <w:spacing w:val="-16"/>
        </w:rPr>
        <w:t>提速拓展服务内容，扩大服务覆盖面。做强红鹦鹉传媒、创视</w:t>
      </w:r>
      <w:r>
        <w:rPr>
          <w:spacing w:val="-19"/>
        </w:rPr>
        <w:t xml:space="preserve">科技、山东云视等电商直播基地，建设一批产业直播经济集群， </w:t>
      </w:r>
      <w:r>
        <w:rPr>
          <w:spacing w:val="-18"/>
        </w:rPr>
        <w:t>促进直播电商、社交电商与新媒体、新零售融合发展。创新商</w:t>
      </w:r>
      <w:r>
        <w:rPr>
          <w:spacing w:val="-23"/>
        </w:rPr>
        <w:t>旅文体协同新模式，着力打造夜品滕味、夜购滕州、夜赏滕州、</w:t>
      </w:r>
      <w:r>
        <w:rPr>
          <w:spacing w:val="-16"/>
        </w:rPr>
        <w:t>夜学滕州、夜宿滕州，助推夜间消费向体验型、内涵型、文化型转型升级。</w:t>
      </w:r>
    </w:p>
    <w:p>
      <w:pPr>
        <w:spacing w:before="0" w:line="395" w:lineRule="exact"/>
        <w:ind w:left="960" w:right="0" w:firstLine="0"/>
        <w:jc w:val="left"/>
        <w:rPr>
          <w:sz w:val="32"/>
        </w:rPr>
      </w:pPr>
      <w:r>
        <w:rPr>
          <w:b/>
          <w:spacing w:val="-7"/>
          <w:w w:val="95"/>
          <w:sz w:val="32"/>
        </w:rPr>
        <w:t>完善消费新体制新机制。</w:t>
      </w:r>
      <w:r>
        <w:rPr>
          <w:spacing w:val="-7"/>
          <w:w w:val="95"/>
          <w:sz w:val="32"/>
        </w:rPr>
        <w:t>健全鼓励消费政策体系，积极实</w:t>
      </w:r>
    </w:p>
    <w:p>
      <w:pPr>
        <w:pStyle w:val="3"/>
        <w:spacing w:before="139" w:line="328" w:lineRule="auto"/>
        <w:ind w:right="266"/>
      </w:pPr>
      <w:r>
        <w:rPr>
          <w:spacing w:val="-13"/>
        </w:rPr>
        <w:t>施“放心消费”工程，增强消费意愿。加快建立政府主导与市</w:t>
      </w:r>
      <w:r>
        <w:rPr>
          <w:spacing w:val="6"/>
        </w:rPr>
        <w:t>场主体协同的新型质量标准体系，推行质量首负责任承诺制</w:t>
      </w:r>
      <w:r>
        <w:rPr>
          <w:spacing w:val="-12"/>
        </w:rPr>
        <w:t>度，健全消费环境监测、产品质量治理和顾客满意度测评等产品和服务消费后评价体系，实现全过程产品和服务安全防范。建好用好滕州信用平台，为公众提供信用信息一站式查询和消</w:t>
      </w:r>
      <w:r>
        <w:rPr>
          <w:spacing w:val="-20"/>
        </w:rPr>
        <w:t xml:space="preserve">费预警提示服务，督促经营者诚信经营。完善 </w:t>
      </w:r>
      <w:r>
        <w:t>12315</w:t>
      </w:r>
      <w:r>
        <w:rPr>
          <w:spacing w:val="-17"/>
        </w:rPr>
        <w:t xml:space="preserve"> 投诉举报</w:t>
      </w:r>
    </w:p>
    <w:p>
      <w:pPr>
        <w:spacing w:after="0" w:line="328" w:lineRule="auto"/>
        <w:sectPr>
          <w:footerReference r:id="rId13" w:type="default"/>
          <w:footerReference r:id="rId14" w:type="even"/>
          <w:pgSz w:w="11910" w:h="16840"/>
          <w:pgMar w:top="1580" w:right="1300" w:bottom="1540" w:left="1380" w:header="0" w:footer="1346" w:gutter="0"/>
          <w:pgNumType w:start="40"/>
          <w:cols w:space="720" w:num="1"/>
        </w:sectPr>
      </w:pPr>
    </w:p>
    <w:p>
      <w:pPr>
        <w:pStyle w:val="3"/>
        <w:spacing w:before="10"/>
        <w:ind w:left="0"/>
        <w:rPr>
          <w:sz w:val="13"/>
        </w:rPr>
      </w:pPr>
    </w:p>
    <w:p>
      <w:pPr>
        <w:pStyle w:val="3"/>
        <w:spacing w:before="54" w:line="328" w:lineRule="auto"/>
        <w:ind w:right="399"/>
        <w:jc w:val="both"/>
      </w:pPr>
      <w:r>
        <w:rPr>
          <w:spacing w:val="-12"/>
          <w:w w:val="95"/>
        </w:rPr>
        <w:t xml:space="preserve">快速处置机制，畅通消费者诉求表达渠道，营造安全放心的消 </w:t>
      </w:r>
      <w:r>
        <w:rPr>
          <w:spacing w:val="-15"/>
          <w:w w:val="95"/>
        </w:rPr>
        <w:t xml:space="preserve">费环境。做好消费宣传引导工作，多措并举增加城乡居民财产 </w:t>
      </w:r>
      <w:r>
        <w:rPr>
          <w:spacing w:val="-15"/>
        </w:rPr>
        <w:t>性收入，合理引导社会消费预期，提振消费信心。</w:t>
      </w:r>
    </w:p>
    <w:p>
      <w:pPr>
        <w:pStyle w:val="3"/>
        <w:tabs>
          <w:tab w:val="left" w:pos="1281"/>
        </w:tabs>
        <w:spacing w:before="57"/>
        <w:ind w:left="0" w:right="80"/>
        <w:jc w:val="center"/>
        <w:rPr>
          <w:rFonts w:hint="eastAsia" w:ascii="宋体" w:eastAsia="宋体"/>
        </w:rPr>
      </w:pPr>
      <w:bookmarkStart w:id="25" w:name="第二节  扩大精准有效投资"/>
      <w:bookmarkEnd w:id="25"/>
      <w:r>
        <w:rPr>
          <w:rFonts w:hint="eastAsia" w:ascii="宋体" w:eastAsia="宋体"/>
        </w:rPr>
        <w:t>第二节</w:t>
      </w:r>
      <w:r>
        <w:rPr>
          <w:rFonts w:hint="eastAsia" w:ascii="宋体" w:eastAsia="宋体"/>
        </w:rPr>
        <w:tab/>
      </w:r>
      <w:r>
        <w:rPr>
          <w:rFonts w:hint="eastAsia" w:ascii="宋体" w:eastAsia="宋体"/>
        </w:rPr>
        <w:t>扩大精准有效投资</w:t>
      </w:r>
    </w:p>
    <w:p>
      <w:pPr>
        <w:pStyle w:val="3"/>
        <w:spacing w:before="152" w:line="326" w:lineRule="auto"/>
        <w:ind w:right="401" w:firstLine="638"/>
      </w:pPr>
      <w:r>
        <w:rPr>
          <w:spacing w:val="-9"/>
        </w:rPr>
        <w:t>发挥投资对优化供给结构的关键作用，完善市场主导的投资内生增长机制。</w:t>
      </w:r>
    </w:p>
    <w:p>
      <w:pPr>
        <w:pStyle w:val="3"/>
        <w:spacing w:before="3" w:line="328" w:lineRule="auto"/>
        <w:ind w:right="266" w:firstLine="638"/>
      </w:pPr>
      <w:r>
        <w:rPr>
          <w:b/>
          <w:spacing w:val="-8"/>
        </w:rPr>
        <w:t>强化重点领域投资。</w:t>
      </w:r>
      <w:r>
        <w:rPr>
          <w:spacing w:val="-8"/>
        </w:rPr>
        <w:t>坚持一切围绕项目转、一切盯紧项目</w:t>
      </w:r>
      <w:r>
        <w:rPr>
          <w:spacing w:val="-13"/>
        </w:rPr>
        <w:t>干，严格落实市级领导帮包、部门镇街帮办机制，强化跟踪调</w:t>
      </w:r>
      <w:r>
        <w:rPr>
          <w:spacing w:val="-12"/>
        </w:rPr>
        <w:t>度，提高推进效率，加快建设一批强基础、增功能、利长远的</w:t>
      </w:r>
      <w:r>
        <w:rPr>
          <w:spacing w:val="-17"/>
        </w:rPr>
        <w:t xml:space="preserve">重大项目，每年实施市级重点项目 </w:t>
      </w:r>
      <w:r>
        <w:t>100</w:t>
      </w:r>
      <w:r>
        <w:rPr>
          <w:spacing w:val="-17"/>
        </w:rPr>
        <w:t xml:space="preserve"> 个，争取一批项目列入</w:t>
      </w:r>
      <w:r>
        <w:rPr>
          <w:spacing w:val="-13"/>
        </w:rPr>
        <w:t>省、枣庄重大项目盘子。围绕“两新一重”建设，聚焦提升滕</w:t>
      </w:r>
      <w:r>
        <w:rPr>
          <w:spacing w:val="-18"/>
        </w:rPr>
        <w:t>州优势产业集群核心竞争力，实施一批重大产业项目。围绕生</w:t>
      </w:r>
      <w:r>
        <w:rPr>
          <w:spacing w:val="-16"/>
        </w:rPr>
        <w:t xml:space="preserve">态文明建设，加大水系综合治理、采煤沉陷区生态治理修复等投入，发展循环经济。围绕城乡融合，加快新型城镇化建设， </w:t>
      </w:r>
      <w:r>
        <w:rPr>
          <w:spacing w:val="-11"/>
        </w:rPr>
        <w:t>实施城市精品提升，开展农村人居环境整治，改善城乡生产生</w:t>
      </w:r>
      <w:r>
        <w:rPr>
          <w:spacing w:val="-14"/>
        </w:rPr>
        <w:t>活条件。围绕增进民生福祉，补齐公共卫生、普惠教育、防灾减灾、应急保障等短板，不断增强人民幸福感。</w:t>
      </w:r>
    </w:p>
    <w:p>
      <w:pPr>
        <w:spacing w:before="0" w:line="392" w:lineRule="exact"/>
        <w:ind w:left="960" w:right="0" w:firstLine="0"/>
        <w:jc w:val="left"/>
        <w:rPr>
          <w:sz w:val="32"/>
        </w:rPr>
      </w:pPr>
      <w:r>
        <w:rPr>
          <w:b/>
          <w:spacing w:val="-8"/>
          <w:w w:val="95"/>
          <w:sz w:val="32"/>
        </w:rPr>
        <w:t>激发社会投资活力。</w:t>
      </w:r>
      <w:r>
        <w:rPr>
          <w:spacing w:val="-6"/>
          <w:w w:val="95"/>
          <w:sz w:val="32"/>
        </w:rPr>
        <w:t>调整优化政府资金投资方式，健全政</w:t>
      </w:r>
    </w:p>
    <w:p>
      <w:pPr>
        <w:pStyle w:val="3"/>
        <w:spacing w:before="149" w:line="328" w:lineRule="auto"/>
        <w:ind w:right="266"/>
      </w:pPr>
      <w:r>
        <w:rPr>
          <w:spacing w:val="-13"/>
        </w:rPr>
        <w:t xml:space="preserve">府引导基金、政府和社会资本合作、政府购买服务等市场化投入机制。发挥财政资金的杠杆引导作用，激发社会投资活力， </w:t>
      </w:r>
      <w:r>
        <w:rPr>
          <w:spacing w:val="-7"/>
        </w:rPr>
        <w:t>鼓励民营资本参与公用事业和重大基础设施建设。积极推广政</w:t>
      </w:r>
      <w:r>
        <w:rPr>
          <w:spacing w:val="-9"/>
          <w:w w:val="99"/>
        </w:rPr>
        <w:t>府和社会资本合作模式</w:t>
      </w:r>
      <w:r>
        <w:rPr>
          <w:w w:val="99"/>
        </w:rPr>
        <w:t>（</w:t>
      </w:r>
      <w:r>
        <w:rPr>
          <w:spacing w:val="1"/>
          <w:w w:val="99"/>
        </w:rPr>
        <w:t>PP</w:t>
      </w:r>
      <w:r>
        <w:rPr>
          <w:spacing w:val="-2"/>
          <w:w w:val="99"/>
        </w:rPr>
        <w:t>P</w:t>
      </w:r>
      <w:r>
        <w:rPr>
          <w:spacing w:val="-159"/>
          <w:w w:val="99"/>
        </w:rPr>
        <w:t>）</w:t>
      </w:r>
      <w:r>
        <w:rPr>
          <w:spacing w:val="-9"/>
          <w:w w:val="99"/>
        </w:rPr>
        <w:t>，形成政府资本与社会资本利益</w:t>
      </w:r>
      <w:r>
        <w:rPr>
          <w:spacing w:val="-12"/>
        </w:rPr>
        <w:t>共享、风险共担的长期合作关系。完善环保、能耗、安全、效</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t>益和行业准入标准体系，稳定企业投资预期和生产信心。</w:t>
      </w:r>
    </w:p>
    <w:p>
      <w:pPr>
        <w:pStyle w:val="3"/>
        <w:spacing w:before="152" w:line="328" w:lineRule="auto"/>
        <w:ind w:right="238" w:firstLine="638"/>
      </w:pPr>
      <w:r>
        <w:rPr>
          <w:b/>
          <w:spacing w:val="2"/>
          <w:w w:val="99"/>
        </w:rPr>
        <w:t>强化要素保障能力。</w:t>
      </w:r>
      <w:r>
        <w:rPr>
          <w:spacing w:val="-12"/>
          <w:w w:val="99"/>
        </w:rPr>
        <w:t>坚持“要素跟着项目走”，加快盘活</w:t>
      </w:r>
      <w:r>
        <w:rPr>
          <w:spacing w:val="-16"/>
        </w:rPr>
        <w:t>低效闲置土地，推进增减挂钩、占补平衡项目实施，加大争取</w:t>
      </w:r>
      <w:r>
        <w:rPr>
          <w:spacing w:val="-19"/>
          <w:w w:val="95"/>
        </w:rPr>
        <w:t xml:space="preserve">力度，全力保障重大工程、重点项目。深入研究对接环境容量、 </w:t>
      </w:r>
      <w:r>
        <w:rPr>
          <w:spacing w:val="-19"/>
        </w:rPr>
        <w:t>能耗压减相关政策，为项目落地创造条件。加强金融综合服务</w:t>
      </w:r>
      <w:r>
        <w:rPr>
          <w:spacing w:val="-17"/>
        </w:rPr>
        <w:t>能力建设，强化政银企协调互动，增加有效信贷投放；充分利</w:t>
      </w:r>
      <w:r>
        <w:rPr>
          <w:spacing w:val="6"/>
        </w:rPr>
        <w:t>用省市县三级政府引导基金，争取优质项目获得产业基金支</w:t>
      </w:r>
      <w:r>
        <w:rPr>
          <w:spacing w:val="-11"/>
        </w:rPr>
        <w:t>持。紧紧围绕“四个一批”推进机制，深化“拿地即开工”改革，实行项目“全链条”服务。</w:t>
      </w:r>
    </w:p>
    <w:p>
      <w:pPr>
        <w:pStyle w:val="3"/>
        <w:tabs>
          <w:tab w:val="left" w:pos="1281"/>
        </w:tabs>
        <w:spacing w:before="47"/>
        <w:ind w:left="0" w:right="80"/>
        <w:jc w:val="center"/>
        <w:rPr>
          <w:rFonts w:hint="eastAsia" w:ascii="宋体" w:eastAsia="宋体"/>
        </w:rPr>
      </w:pPr>
      <w:bookmarkStart w:id="26" w:name="第三节  拓宽领域扩大开放"/>
      <w:bookmarkEnd w:id="26"/>
      <w:r>
        <w:rPr>
          <w:rFonts w:hint="eastAsia" w:ascii="宋体" w:eastAsia="宋体"/>
        </w:rPr>
        <w:t>第三节</w:t>
      </w:r>
      <w:r>
        <w:rPr>
          <w:rFonts w:hint="eastAsia" w:ascii="宋体" w:eastAsia="宋体"/>
        </w:rPr>
        <w:tab/>
      </w:r>
      <w:r>
        <w:rPr>
          <w:rFonts w:hint="eastAsia" w:ascii="宋体" w:eastAsia="宋体"/>
        </w:rPr>
        <w:t>拓宽领域扩大开放</w:t>
      </w:r>
    </w:p>
    <w:p>
      <w:pPr>
        <w:pStyle w:val="3"/>
        <w:spacing w:before="152" w:line="326" w:lineRule="auto"/>
        <w:ind w:right="399" w:firstLine="638"/>
        <w:jc w:val="both"/>
      </w:pPr>
      <w:r>
        <w:rPr>
          <w:spacing w:val="-10"/>
        </w:rPr>
        <w:t>坚持出口和进口并重、招商引资和招才引智并行、利用外</w:t>
      </w:r>
      <w:r>
        <w:rPr>
          <w:spacing w:val="-16"/>
          <w:w w:val="95"/>
        </w:rPr>
        <w:t xml:space="preserve">资和对外投资并举，更大力度实施开放带动战略、提升合作开 </w:t>
      </w:r>
      <w:r>
        <w:rPr>
          <w:spacing w:val="-16"/>
        </w:rPr>
        <w:t>放的广度和深度，打造对外开放高地。</w:t>
      </w:r>
    </w:p>
    <w:p>
      <w:pPr>
        <w:pStyle w:val="3"/>
        <w:spacing w:before="7" w:line="328" w:lineRule="auto"/>
        <w:ind w:right="266" w:firstLine="638"/>
      </w:pPr>
      <w:r>
        <w:rPr>
          <w:b/>
          <w:spacing w:val="-7"/>
        </w:rPr>
        <w:t>融入区域发展战略格局。</w:t>
      </w:r>
      <w:r>
        <w:rPr>
          <w:spacing w:val="-8"/>
        </w:rPr>
        <w:t>坚持从全局谋划一域、以一域服</w:t>
      </w:r>
      <w:r>
        <w:rPr>
          <w:spacing w:val="-13"/>
        </w:rPr>
        <w:t>务全局，大力推进微山湖地区市域协同发展，深度参与鲁南经</w:t>
      </w:r>
      <w:r>
        <w:rPr>
          <w:spacing w:val="-17"/>
        </w:rPr>
        <w:t>济圈一体化发展，推动产业链、创新链、人才链融合，打造分</w:t>
      </w:r>
      <w:r>
        <w:rPr>
          <w:spacing w:val="-15"/>
        </w:rPr>
        <w:t>工合理、协作联动、优势互补的区域发展共同体。深入落实黄</w:t>
      </w:r>
      <w:r>
        <w:rPr>
          <w:spacing w:val="6"/>
        </w:rPr>
        <w:t>河流域生态保护和高质量发展战略，积极融入淮河生态经济</w:t>
      </w:r>
      <w:r>
        <w:rPr>
          <w:spacing w:val="5"/>
        </w:rPr>
        <w:t xml:space="preserve">带、淮海经济区，以更大力度对接京津冀、长三角、珠三角， </w:t>
      </w:r>
      <w:r>
        <w:rPr>
          <w:spacing w:val="-11"/>
        </w:rPr>
        <w:t>加速承接产业转移、技术转移，全力抢占发展先机。积极融入</w:t>
      </w:r>
      <w:r>
        <w:rPr>
          <w:spacing w:val="-15"/>
        </w:rPr>
        <w:t>“一带一路”等国家战略，申建保税物流园区，推动“滕州产品”走向世界。</w:t>
      </w:r>
    </w:p>
    <w:p>
      <w:pPr>
        <w:spacing w:before="0" w:line="395" w:lineRule="exact"/>
        <w:ind w:left="960" w:right="0" w:firstLine="0"/>
        <w:jc w:val="left"/>
        <w:rPr>
          <w:sz w:val="32"/>
        </w:rPr>
      </w:pPr>
      <w:r>
        <w:rPr>
          <w:b/>
          <w:sz w:val="32"/>
        </w:rPr>
        <w:t>持续加大招商引资力度。</w:t>
      </w:r>
      <w:r>
        <w:rPr>
          <w:sz w:val="32"/>
        </w:rPr>
        <w:t>强化产业招商，突出以商招商、</w:t>
      </w:r>
    </w:p>
    <w:p>
      <w:pPr>
        <w:spacing w:after="0" w:line="395" w:lineRule="exact"/>
        <w:jc w:val="left"/>
        <w:rPr>
          <w:sz w:val="32"/>
        </w:rPr>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6"/>
      </w:pPr>
      <w:r>
        <w:rPr>
          <w:spacing w:val="-13"/>
        </w:rPr>
        <w:t>以企引企，依托优势产业和优质企业，充分发挥本土企业家作</w:t>
      </w:r>
      <w:r>
        <w:rPr>
          <w:spacing w:val="-12"/>
        </w:rPr>
        <w:t>用，绘制产业图谱和招商地图，按图索骥、定向招引，着力引</w:t>
      </w:r>
      <w:r>
        <w:rPr>
          <w:spacing w:val="-16"/>
        </w:rPr>
        <w:t>进一批关联度高、配套能力强的强链补链延链项目。坚持招大</w:t>
      </w:r>
      <w:r>
        <w:rPr>
          <w:spacing w:val="-23"/>
        </w:rPr>
        <w:t xml:space="preserve">引强，重点瞄准国内外 </w:t>
      </w:r>
      <w:r>
        <w:t>500</w:t>
      </w:r>
      <w:r>
        <w:rPr>
          <w:spacing w:val="-29"/>
        </w:rPr>
        <w:t xml:space="preserve"> 强、民营 </w:t>
      </w:r>
      <w:r>
        <w:t>500</w:t>
      </w:r>
      <w:r>
        <w:rPr>
          <w:spacing w:val="-10"/>
        </w:rPr>
        <w:t xml:space="preserve"> 强等大型企业集团， </w:t>
      </w:r>
      <w:r>
        <w:rPr>
          <w:spacing w:val="-14"/>
        </w:rPr>
        <w:t>畅通渠道、主动出击，着力引进基地型、龙头型、集群式的大</w:t>
      </w:r>
      <w:r>
        <w:rPr>
          <w:spacing w:val="-13"/>
        </w:rPr>
        <w:t>项目。聚焦京津冀、长三角、珠三角等重点区域，广泛开展节</w:t>
      </w:r>
      <w:r>
        <w:rPr>
          <w:spacing w:val="-15"/>
        </w:rPr>
        <w:t>会招商、小分队招商、专班招商。抓住国家外资准入政策调整</w:t>
      </w:r>
      <w:r>
        <w:rPr>
          <w:spacing w:val="-13"/>
        </w:rPr>
        <w:t>机遇，坚持通过扩大开放、吸引外资，促增量、稳存量、提质</w:t>
      </w:r>
      <w:r>
        <w:rPr>
          <w:spacing w:val="-15"/>
        </w:rPr>
        <w:t>量并举，支持现有外资企业增资扩股，鼓励本地企业通过合资</w:t>
      </w:r>
      <w:r>
        <w:rPr>
          <w:spacing w:val="-19"/>
        </w:rPr>
        <w:t>合作方式与外商强强联合，鼓励外资投向先进制造业、现代服</w:t>
      </w:r>
      <w:r>
        <w:rPr>
          <w:spacing w:val="-14"/>
        </w:rPr>
        <w:t>务业，推出一批新基建、国企混改等优质资源，鼓励外资积极</w:t>
      </w:r>
      <w:r>
        <w:rPr>
          <w:spacing w:val="-18"/>
        </w:rPr>
        <w:t xml:space="preserve">参与投资，持续扩大利用外资规模质量。到 </w:t>
      </w:r>
      <w:r>
        <w:t>2025</w:t>
      </w:r>
      <w:r>
        <w:rPr>
          <w:spacing w:val="-14"/>
        </w:rPr>
        <w:t xml:space="preserve"> 年，引进百</w:t>
      </w:r>
    </w:p>
    <w:p>
      <w:pPr>
        <w:pStyle w:val="3"/>
        <w:spacing w:line="390" w:lineRule="exact"/>
      </w:pPr>
      <w:r>
        <w:t>亿级项目 5 个、过 50 亿元项目 10 个。</w:t>
      </w:r>
    </w:p>
    <w:p>
      <w:pPr>
        <w:pStyle w:val="3"/>
        <w:spacing w:before="152" w:line="328" w:lineRule="auto"/>
        <w:ind w:right="398" w:firstLine="638"/>
        <w:jc w:val="both"/>
      </w:pPr>
      <w:r>
        <w:rPr>
          <w:b/>
          <w:spacing w:val="-8"/>
          <w:w w:val="95"/>
        </w:rPr>
        <w:t>推进外贸转型升级。</w:t>
      </w:r>
      <w:r>
        <w:rPr>
          <w:spacing w:val="-8"/>
          <w:w w:val="95"/>
        </w:rPr>
        <w:t xml:space="preserve">大力培育外贸主体，积极主动融入对 </w:t>
      </w:r>
      <w:r>
        <w:rPr>
          <w:spacing w:val="-13"/>
        </w:rPr>
        <w:t>外开放大局，争创国家外贸转型升级基地。强化腾达紧固、东</w:t>
      </w:r>
      <w:r>
        <w:rPr>
          <w:spacing w:val="-12"/>
          <w:w w:val="95"/>
        </w:rPr>
        <w:t xml:space="preserve">方钢帘线、艾菲尔管业等重点外贸企业跟踪帮扶，扩大优势产 </w:t>
      </w:r>
      <w:r>
        <w:rPr>
          <w:spacing w:val="-14"/>
          <w:w w:val="95"/>
        </w:rPr>
        <w:t xml:space="preserve">业出口。深化“招平台、建平台、树品牌”工程，引进培育具 </w:t>
      </w:r>
      <w:r>
        <w:rPr>
          <w:spacing w:val="-20"/>
        </w:rPr>
        <w:t>备较强实力和供应链服务能力的外贸综合服务企业，积极招引</w:t>
      </w:r>
      <w:r>
        <w:rPr>
          <w:spacing w:val="-18"/>
          <w:w w:val="95"/>
        </w:rPr>
        <w:t xml:space="preserve">跨境电商平台，引导传统外贸和制造业企业上线，推动外贸转 </w:t>
      </w:r>
      <w:r>
        <w:rPr>
          <w:spacing w:val="-15"/>
        </w:rPr>
        <w:t>型升级。开通欧亚班列，加快建设公用型保税仓库，全力争取</w:t>
      </w:r>
      <w:r>
        <w:rPr>
          <w:spacing w:val="-18"/>
          <w:w w:val="95"/>
        </w:rPr>
        <w:t xml:space="preserve">申建海关特殊监管区域、枣庄海关驻滕州办事处，提升贸易便 </w:t>
      </w:r>
      <w:r>
        <w:rPr>
          <w:spacing w:val="-18"/>
        </w:rPr>
        <w:t>利化水平。</w:t>
      </w:r>
    </w:p>
    <w:p>
      <w:pPr>
        <w:spacing w:before="0" w:line="395" w:lineRule="exact"/>
        <w:ind w:left="960" w:right="0" w:firstLine="0"/>
        <w:jc w:val="left"/>
        <w:rPr>
          <w:sz w:val="32"/>
        </w:rPr>
      </w:pPr>
      <w:r>
        <w:rPr>
          <w:b/>
          <w:sz w:val="32"/>
        </w:rPr>
        <w:t>鼓励企业“走出去”。</w:t>
      </w:r>
      <w:r>
        <w:rPr>
          <w:sz w:val="32"/>
        </w:rPr>
        <w:t>加强对企业境外投资合作的指导，</w:t>
      </w:r>
    </w:p>
    <w:p>
      <w:pPr>
        <w:spacing w:after="0" w:line="395" w:lineRule="exact"/>
        <w:jc w:val="left"/>
        <w:rPr>
          <w:sz w:val="32"/>
        </w:rPr>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38"/>
      </w:pPr>
      <w:r>
        <w:rPr>
          <w:spacing w:val="-12"/>
        </w:rPr>
        <w:t>引导有条件、有实力的企业树立国际化经营理念，鼓励企业优</w:t>
      </w:r>
      <w:r>
        <w:rPr>
          <w:spacing w:val="-17"/>
        </w:rPr>
        <w:t>先选择与我国政治关系好、经济合作意愿强、市场环境相对完</w:t>
      </w:r>
      <w:r>
        <w:rPr>
          <w:spacing w:val="-18"/>
        </w:rPr>
        <w:t>善的国家和地区，特别是在“一带一路”沿线国家设立办事处</w:t>
      </w:r>
      <w:r>
        <w:rPr>
          <w:spacing w:val="-21"/>
        </w:rPr>
        <w:t>或投资建厂，推动企业“抱团出海”。积极组织企业参与境外</w:t>
      </w:r>
      <w:r>
        <w:rPr>
          <w:spacing w:val="-19"/>
        </w:rPr>
        <w:t>活动和国际合作论坛，加强国际合作交流，挖掘合作商机。重</w:t>
      </w:r>
      <w:r>
        <w:rPr>
          <w:spacing w:val="-23"/>
          <w:w w:val="95"/>
        </w:rPr>
        <w:t xml:space="preserve">点推动雄狮建筑装饰、三维钢结构等企业“走出去”承揽工程， </w:t>
      </w:r>
      <w:r>
        <w:rPr>
          <w:spacing w:val="-23"/>
        </w:rPr>
        <w:t>带动设备、产品、服务出口和劳务输出。</w:t>
      </w:r>
    </w:p>
    <w:p>
      <w:pPr>
        <w:pStyle w:val="3"/>
        <w:tabs>
          <w:tab w:val="left" w:pos="1281"/>
        </w:tabs>
        <w:spacing w:before="146"/>
        <w:ind w:left="0" w:right="80"/>
        <w:jc w:val="center"/>
        <w:rPr>
          <w:rFonts w:hint="eastAsia" w:ascii="黑体" w:eastAsia="黑体"/>
        </w:rPr>
      </w:pPr>
      <w:bookmarkStart w:id="27" w:name="第六章  优先发展农业农村，全面推动乡村振兴"/>
      <w:bookmarkEnd w:id="27"/>
      <w:r>
        <w:rPr>
          <w:rFonts w:hint="eastAsia" w:ascii="黑体" w:eastAsia="黑体"/>
        </w:rPr>
        <w:t>第六章</w:t>
      </w:r>
      <w:r>
        <w:rPr>
          <w:rFonts w:hint="eastAsia" w:ascii="黑体" w:eastAsia="黑体"/>
        </w:rPr>
        <w:tab/>
      </w:r>
      <w:r>
        <w:rPr>
          <w:rFonts w:hint="eastAsia" w:ascii="黑体" w:eastAsia="黑体"/>
        </w:rPr>
        <w:t>优先发展农业农村，全面推动乡村振兴</w:t>
      </w:r>
    </w:p>
    <w:p>
      <w:pPr>
        <w:pStyle w:val="3"/>
        <w:spacing w:before="149" w:line="328" w:lineRule="auto"/>
        <w:ind w:right="399" w:firstLine="638"/>
        <w:jc w:val="both"/>
      </w:pPr>
      <w:r>
        <w:rPr>
          <w:spacing w:val="-12"/>
        </w:rPr>
        <w:t>坚持把解决好“三农”问题作为工作的重中之重，全面实</w:t>
      </w:r>
      <w:r>
        <w:rPr>
          <w:spacing w:val="-17"/>
          <w:w w:val="95"/>
        </w:rPr>
        <w:t xml:space="preserve">施乡村振兴战略，强化以工补农、以城带乡，推动形成工农互 </w:t>
      </w:r>
      <w:r>
        <w:rPr>
          <w:spacing w:val="-13"/>
        </w:rPr>
        <w:t>促、城乡互补、协调发展、共同繁荣的新型工农城乡关系，加</w:t>
      </w:r>
      <w:r>
        <w:rPr>
          <w:spacing w:val="-16"/>
        </w:rPr>
        <w:t>快农业农村现代化，实现农业高质高效、乡村宜居宜业、农民富裕富足。</w:t>
      </w:r>
    </w:p>
    <w:p>
      <w:pPr>
        <w:pStyle w:val="3"/>
        <w:tabs>
          <w:tab w:val="left" w:pos="1279"/>
        </w:tabs>
        <w:spacing w:before="55"/>
        <w:ind w:left="0" w:right="80"/>
        <w:jc w:val="center"/>
        <w:rPr>
          <w:rFonts w:hint="eastAsia" w:ascii="宋体" w:eastAsia="宋体"/>
        </w:rPr>
      </w:pPr>
      <w:bookmarkStart w:id="28" w:name="第一节  推进农业高质高效发展"/>
      <w:bookmarkEnd w:id="28"/>
      <w:r>
        <w:rPr>
          <w:rFonts w:hint="eastAsia" w:ascii="宋体" w:eastAsia="宋体"/>
        </w:rPr>
        <w:t>第一节</w:t>
      </w:r>
      <w:r>
        <w:rPr>
          <w:rFonts w:hint="eastAsia" w:ascii="宋体" w:eastAsia="宋体"/>
        </w:rPr>
        <w:tab/>
      </w:r>
      <w:r>
        <w:rPr>
          <w:rFonts w:hint="eastAsia" w:ascii="宋体" w:eastAsia="宋体"/>
        </w:rPr>
        <w:t>推进农业高质高效发展</w:t>
      </w:r>
    </w:p>
    <w:p>
      <w:pPr>
        <w:pStyle w:val="3"/>
        <w:spacing w:before="149" w:line="328" w:lineRule="auto"/>
        <w:ind w:right="399" w:firstLine="638"/>
        <w:jc w:val="both"/>
      </w:pPr>
      <w:r>
        <w:rPr>
          <w:spacing w:val="-8"/>
        </w:rPr>
        <w:t>紧紧抓住我市被列为国家现代农业示范区、国家农村改革</w:t>
      </w:r>
      <w:r>
        <w:rPr>
          <w:spacing w:val="-13"/>
          <w:w w:val="95"/>
        </w:rPr>
        <w:t xml:space="preserve">试验区、国家农业可持续发展试验示范区的机遇，加快形成现 </w:t>
      </w:r>
      <w:r>
        <w:rPr>
          <w:spacing w:val="-13"/>
        </w:rPr>
        <w:t>代农业良性发展格局。</w:t>
      </w:r>
    </w:p>
    <w:p>
      <w:pPr>
        <w:pStyle w:val="3"/>
        <w:spacing w:line="328" w:lineRule="auto"/>
        <w:ind w:right="236" w:firstLine="638"/>
      </w:pPr>
      <w:r>
        <w:rPr>
          <w:b/>
          <w:spacing w:val="-10"/>
          <w:w w:val="95"/>
        </w:rPr>
        <w:t>提高农业综合生产能力。</w:t>
      </w:r>
      <w:r>
        <w:rPr>
          <w:spacing w:val="-16"/>
          <w:w w:val="95"/>
        </w:rPr>
        <w:t xml:space="preserve">巩固我市“产粮大县”领先地位， </w:t>
      </w:r>
      <w:r>
        <w:rPr>
          <w:spacing w:val="-12"/>
          <w:w w:val="99"/>
        </w:rPr>
        <w:t>坚持“藏粮于地、藏粮于技”，把确保粮食安全和主要农产品</w:t>
      </w:r>
      <w:r>
        <w:rPr>
          <w:spacing w:val="-18"/>
        </w:rPr>
        <w:t>有效供给作为农业现代化的首要任务。持续推进高标准农田建</w:t>
      </w:r>
      <w:r>
        <w:rPr>
          <w:spacing w:val="-15"/>
        </w:rPr>
        <w:t xml:space="preserve">设，确保全市粮食播种面积 </w:t>
      </w:r>
      <w:r>
        <w:t>160</w:t>
      </w:r>
      <w:r>
        <w:rPr>
          <w:spacing w:val="-15"/>
        </w:rPr>
        <w:t xml:space="preserve"> 万亩以上，总产量不低于“十</w:t>
      </w:r>
    </w:p>
    <w:p>
      <w:pPr>
        <w:pStyle w:val="3"/>
        <w:spacing w:line="328" w:lineRule="auto"/>
        <w:ind w:right="242"/>
      </w:pPr>
      <w:r>
        <w:rPr>
          <w:spacing w:val="-22"/>
        </w:rPr>
        <w:t xml:space="preserve">三五”末水平，建成高标准农田 </w:t>
      </w:r>
      <w:r>
        <w:t>100</w:t>
      </w:r>
      <w:r>
        <w:rPr>
          <w:spacing w:val="-18"/>
        </w:rPr>
        <w:t xml:space="preserve"> 万亩。提高农业技术水平， 加快建设现代农田灌排体系，发展节水农业，积极推广喷灌、</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6"/>
      </w:pPr>
      <w:r>
        <w:rPr>
          <w:spacing w:val="4"/>
        </w:rPr>
        <w:t>微灌等高效节水技术，</w:t>
      </w:r>
      <w:r>
        <w:t>2025</w:t>
      </w:r>
      <w:r>
        <w:rPr>
          <w:spacing w:val="-4"/>
        </w:rPr>
        <w:t xml:space="preserve"> 年，全市农业灌溉水有效利用系</w:t>
      </w:r>
      <w:r>
        <w:rPr>
          <w:spacing w:val="-19"/>
        </w:rPr>
        <w:t xml:space="preserve">数达到 </w:t>
      </w:r>
      <w:r>
        <w:t>0.67</w:t>
      </w:r>
      <w:r>
        <w:rPr>
          <w:spacing w:val="4"/>
        </w:rPr>
        <w:t>。大力实施数字农业农村建设，推进物联网、云</w:t>
      </w:r>
      <w:r>
        <w:rPr>
          <w:spacing w:val="-12"/>
        </w:rPr>
        <w:t>计算、大数据、移动互联等技术在农业领域的应用，构建滕州</w:t>
      </w:r>
      <w:r>
        <w:rPr>
          <w:spacing w:val="-17"/>
        </w:rPr>
        <w:t>市农业农村基础数据资源体系，建设农业农村大数据平台、智</w:t>
      </w:r>
      <w:r>
        <w:rPr>
          <w:spacing w:val="-19"/>
        </w:rPr>
        <w:t>慧农业管理服务平台、智慧农机平台，形成“滕州数字农业农</w:t>
      </w:r>
      <w:r>
        <w:rPr>
          <w:spacing w:val="-17"/>
        </w:rPr>
        <w:t>村一张图”。推进农业生产经营数字化改造步伐，推广智慧气</w:t>
      </w:r>
      <w:r>
        <w:rPr>
          <w:spacing w:val="-13"/>
        </w:rPr>
        <w:t>象、农业遥感技术等应用示范，提升智慧种植、智慧养殖、智</w:t>
      </w:r>
      <w:r>
        <w:rPr>
          <w:spacing w:val="-16"/>
        </w:rPr>
        <w:t>慧农机建设速度，建设马铃薯、生猪等主要农产品全产业链监</w:t>
      </w:r>
      <w:r>
        <w:rPr>
          <w:spacing w:val="-17"/>
        </w:rPr>
        <w:t>测预警体系。加强农机农艺融合，创建机艺融合示范区，大力推广应用大型高效、绿色、复合智能机械，推广深松、深耕、</w:t>
      </w:r>
      <w:r>
        <w:rPr>
          <w:spacing w:val="-4"/>
        </w:rPr>
        <w:t xml:space="preserve">秸秆还田等农机技术，提升农机的支撑作用。到 </w:t>
      </w:r>
      <w:r>
        <w:t>2025</w:t>
      </w:r>
      <w:r>
        <w:rPr>
          <w:spacing w:val="-20"/>
        </w:rPr>
        <w:t xml:space="preserve"> 年，全</w:t>
      </w:r>
    </w:p>
    <w:p>
      <w:pPr>
        <w:pStyle w:val="3"/>
        <w:spacing w:line="392" w:lineRule="exact"/>
      </w:pPr>
      <w:r>
        <w:rPr>
          <w:spacing w:val="-6"/>
        </w:rPr>
        <w:t xml:space="preserve">市百亩级智慧农业产业园发展到 </w:t>
      </w:r>
      <w:r>
        <w:t>10</w:t>
      </w:r>
      <w:r>
        <w:rPr>
          <w:spacing w:val="-9"/>
        </w:rPr>
        <w:t xml:space="preserve"> 家以上，农作物耕种收综</w:t>
      </w:r>
    </w:p>
    <w:p>
      <w:pPr>
        <w:pStyle w:val="3"/>
        <w:spacing w:before="144"/>
      </w:pPr>
      <w:r>
        <w:rPr>
          <w:position w:val="1"/>
        </w:rPr>
        <w:t>合机械化率达到</w:t>
      </w:r>
      <w:r>
        <w:rPr>
          <w:spacing w:val="-85"/>
          <w:position w:val="1"/>
        </w:rPr>
        <w:t xml:space="preserve"> </w:t>
      </w:r>
      <w:r>
        <w:rPr>
          <w:spacing w:val="6"/>
          <w:position w:val="1"/>
        </w:rPr>
        <w:t>95</w:t>
      </w:r>
      <w:r>
        <w:rPr>
          <w:spacing w:val="11"/>
          <w:w w:val="99"/>
        </w:rPr>
        <w:drawing>
          <wp:inline distT="0" distB="0" distL="0" distR="0">
            <wp:extent cx="85090" cy="154940"/>
            <wp:effectExtent l="0" t="0" r="0" b="0"/>
            <wp:docPr id="4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7"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position w:val="1"/>
        </w:rPr>
        <w:t>以上，农机智能装备率不低于</w:t>
      </w:r>
      <w:r>
        <w:rPr>
          <w:spacing w:val="-85"/>
          <w:position w:val="1"/>
        </w:rPr>
        <w:t xml:space="preserve"> </w:t>
      </w:r>
      <w:r>
        <w:rPr>
          <w:spacing w:val="6"/>
          <w:position w:val="1"/>
        </w:rPr>
        <w:t>60</w:t>
      </w:r>
      <w:r>
        <w:rPr>
          <w:spacing w:val="11"/>
          <w:w w:val="99"/>
        </w:rPr>
        <w:drawing>
          <wp:inline distT="0" distB="0" distL="0" distR="0">
            <wp:extent cx="85090" cy="154940"/>
            <wp:effectExtent l="0" t="0" r="0" b="0"/>
            <wp:docPr id="49"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9"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position w:val="1"/>
        </w:rPr>
        <w:t>。</w:t>
      </w:r>
    </w:p>
    <w:p>
      <w:pPr>
        <w:pStyle w:val="3"/>
        <w:spacing w:before="157" w:line="328" w:lineRule="auto"/>
        <w:ind w:right="266" w:firstLine="638"/>
      </w:pPr>
      <w:r>
        <w:rPr>
          <w:b/>
          <w:spacing w:val="-16"/>
        </w:rPr>
        <w:t>转变农业发展方式。</w:t>
      </w:r>
      <w:r>
        <w:t>实施农业绿色发展先行先试支撑体系</w:t>
      </w:r>
      <w:r>
        <w:rPr>
          <w:spacing w:val="-13"/>
        </w:rPr>
        <w:t>建设项目，创新体制机制，推进农业绿色发展。实施信息进村</w:t>
      </w:r>
      <w:r>
        <w:rPr>
          <w:spacing w:val="-16"/>
        </w:rPr>
        <w:t>入户工程，实现益农信息社村级全覆盖。实施国家畜禽粪污资</w:t>
      </w:r>
      <w:r>
        <w:rPr>
          <w:spacing w:val="-18"/>
        </w:rPr>
        <w:t>源利用整县推进项目，加快构建种养结合农牧循环的可持续发</w:t>
      </w:r>
      <w:r>
        <w:rPr>
          <w:spacing w:val="-16"/>
        </w:rPr>
        <w:t>展方式。实施全国绿色防控示范项目，开展化肥农药减量增效行动，2025</w:t>
      </w:r>
      <w:r>
        <w:rPr>
          <w:spacing w:val="-86"/>
        </w:rPr>
        <w:t xml:space="preserve"> </w:t>
      </w:r>
      <w:r>
        <w:t>年，全市测土配方施肥技术覆盖率达到</w:t>
      </w:r>
      <w:r>
        <w:rPr>
          <w:spacing w:val="-84"/>
        </w:rPr>
        <w:t xml:space="preserve"> </w:t>
      </w:r>
      <w:r>
        <w:rPr>
          <w:spacing w:val="6"/>
        </w:rPr>
        <w:t>90</w:t>
      </w:r>
      <w:r>
        <w:rPr>
          <w:spacing w:val="11"/>
          <w:w w:val="99"/>
        </w:rPr>
        <w:drawing>
          <wp:inline distT="0" distB="0" distL="0" distR="0">
            <wp:extent cx="85090" cy="154940"/>
            <wp:effectExtent l="0" t="0" r="0" b="0"/>
            <wp:docPr id="51"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1"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以上， 主要农作物绿色防控率达到</w:t>
      </w:r>
      <w:r>
        <w:rPr>
          <w:spacing w:val="-86"/>
        </w:rPr>
        <w:t xml:space="preserve"> </w:t>
      </w:r>
      <w:r>
        <w:rPr>
          <w:spacing w:val="6"/>
        </w:rPr>
        <w:t>80</w:t>
      </w:r>
      <w:r>
        <w:rPr>
          <w:spacing w:val="11"/>
          <w:w w:val="99"/>
        </w:rPr>
        <w:drawing>
          <wp:inline distT="0" distB="0" distL="0" distR="0">
            <wp:extent cx="85090" cy="154940"/>
            <wp:effectExtent l="0" t="0" r="0" b="0"/>
            <wp:docPr id="5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3"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以上</w:t>
      </w:r>
      <w:r>
        <w:rPr>
          <w:spacing w:val="-55"/>
        </w:rPr>
        <w:t>。</w:t>
      </w:r>
      <w:r>
        <w:t>完善市级农产品质量安</w:t>
      </w:r>
      <w:r>
        <w:rPr>
          <w:spacing w:val="-1"/>
        </w:rPr>
        <w:t>全追溯体系，加快推动无公害农产品、绿色食品、有机食品、</w:t>
      </w:r>
      <w:r>
        <w:rPr>
          <w:w w:val="99"/>
        </w:rPr>
        <w:t>地理标志农产品认证，每年实现新认证</w:t>
      </w:r>
      <w:r>
        <w:rPr>
          <w:spacing w:val="2"/>
          <w:w w:val="99"/>
        </w:rPr>
        <w:t>（</w:t>
      </w:r>
      <w:r>
        <w:rPr>
          <w:spacing w:val="1"/>
          <w:w w:val="99"/>
        </w:rPr>
        <w:t>续展</w:t>
      </w:r>
      <w:r>
        <w:rPr>
          <w:spacing w:val="-159"/>
          <w:w w:val="99"/>
        </w:rPr>
        <w:t>）</w:t>
      </w:r>
      <w:r>
        <w:rPr>
          <w:w w:val="99"/>
        </w:rPr>
        <w:t>“三品一标”</w:t>
      </w:r>
      <w:r>
        <w:rPr>
          <w:spacing w:val="-21"/>
        </w:rPr>
        <w:t xml:space="preserve">农产品 </w:t>
      </w:r>
      <w:r>
        <w:t>8</w:t>
      </w:r>
      <w:r>
        <w:rPr>
          <w:spacing w:val="-17"/>
        </w:rPr>
        <w:t xml:space="preserve"> 个以上，争创国家级农产品质量安全示范县。积极引</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38"/>
      </w:pPr>
      <w:r>
        <w:rPr>
          <w:spacing w:val="-10"/>
        </w:rPr>
        <w:t>导农业专业大户、农民专业合作社等整合未利用地、荒地，新</w:t>
      </w:r>
      <w:r>
        <w:rPr>
          <w:spacing w:val="-21"/>
        </w:rPr>
        <w:t xml:space="preserve">发展设施农业 </w:t>
      </w:r>
      <w:r>
        <w:t>1</w:t>
      </w:r>
      <w:r>
        <w:rPr>
          <w:spacing w:val="-16"/>
        </w:rPr>
        <w:t xml:space="preserve"> 万亩；支持各类农业生产主体因地制宜发展钢</w:t>
      </w:r>
      <w:r>
        <w:rPr>
          <w:spacing w:val="-20"/>
        </w:rPr>
        <w:t>架大棚、玻璃温室等现代高效农业，鼓励建设智能化畜禽养殖、</w:t>
      </w:r>
      <w:r>
        <w:rPr>
          <w:spacing w:val="-22"/>
        </w:rPr>
        <w:t>种苗繁育、仓储冷链物流设施，配置应用立体栽植、多层养殖、</w:t>
      </w:r>
      <w:r>
        <w:rPr>
          <w:spacing w:val="-27"/>
        </w:rPr>
        <w:t>控温控湿等装备，提高水、土、肥的利用率，推进农业生产“设</w:t>
      </w:r>
      <w:r>
        <w:rPr>
          <w:spacing w:val="-17"/>
        </w:rPr>
        <w:t>施增地”。做大做强马铃薯产业，推进马铃薯绿色化标准化种</w:t>
      </w:r>
      <w:r>
        <w:rPr>
          <w:spacing w:val="-25"/>
        </w:rPr>
        <w:t>植，争创国家级特色产业集群，树牢全国菜用马铃薯行业的“风</w:t>
      </w:r>
      <w:r>
        <w:rPr>
          <w:spacing w:val="-12"/>
          <w:w w:val="99"/>
        </w:rPr>
        <w:t>向标”；加快培育龙阳绿萝卜、刘村酥梨、羊庄大樱桃、春藤</w:t>
      </w:r>
      <w:r>
        <w:rPr>
          <w:spacing w:val="-15"/>
        </w:rPr>
        <w:t>黑盖猪、张汪板鸭等“滕字号”特色产品，推广标准化池塘生</w:t>
      </w:r>
      <w:r>
        <w:rPr>
          <w:spacing w:val="-17"/>
        </w:rPr>
        <w:t>态养殖模式，发展旅游休闲观光渔业；完善提升鲁南花卉交易</w:t>
      </w:r>
      <w:r>
        <w:rPr>
          <w:spacing w:val="-20"/>
        </w:rPr>
        <w:t xml:space="preserve">中心，借助互联网平台，发展壮大花卉产业。到 </w:t>
      </w:r>
      <w:r>
        <w:t>2025</w:t>
      </w:r>
      <w:r>
        <w:rPr>
          <w:spacing w:val="-21"/>
        </w:rPr>
        <w:t xml:space="preserve"> 年，全</w:t>
      </w:r>
    </w:p>
    <w:p>
      <w:pPr>
        <w:pStyle w:val="3"/>
        <w:spacing w:line="392" w:lineRule="exact"/>
      </w:pPr>
      <w:r>
        <w:rPr>
          <w:spacing w:val="-9"/>
        </w:rPr>
        <w:t xml:space="preserve">市马铃薯面积稳定在 </w:t>
      </w:r>
      <w:r>
        <w:t>70</w:t>
      </w:r>
      <w:r>
        <w:rPr>
          <w:spacing w:val="-22"/>
        </w:rPr>
        <w:t xml:space="preserve"> 万亩以上，经济林面积达 </w:t>
      </w:r>
      <w:r>
        <w:t>15</w:t>
      </w:r>
      <w:r>
        <w:rPr>
          <w:spacing w:val="-31"/>
        </w:rPr>
        <w:t xml:space="preserve"> 万亩，林</w:t>
      </w:r>
    </w:p>
    <w:p>
      <w:pPr>
        <w:pStyle w:val="3"/>
        <w:spacing w:before="149"/>
      </w:pPr>
      <w:r>
        <w:rPr>
          <w:spacing w:val="-6"/>
        </w:rPr>
        <w:t xml:space="preserve">下经营年产值达 </w:t>
      </w:r>
      <w:r>
        <w:t>6</w:t>
      </w:r>
      <w:r>
        <w:rPr>
          <w:spacing w:val="-3"/>
        </w:rPr>
        <w:t xml:space="preserve"> 亿元，新发展万亩级特色优质农产品基地</w:t>
      </w:r>
    </w:p>
    <w:p>
      <w:pPr>
        <w:pStyle w:val="3"/>
        <w:spacing w:before="152"/>
      </w:pPr>
      <w:r>
        <w:t>10 个。</w:t>
      </w:r>
    </w:p>
    <w:p>
      <w:pPr>
        <w:pStyle w:val="3"/>
        <w:spacing w:before="149" w:line="328" w:lineRule="auto"/>
        <w:ind w:right="242" w:firstLine="638"/>
      </w:pPr>
      <w:r>
        <w:rPr>
          <w:b/>
          <w:spacing w:val="-4"/>
        </w:rPr>
        <w:t>推进农村一二三产业融合。</w:t>
      </w:r>
      <w:r>
        <w:rPr>
          <w:spacing w:val="-11"/>
        </w:rPr>
        <w:t>围绕粮食、畜禽、蔬菜等优势</w:t>
      </w:r>
      <w:r>
        <w:rPr>
          <w:spacing w:val="-16"/>
        </w:rPr>
        <w:t>主导产业，扶持壮大恒仁、盈泰、春藤、新东谷等农业龙头企</w:t>
      </w:r>
      <w:r>
        <w:rPr>
          <w:spacing w:val="-13"/>
        </w:rPr>
        <w:t>业，加快粮食加工、食品制造、畜禽加工、果菜加工、湖产品</w:t>
      </w:r>
      <w:r>
        <w:rPr>
          <w:spacing w:val="-10"/>
          <w:w w:val="99"/>
        </w:rPr>
        <w:t>加工等规模集群发展。充分利用“旅游+”“生态+”等模式，</w:t>
      </w:r>
      <w:r>
        <w:rPr>
          <w:spacing w:val="-23"/>
          <w:w w:val="95"/>
        </w:rPr>
        <w:t xml:space="preserve">拓展观光采摘和休闲体验功能，打造一批相对集中、业态丰富、 </w:t>
      </w:r>
      <w:r>
        <w:rPr>
          <w:spacing w:val="6"/>
        </w:rPr>
        <w:t>功能完善的乡村旅游集群片区和乡村旅游园区。推进丰谷云</w:t>
      </w:r>
      <w:r>
        <w:rPr>
          <w:spacing w:val="-12"/>
        </w:rPr>
        <w:t>农、班墨里小镇、滕阳里龙田茶园等各类主题农业公园、田园综合体、文旅小镇、农业生态</w:t>
      </w:r>
      <w:r>
        <w:t>（活态</w:t>
      </w:r>
      <w:r>
        <w:rPr>
          <w:spacing w:val="-27"/>
        </w:rPr>
        <w:t>）</w:t>
      </w:r>
      <w:r>
        <w:rPr>
          <w:spacing w:val="-4"/>
        </w:rPr>
        <w:t>博物馆等建设，发展滕州特色的文旅农业。鼓励镇街、农业龙头企业、农民合作社、</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t>家庭农场进行特色农产品深度开发，拉长乡村振兴产业链条。</w:t>
      </w:r>
      <w:r>
        <w:rPr>
          <w:spacing w:val="-10"/>
        </w:rPr>
        <w:t>大力培育新型经营主体，健全农业专业化社会服务体系，实现</w:t>
      </w:r>
      <w:r>
        <w:rPr>
          <w:spacing w:val="-17"/>
        </w:rPr>
        <w:t>小农户和现代农业有机衔接。依托农产品资源优势，引进培育</w:t>
      </w:r>
      <w:r>
        <w:rPr>
          <w:spacing w:val="-20"/>
          <w:w w:val="95"/>
        </w:rPr>
        <w:t>智慧零售、直播电商等新业态新模式，培育村级电商服务网点。</w:t>
      </w:r>
      <w:r>
        <w:rPr>
          <w:spacing w:val="-20"/>
        </w:rPr>
        <w:t>2025</w:t>
      </w:r>
      <w:r>
        <w:rPr>
          <w:spacing w:val="-9"/>
        </w:rPr>
        <w:t xml:space="preserve"> 年，全市国家级农业龙头企业达到 </w:t>
      </w:r>
      <w:r>
        <w:t>3</w:t>
      </w:r>
      <w:r>
        <w:rPr>
          <w:spacing w:val="-7"/>
        </w:rPr>
        <w:t xml:space="preserve"> 家，省级农业龙头</w:t>
      </w:r>
    </w:p>
    <w:p>
      <w:pPr>
        <w:pStyle w:val="3"/>
        <w:spacing w:line="402" w:lineRule="exact"/>
      </w:pPr>
      <w:r>
        <w:rPr>
          <w:spacing w:val="-17"/>
        </w:rPr>
        <w:t xml:space="preserve">企业达到 </w:t>
      </w:r>
      <w:r>
        <w:t>20</w:t>
      </w:r>
      <w:r>
        <w:rPr>
          <w:spacing w:val="-17"/>
        </w:rPr>
        <w:t xml:space="preserve"> 家，省级农民专业合作社达到 </w:t>
      </w:r>
      <w:r>
        <w:t>200</w:t>
      </w:r>
      <w:r>
        <w:rPr>
          <w:spacing w:val="-29"/>
        </w:rPr>
        <w:t xml:space="preserve"> 家，年产值 </w:t>
      </w:r>
      <w:r>
        <w:t>10</w:t>
      </w:r>
    </w:p>
    <w:p>
      <w:pPr>
        <w:pStyle w:val="3"/>
        <w:spacing w:before="149"/>
      </w:pPr>
      <w:r>
        <w:t>亿元以上农业龙头企业达到 5 家。</w:t>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3"/>
        </w:rPr>
      </w:pPr>
    </w:p>
    <w:p>
      <w:pPr>
        <w:spacing w:before="62"/>
        <w:ind w:left="0" w:right="355" w:firstLine="0"/>
        <w:jc w:val="right"/>
        <w:rPr>
          <w:sz w:val="28"/>
        </w:rPr>
      </w:pPr>
      <w:r>
        <mc:AlternateContent>
          <mc:Choice Requires="wps">
            <w:drawing>
              <wp:anchor distT="0" distB="0" distL="114300" distR="114300" simplePos="0" relativeHeight="249885696" behindDoc="1" locked="0" layoutInCell="1" allowOverlap="1">
                <wp:simplePos x="0" y="0"/>
                <wp:positionH relativeFrom="page">
                  <wp:posOffset>1073785</wp:posOffset>
                </wp:positionH>
                <wp:positionV relativeFrom="paragraph">
                  <wp:posOffset>-1107440</wp:posOffset>
                </wp:positionV>
                <wp:extent cx="5411470" cy="2647950"/>
                <wp:effectExtent l="4445" t="4445" r="13335" b="14605"/>
                <wp:wrapNone/>
                <wp:docPr id="18" name="文本框 18"/>
                <wp:cNvGraphicFramePr/>
                <a:graphic xmlns:a="http://schemas.openxmlformats.org/drawingml/2006/main">
                  <a:graphicData uri="http://schemas.microsoft.com/office/word/2010/wordprocessingShape">
                    <wps:wsp>
                      <wps:cNvSpPr txBox="true"/>
                      <wps:spPr>
                        <a:xfrm>
                          <a:off x="0" y="0"/>
                          <a:ext cx="5411470" cy="2647950"/>
                        </a:xfrm>
                        <a:prstGeom prst="rect">
                          <a:avLst/>
                        </a:prstGeom>
                        <a:noFill/>
                        <a:ln w="6096" cap="flat" cmpd="sng">
                          <a:solidFill>
                            <a:srgbClr val="000000"/>
                          </a:solidFill>
                          <a:prstDash val="solid"/>
                          <a:miter/>
                          <a:headEnd type="none" w="med" len="med"/>
                          <a:tailEnd type="none" w="med" len="med"/>
                        </a:ln>
                      </wps:spPr>
                      <wps:txbx>
                        <w:txbxContent>
                          <w:p>
                            <w:pPr>
                              <w:tabs>
                                <w:tab w:val="left" w:pos="1051"/>
                              </w:tabs>
                              <w:spacing w:before="169"/>
                              <w:ind w:left="0" w:right="0" w:firstLine="0"/>
                              <w:jc w:val="center"/>
                              <w:rPr>
                                <w:b/>
                                <w:sz w:val="28"/>
                              </w:rPr>
                            </w:pPr>
                            <w:r>
                              <w:rPr>
                                <w:b/>
                                <w:sz w:val="28"/>
                              </w:rPr>
                              <w:t>专栏</w:t>
                            </w:r>
                            <w:r>
                              <w:rPr>
                                <w:b/>
                                <w:spacing w:val="-73"/>
                                <w:sz w:val="28"/>
                              </w:rPr>
                              <w:t xml:space="preserve"> </w:t>
                            </w:r>
                            <w:r>
                              <w:rPr>
                                <w:rFonts w:ascii="Times New Roman" w:eastAsia="Times New Roman"/>
                                <w:b/>
                                <w:sz w:val="28"/>
                              </w:rPr>
                              <w:t>9</w:t>
                            </w:r>
                            <w:r>
                              <w:rPr>
                                <w:rFonts w:ascii="Times New Roman" w:eastAsia="Times New Roman"/>
                                <w:b/>
                                <w:sz w:val="28"/>
                              </w:rPr>
                              <w:tab/>
                            </w:r>
                            <w:r>
                              <w:rPr>
                                <w:b/>
                                <w:sz w:val="28"/>
                              </w:rPr>
                              <w:t>农业农村重点项目</w:t>
                            </w:r>
                          </w:p>
                          <w:p>
                            <w:pPr>
                              <w:spacing w:before="73" w:line="268" w:lineRule="auto"/>
                              <w:ind w:left="103" w:right="100" w:firstLine="0"/>
                              <w:jc w:val="center"/>
                              <w:rPr>
                                <w:sz w:val="28"/>
                              </w:rPr>
                            </w:pPr>
                            <w:r>
                              <w:rPr>
                                <w:spacing w:val="-10"/>
                                <w:sz w:val="28"/>
                              </w:rPr>
                              <w:t>高标准农田建设项目、农业绿色发展先行先试支撑体系建设项目、粮</w:t>
                            </w:r>
                            <w:r>
                              <w:rPr>
                                <w:spacing w:val="-12"/>
                                <w:sz w:val="28"/>
                              </w:rPr>
                              <w:t xml:space="preserve">食绿色高质高效整建制项目、美丽乡村提升工程、官桥镇雨润 </w:t>
                            </w:r>
                            <w:r>
                              <w:rPr>
                                <w:rFonts w:ascii="Times New Roman" w:eastAsia="Times New Roman"/>
                                <w:sz w:val="28"/>
                              </w:rPr>
                              <w:t>12</w:t>
                            </w:r>
                            <w:r>
                              <w:rPr>
                                <w:rFonts w:ascii="Times New Roman" w:eastAsia="Times New Roman"/>
                                <w:spacing w:val="15"/>
                                <w:sz w:val="28"/>
                              </w:rPr>
                              <w:t xml:space="preserve"> </w:t>
                            </w:r>
                            <w:r>
                              <w:rPr>
                                <w:sz w:val="28"/>
                              </w:rPr>
                              <w:t>万</w:t>
                            </w:r>
                          </w:p>
                          <w:p>
                            <w:pPr>
                              <w:spacing w:before="0" w:line="354" w:lineRule="exact"/>
                              <w:ind w:left="0" w:right="0" w:firstLine="0"/>
                              <w:jc w:val="center"/>
                              <w:rPr>
                                <w:sz w:val="28"/>
                              </w:rPr>
                            </w:pPr>
                            <w:r>
                              <w:rPr>
                                <w:spacing w:val="-12"/>
                                <w:sz w:val="28"/>
                              </w:rPr>
                              <w:t xml:space="preserve">头生猪养殖项目、姜屯镇牧原集团 </w:t>
                            </w:r>
                            <w:r>
                              <w:rPr>
                                <w:rFonts w:ascii="Times New Roman" w:eastAsia="Times New Roman"/>
                                <w:sz w:val="28"/>
                              </w:rPr>
                              <w:t>5</w:t>
                            </w:r>
                            <w:r>
                              <w:rPr>
                                <w:rFonts w:ascii="Times New Roman" w:eastAsia="Times New Roman"/>
                                <w:spacing w:val="4"/>
                                <w:sz w:val="28"/>
                              </w:rPr>
                              <w:t xml:space="preserve"> </w:t>
                            </w:r>
                            <w:r>
                              <w:rPr>
                                <w:spacing w:val="-8"/>
                                <w:sz w:val="28"/>
                              </w:rPr>
                              <w:t>万头生猪养殖场项目、羊庄镇牧</w:t>
                            </w:r>
                          </w:p>
                          <w:p>
                            <w:pPr>
                              <w:spacing w:before="42" w:line="268" w:lineRule="auto"/>
                              <w:ind w:left="103" w:right="98" w:firstLine="0"/>
                              <w:jc w:val="left"/>
                              <w:rPr>
                                <w:sz w:val="28"/>
                              </w:rPr>
                            </w:pPr>
                            <w:r>
                              <w:rPr>
                                <w:spacing w:val="13"/>
                                <w:sz w:val="28"/>
                              </w:rPr>
                              <w:t>原集团</w:t>
                            </w:r>
                            <w:r>
                              <w:rPr>
                                <w:rFonts w:ascii="Times New Roman" w:eastAsia="Times New Roman"/>
                                <w:sz w:val="28"/>
                              </w:rPr>
                              <w:t>8</w:t>
                            </w:r>
                            <w:r>
                              <w:rPr>
                                <w:rFonts w:ascii="Times New Roman" w:eastAsia="Times New Roman"/>
                                <w:spacing w:val="-22"/>
                                <w:sz w:val="28"/>
                              </w:rPr>
                              <w:t xml:space="preserve"> </w:t>
                            </w:r>
                            <w:r>
                              <w:rPr>
                                <w:spacing w:val="-10"/>
                                <w:sz w:val="28"/>
                              </w:rPr>
                              <w:t>万头生猪养殖场项目、滨湖镇和利升</w:t>
                            </w:r>
                            <w:r>
                              <w:rPr>
                                <w:rFonts w:ascii="Times New Roman" w:eastAsia="Times New Roman"/>
                                <w:sz w:val="28"/>
                              </w:rPr>
                              <w:t>6</w:t>
                            </w:r>
                            <w:r>
                              <w:rPr>
                                <w:rFonts w:ascii="Times New Roman" w:eastAsia="Times New Roman"/>
                                <w:spacing w:val="-22"/>
                                <w:sz w:val="28"/>
                              </w:rPr>
                              <w:t xml:space="preserve"> </w:t>
                            </w:r>
                            <w:r>
                              <w:rPr>
                                <w:spacing w:val="-3"/>
                                <w:sz w:val="28"/>
                              </w:rPr>
                              <w:t>万头生猪养殖场项目</w:t>
                            </w:r>
                            <w:r>
                              <w:rPr>
                                <w:spacing w:val="-9"/>
                                <w:sz w:val="28"/>
                              </w:rPr>
                              <w:t>畜禽粪污资源化利用整县推进项目、春藤牧业肉鸡加工及冷链物流项</w:t>
                            </w:r>
                            <w:r>
                              <w:rPr>
                                <w:spacing w:val="-10"/>
                                <w:sz w:val="28"/>
                              </w:rPr>
                              <w:t>目、滕阳里龙田茶休闲项目、鲁班小镇田园综合体省级试点项目、高</w:t>
                            </w:r>
                            <w:r>
                              <w:rPr>
                                <w:spacing w:val="-11"/>
                                <w:sz w:val="28"/>
                              </w:rPr>
                              <w:t>素质农民培育项目、基层农技推广体系改革与建设补助项目、国家级</w:t>
                            </w:r>
                            <w:r>
                              <w:rPr>
                                <w:spacing w:val="-9"/>
                                <w:sz w:val="28"/>
                              </w:rPr>
                              <w:t>农产品质量安全示范县创建、马铃薯现代农业产业园项目、农民专业</w:t>
                            </w:r>
                          </w:p>
                          <w:p>
                            <w:pPr>
                              <w:spacing w:before="0" w:line="349" w:lineRule="exact"/>
                              <w:ind w:left="103" w:right="0" w:firstLine="0"/>
                              <w:jc w:val="left"/>
                              <w:rPr>
                                <w:sz w:val="28"/>
                              </w:rPr>
                            </w:pPr>
                            <w:r>
                              <w:rPr>
                                <w:sz w:val="28"/>
                              </w:rPr>
                              <w:t>合作社质量提升整县推进试点项目、农业产业强镇项目</w:t>
                            </w:r>
                          </w:p>
                        </w:txbxContent>
                      </wps:txbx>
                      <wps:bodyPr lIns="0" tIns="0" rIns="0" bIns="0" upright="true"/>
                    </wps:wsp>
                  </a:graphicData>
                </a:graphic>
              </wp:anchor>
            </w:drawing>
          </mc:Choice>
          <mc:Fallback>
            <w:pict>
              <v:shape id="_x0000_s1026" o:spid="_x0000_s1026" o:spt="202" type="#_x0000_t202" style="position:absolute;left:0pt;margin-left:84.55pt;margin-top:-87.2pt;height:208.5pt;width:426.1pt;mso-position-horizontal-relative:page;z-index:-253430784;mso-width-relative:page;mso-height-relative:page;" filled="f" stroked="t" coordsize="21600,21600" o:gfxdata="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BYAAABkcnMvUEsBAhQAFAAAAAgAh07iQOWWeAvaAAAADQEAAA8A&#10;AAAAAAAAAQAgAAAAOAAAAGRycy9kb3ducmV2LnhtbFBLAQIUABQAAAAIAIdO4kCMM/d8/wEAAOwD&#10;AAAOAAAAAAAAAAEAIAAAAD8BAABkcnMvZTJvRG9jLnhtbFBLBQYAAAAABgAGAFkBAACwBQAAAAA=&#10;">
                <v:fill on="f" focussize="0,0"/>
                <v:stroke weight="0.48pt" color="#000000" joinstyle="miter"/>
                <v:imagedata o:title=""/>
                <o:lock v:ext="edit" aspectratio="f"/>
                <v:textbox inset="0mm,0mm,0mm,0mm">
                  <w:txbxContent>
                    <w:p>
                      <w:pPr>
                        <w:tabs>
                          <w:tab w:val="left" w:pos="1051"/>
                        </w:tabs>
                        <w:spacing w:before="169"/>
                        <w:ind w:left="0" w:right="0" w:firstLine="0"/>
                        <w:jc w:val="center"/>
                        <w:rPr>
                          <w:b/>
                          <w:sz w:val="28"/>
                        </w:rPr>
                      </w:pPr>
                      <w:r>
                        <w:rPr>
                          <w:b/>
                          <w:sz w:val="28"/>
                        </w:rPr>
                        <w:t>专栏</w:t>
                      </w:r>
                      <w:r>
                        <w:rPr>
                          <w:b/>
                          <w:spacing w:val="-73"/>
                          <w:sz w:val="28"/>
                        </w:rPr>
                        <w:t xml:space="preserve"> </w:t>
                      </w:r>
                      <w:r>
                        <w:rPr>
                          <w:rFonts w:ascii="Times New Roman" w:eastAsia="Times New Roman"/>
                          <w:b/>
                          <w:sz w:val="28"/>
                        </w:rPr>
                        <w:t>9</w:t>
                      </w:r>
                      <w:r>
                        <w:rPr>
                          <w:rFonts w:ascii="Times New Roman" w:eastAsia="Times New Roman"/>
                          <w:b/>
                          <w:sz w:val="28"/>
                        </w:rPr>
                        <w:tab/>
                      </w:r>
                      <w:r>
                        <w:rPr>
                          <w:b/>
                          <w:sz w:val="28"/>
                        </w:rPr>
                        <w:t>农业农村重点项目</w:t>
                      </w:r>
                    </w:p>
                    <w:p>
                      <w:pPr>
                        <w:spacing w:before="73" w:line="268" w:lineRule="auto"/>
                        <w:ind w:left="103" w:right="100" w:firstLine="0"/>
                        <w:jc w:val="center"/>
                        <w:rPr>
                          <w:sz w:val="28"/>
                        </w:rPr>
                      </w:pPr>
                      <w:r>
                        <w:rPr>
                          <w:spacing w:val="-10"/>
                          <w:sz w:val="28"/>
                        </w:rPr>
                        <w:t>高标准农田建设项目、农业绿色发展先行先试支撑体系建设项目、粮</w:t>
                      </w:r>
                      <w:r>
                        <w:rPr>
                          <w:spacing w:val="-12"/>
                          <w:sz w:val="28"/>
                        </w:rPr>
                        <w:t xml:space="preserve">食绿色高质高效整建制项目、美丽乡村提升工程、官桥镇雨润 </w:t>
                      </w:r>
                      <w:r>
                        <w:rPr>
                          <w:rFonts w:ascii="Times New Roman" w:eastAsia="Times New Roman"/>
                          <w:sz w:val="28"/>
                        </w:rPr>
                        <w:t>12</w:t>
                      </w:r>
                      <w:r>
                        <w:rPr>
                          <w:rFonts w:ascii="Times New Roman" w:eastAsia="Times New Roman"/>
                          <w:spacing w:val="15"/>
                          <w:sz w:val="28"/>
                        </w:rPr>
                        <w:t xml:space="preserve"> </w:t>
                      </w:r>
                      <w:r>
                        <w:rPr>
                          <w:sz w:val="28"/>
                        </w:rPr>
                        <w:t>万</w:t>
                      </w:r>
                    </w:p>
                    <w:p>
                      <w:pPr>
                        <w:spacing w:before="0" w:line="354" w:lineRule="exact"/>
                        <w:ind w:left="0" w:right="0" w:firstLine="0"/>
                        <w:jc w:val="center"/>
                        <w:rPr>
                          <w:sz w:val="28"/>
                        </w:rPr>
                      </w:pPr>
                      <w:r>
                        <w:rPr>
                          <w:spacing w:val="-12"/>
                          <w:sz w:val="28"/>
                        </w:rPr>
                        <w:t xml:space="preserve">头生猪养殖项目、姜屯镇牧原集团 </w:t>
                      </w:r>
                      <w:r>
                        <w:rPr>
                          <w:rFonts w:ascii="Times New Roman" w:eastAsia="Times New Roman"/>
                          <w:sz w:val="28"/>
                        </w:rPr>
                        <w:t>5</w:t>
                      </w:r>
                      <w:r>
                        <w:rPr>
                          <w:rFonts w:ascii="Times New Roman" w:eastAsia="Times New Roman"/>
                          <w:spacing w:val="4"/>
                          <w:sz w:val="28"/>
                        </w:rPr>
                        <w:t xml:space="preserve"> </w:t>
                      </w:r>
                      <w:r>
                        <w:rPr>
                          <w:spacing w:val="-8"/>
                          <w:sz w:val="28"/>
                        </w:rPr>
                        <w:t>万头生猪养殖场项目、羊庄镇牧</w:t>
                      </w:r>
                    </w:p>
                    <w:p>
                      <w:pPr>
                        <w:spacing w:before="42" w:line="268" w:lineRule="auto"/>
                        <w:ind w:left="103" w:right="98" w:firstLine="0"/>
                        <w:jc w:val="left"/>
                        <w:rPr>
                          <w:sz w:val="28"/>
                        </w:rPr>
                      </w:pPr>
                      <w:r>
                        <w:rPr>
                          <w:spacing w:val="13"/>
                          <w:sz w:val="28"/>
                        </w:rPr>
                        <w:t>原集团</w:t>
                      </w:r>
                      <w:r>
                        <w:rPr>
                          <w:rFonts w:ascii="Times New Roman" w:eastAsia="Times New Roman"/>
                          <w:sz w:val="28"/>
                        </w:rPr>
                        <w:t>8</w:t>
                      </w:r>
                      <w:r>
                        <w:rPr>
                          <w:rFonts w:ascii="Times New Roman" w:eastAsia="Times New Roman"/>
                          <w:spacing w:val="-22"/>
                          <w:sz w:val="28"/>
                        </w:rPr>
                        <w:t xml:space="preserve"> </w:t>
                      </w:r>
                      <w:r>
                        <w:rPr>
                          <w:spacing w:val="-10"/>
                          <w:sz w:val="28"/>
                        </w:rPr>
                        <w:t>万头生猪养殖场项目、滨湖镇和利升</w:t>
                      </w:r>
                      <w:r>
                        <w:rPr>
                          <w:rFonts w:ascii="Times New Roman" w:eastAsia="Times New Roman"/>
                          <w:sz w:val="28"/>
                        </w:rPr>
                        <w:t>6</w:t>
                      </w:r>
                      <w:r>
                        <w:rPr>
                          <w:rFonts w:ascii="Times New Roman" w:eastAsia="Times New Roman"/>
                          <w:spacing w:val="-22"/>
                          <w:sz w:val="28"/>
                        </w:rPr>
                        <w:t xml:space="preserve"> </w:t>
                      </w:r>
                      <w:r>
                        <w:rPr>
                          <w:spacing w:val="-3"/>
                          <w:sz w:val="28"/>
                        </w:rPr>
                        <w:t>万头生猪养殖场项目</w:t>
                      </w:r>
                      <w:r>
                        <w:rPr>
                          <w:spacing w:val="-9"/>
                          <w:sz w:val="28"/>
                        </w:rPr>
                        <w:t>畜禽粪污资源化利用整县推进项目、春藤牧业肉鸡加工及冷链物流项</w:t>
                      </w:r>
                      <w:r>
                        <w:rPr>
                          <w:spacing w:val="-10"/>
                          <w:sz w:val="28"/>
                        </w:rPr>
                        <w:t>目、滕阳里龙田茶休闲项目、鲁班小镇田园综合体省级试点项目、高</w:t>
                      </w:r>
                      <w:r>
                        <w:rPr>
                          <w:spacing w:val="-11"/>
                          <w:sz w:val="28"/>
                        </w:rPr>
                        <w:t>素质农民培育项目、基层农技推广体系改革与建设补助项目、国家级</w:t>
                      </w:r>
                      <w:r>
                        <w:rPr>
                          <w:spacing w:val="-9"/>
                          <w:sz w:val="28"/>
                        </w:rPr>
                        <w:t>农产品质量安全示范县创建、马铃薯现代农业产业园项目、农民专业</w:t>
                      </w:r>
                    </w:p>
                    <w:p>
                      <w:pPr>
                        <w:spacing w:before="0" w:line="349" w:lineRule="exact"/>
                        <w:ind w:left="103" w:right="0" w:firstLine="0"/>
                        <w:jc w:val="left"/>
                        <w:rPr>
                          <w:sz w:val="28"/>
                        </w:rPr>
                      </w:pPr>
                      <w:r>
                        <w:rPr>
                          <w:sz w:val="28"/>
                        </w:rPr>
                        <w:t>合作社质量提升整县推进试点项目、农业产业强镇项目</w:t>
                      </w:r>
                    </w:p>
                  </w:txbxContent>
                </v:textbox>
              </v:shape>
            </w:pict>
          </mc:Fallback>
        </mc:AlternateContent>
      </w:r>
      <w:r>
        <w:rPr>
          <w:w w:val="100"/>
          <w:sz w:val="28"/>
        </w:rPr>
        <w:t>、</w:t>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spacing w:before="9"/>
        <w:ind w:left="0"/>
        <w:rPr>
          <w:sz w:val="27"/>
        </w:rPr>
      </w:pPr>
    </w:p>
    <w:p>
      <w:pPr>
        <w:pStyle w:val="3"/>
        <w:tabs>
          <w:tab w:val="left" w:pos="1279"/>
        </w:tabs>
        <w:spacing w:before="54"/>
        <w:ind w:left="0" w:right="80"/>
        <w:jc w:val="center"/>
        <w:rPr>
          <w:rFonts w:hint="eastAsia" w:ascii="宋体" w:eastAsia="宋体"/>
        </w:rPr>
      </w:pPr>
      <w:bookmarkStart w:id="29" w:name="第二节  大力实施乡村建设行动"/>
      <w:bookmarkEnd w:id="29"/>
      <w:r>
        <w:rPr>
          <w:rFonts w:hint="eastAsia" w:ascii="宋体" w:eastAsia="宋体"/>
        </w:rPr>
        <w:t>第二节</w:t>
      </w:r>
      <w:r>
        <w:rPr>
          <w:rFonts w:hint="eastAsia" w:ascii="宋体" w:eastAsia="宋体"/>
        </w:rPr>
        <w:tab/>
      </w:r>
      <w:r>
        <w:rPr>
          <w:rFonts w:hint="eastAsia" w:ascii="宋体" w:eastAsia="宋体"/>
        </w:rPr>
        <w:t>大力实施乡村建设行动</w:t>
      </w:r>
    </w:p>
    <w:p>
      <w:pPr>
        <w:pStyle w:val="3"/>
        <w:spacing w:before="149" w:line="328" w:lineRule="auto"/>
        <w:ind w:right="398" w:firstLine="638"/>
        <w:jc w:val="both"/>
      </w:pPr>
      <w:r>
        <w:rPr>
          <w:spacing w:val="-12"/>
        </w:rPr>
        <w:t>持续改善农村环境，完善乡村基础设施，保护传统文化和</w:t>
      </w:r>
      <w:r>
        <w:rPr>
          <w:spacing w:val="-14"/>
          <w:w w:val="95"/>
        </w:rPr>
        <w:t xml:space="preserve">生态环境，推动城乡融合发展，打造“美丽、数字、健康、平 </w:t>
      </w:r>
      <w:r>
        <w:rPr>
          <w:spacing w:val="-14"/>
        </w:rPr>
        <w:t>安”乡村。</w:t>
      </w:r>
    </w:p>
    <w:p>
      <w:pPr>
        <w:pStyle w:val="3"/>
        <w:spacing w:line="328" w:lineRule="auto"/>
        <w:ind w:right="250" w:firstLine="638"/>
      </w:pPr>
      <w:r>
        <w:rPr>
          <w:b/>
        </w:rPr>
        <w:t>加快美丽乡村建设。</w:t>
      </w:r>
      <w:r>
        <w:t xml:space="preserve">充分尊重乡村发展规律和农民意愿， </w:t>
      </w:r>
      <w:r>
        <w:rPr>
          <w:spacing w:val="-7"/>
        </w:rPr>
        <w:t>科学把握乡村的差异性和发展趋势分化特征，综合考虑建设形</w:t>
      </w:r>
      <w:r>
        <w:rPr>
          <w:spacing w:val="-13"/>
        </w:rPr>
        <w:t>成、居住规模、服务功能和资源禀赋等因素，分类推进美丽乡</w:t>
      </w:r>
      <w:r>
        <w:rPr>
          <w:spacing w:val="-14"/>
        </w:rPr>
        <w:t>村建设。加强农村思想道德建设和公共文化建设，倡导树立乡</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12"/>
        </w:rPr>
        <w:t>村文明新风。高质量推进新时代文明实践中心建设，盘活用好</w:t>
      </w:r>
      <w:r>
        <w:rPr>
          <w:spacing w:val="-15"/>
        </w:rPr>
        <w:t>各级各类资源，探索各具特色的文明实践中心建设模式。实行环境连片整治、风貌连片提升、样板连片打造，以秀美荆河、B6</w:t>
      </w:r>
      <w:r>
        <w:rPr>
          <w:spacing w:val="-6"/>
        </w:rPr>
        <w:t xml:space="preserve"> 沿线、红荷路两侧、界河生态绿廊等沿河、沿路、环湖、</w:t>
      </w:r>
      <w:r>
        <w:rPr>
          <w:spacing w:val="-14"/>
        </w:rPr>
        <w:t>绕园为重点，集中打造一批精品示范片区，实现全市美丽乡村</w:t>
      </w:r>
      <w:r>
        <w:rPr>
          <w:spacing w:val="-16"/>
        </w:rPr>
        <w:t>建设全覆盖。提升完善村民服务中心、文化健身广场等乡村公用设施，完成村庄绿化、美化、亮化、村村通户户通等工程。</w:t>
      </w:r>
      <w:r>
        <w:rPr>
          <w:spacing w:val="-18"/>
        </w:rPr>
        <w:t>全面结合村庄特点，充分利用自然资源优势，带动村庄美丽经</w:t>
      </w:r>
      <w:r>
        <w:rPr>
          <w:spacing w:val="-22"/>
          <w:w w:val="95"/>
        </w:rPr>
        <w:t xml:space="preserve">济产业发展，促进农民富裕富足。持续深化农村人居环境整治， </w:t>
      </w:r>
      <w:r>
        <w:rPr>
          <w:spacing w:val="-21"/>
        </w:rPr>
        <w:t>大力推进农村厕所粪污治理、生活垃圾处理和污水治理，消灭</w:t>
      </w:r>
      <w:r>
        <w:rPr>
          <w:spacing w:val="-18"/>
        </w:rPr>
        <w:t>农村黑臭水体，深入推进城乡环卫一体化，巩固提升美丽庭院</w:t>
      </w:r>
      <w:r>
        <w:rPr>
          <w:spacing w:val="-17"/>
        </w:rPr>
        <w:t>示范户创建，实现村庄面貌干净整洁有序，村民环境与健康意</w:t>
      </w:r>
      <w:r>
        <w:rPr>
          <w:spacing w:val="-21"/>
        </w:rPr>
        <w:t xml:space="preserve">识普遍增强。新创省级美丽乡村示范村 </w:t>
      </w:r>
      <w:r>
        <w:t>20</w:t>
      </w:r>
      <w:r>
        <w:rPr>
          <w:spacing w:val="-10"/>
        </w:rPr>
        <w:t xml:space="preserve"> 个，枣庄市级示范</w:t>
      </w:r>
    </w:p>
    <w:p>
      <w:pPr>
        <w:pStyle w:val="3"/>
        <w:spacing w:line="390" w:lineRule="exact"/>
      </w:pPr>
      <w:r>
        <w:rPr>
          <w:spacing w:val="-44"/>
        </w:rPr>
        <w:t xml:space="preserve">村 </w:t>
      </w:r>
      <w:r>
        <w:t>200</w:t>
      </w:r>
      <w:r>
        <w:rPr>
          <w:spacing w:val="-17"/>
        </w:rPr>
        <w:t xml:space="preserve"> 个，争创全省农村人居环境整治示范县，全力打造滕州</w:t>
      </w:r>
    </w:p>
    <w:p>
      <w:pPr>
        <w:pStyle w:val="3"/>
        <w:spacing w:before="149"/>
      </w:pPr>
      <w:r>
        <w:t>的“富春山居图”。</w:t>
      </w:r>
    </w:p>
    <w:p>
      <w:pPr>
        <w:pStyle w:val="3"/>
        <w:spacing w:before="150" w:line="328" w:lineRule="auto"/>
        <w:ind w:right="238" w:firstLine="638"/>
      </w:pPr>
      <w:r>
        <w:rPr>
          <w:b/>
          <w:spacing w:val="-4"/>
        </w:rPr>
        <w:t>提升乡村治理水平。</w:t>
      </w:r>
      <w:r>
        <w:rPr>
          <w:spacing w:val="-12"/>
        </w:rPr>
        <w:t>深化拓展“莱西会议”经验，加强村</w:t>
      </w:r>
      <w:r>
        <w:rPr>
          <w:spacing w:val="-16"/>
        </w:rPr>
        <w:t>级组织配套建设，提升农村基层党组织服务能力。坚持德治为</w:t>
      </w:r>
      <w:r>
        <w:rPr>
          <w:spacing w:val="-13"/>
        </w:rPr>
        <w:t>先，健全和创新村民自治机制，完善乡村法律服务体系，构建</w:t>
      </w:r>
      <w:r>
        <w:rPr>
          <w:spacing w:val="-15"/>
        </w:rPr>
        <w:t>党建引领、自治为基、法治为本、德治为先的现代乡村治理体</w:t>
      </w:r>
      <w:r>
        <w:rPr>
          <w:spacing w:val="-12"/>
        </w:rPr>
        <w:t>系。大力实施农民培训工作，完善人才培养、引进、使用、激</w:t>
      </w:r>
      <w:r>
        <w:rPr>
          <w:spacing w:val="-22"/>
        </w:rPr>
        <w:t>励等方面的政策措施，营造良好环境，鼓励大学生、退役军人、</w:t>
      </w:r>
      <w:r>
        <w:rPr>
          <w:spacing w:val="-17"/>
        </w:rPr>
        <w:t>外出农民工、退休公职人员返乡就业创业，促进人才向农村集</w:t>
      </w:r>
      <w:r>
        <w:rPr>
          <w:spacing w:val="-34"/>
        </w:rPr>
        <w:t xml:space="preserve">聚。到 </w:t>
      </w:r>
      <w:r>
        <w:t>2025</w:t>
      </w:r>
      <w:r>
        <w:rPr>
          <w:spacing w:val="-16"/>
        </w:rPr>
        <w:t xml:space="preserve"> 年，培训农村各类人才 </w:t>
      </w:r>
      <w:r>
        <w:t>10</w:t>
      </w:r>
      <w:r>
        <w:rPr>
          <w:spacing w:val="-10"/>
        </w:rPr>
        <w:t xml:space="preserve"> 万人，建成田间课堂、</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rPr>
          <w:spacing w:val="-17"/>
        </w:rPr>
        <w:t xml:space="preserve">实训基地 </w:t>
      </w:r>
      <w:r>
        <w:t>200</w:t>
      </w:r>
      <w:r>
        <w:rPr>
          <w:spacing w:val="-19"/>
        </w:rPr>
        <w:t xml:space="preserve"> 处，推荐“高、中、初”级农民职称 </w:t>
      </w:r>
      <w:r>
        <w:t>300</w:t>
      </w:r>
      <w:r>
        <w:rPr>
          <w:spacing w:val="-26"/>
        </w:rPr>
        <w:t xml:space="preserve"> 人，推</w:t>
      </w:r>
    </w:p>
    <w:p>
      <w:pPr>
        <w:pStyle w:val="3"/>
        <w:spacing w:before="152" w:line="328" w:lineRule="auto"/>
        <w:ind w:right="266"/>
      </w:pPr>
      <w:r>
        <w:rPr>
          <w:spacing w:val="-8"/>
        </w:rPr>
        <w:t xml:space="preserve">荐乡村之星、齐鲁之星 </w:t>
      </w:r>
      <w:r>
        <w:t>20</w:t>
      </w:r>
      <w:r>
        <w:rPr>
          <w:spacing w:val="-9"/>
        </w:rPr>
        <w:t xml:space="preserve"> 人。深入开展移风易俗行动，用蕴</w:t>
      </w:r>
      <w:r>
        <w:rPr>
          <w:spacing w:val="-10"/>
        </w:rPr>
        <w:t>含优秀民俗、体现时代风尚的婚丧新文化取代旧陋习旧习俗， 加强红白理事会建设，推进公益性公墓建设和殡葬改革。实施</w:t>
      </w:r>
      <w:r>
        <w:rPr>
          <w:spacing w:val="-16"/>
        </w:rPr>
        <w:t xml:space="preserve">“乡村记忆”工程，推出 </w:t>
      </w:r>
      <w:r>
        <w:t>10</w:t>
      </w:r>
      <w:r>
        <w:rPr>
          <w:spacing w:val="-9"/>
        </w:rPr>
        <w:t xml:space="preserve"> 余处综合性强、活态化高的乡村</w:t>
      </w:r>
      <w:r>
        <w:rPr>
          <w:spacing w:val="-14"/>
        </w:rPr>
        <w:t>博物馆，保持乡村文化遗产完整性和延续性，为增强文化自信提供优质乡村载体。</w:t>
      </w:r>
    </w:p>
    <w:p>
      <w:pPr>
        <w:pStyle w:val="3"/>
        <w:spacing w:line="328" w:lineRule="auto"/>
        <w:ind w:right="266" w:firstLine="638"/>
      </w:pPr>
      <w:r>
        <w:rPr>
          <w:b/>
          <w:spacing w:val="-21"/>
        </w:rPr>
        <w:t>深化农村改革。</w:t>
      </w:r>
      <w:r>
        <w:t>落实第二轮土地承包到期后再延长三十年</w:t>
      </w:r>
      <w:r>
        <w:rPr>
          <w:spacing w:val="-13"/>
        </w:rPr>
        <w:t xml:space="preserve">政策，健全土地流转规范管理制度，发展多种形式农业适度规模经营。推进宅基地所有权、资格权、使用权“三权分置”， </w:t>
      </w:r>
      <w:r>
        <w:rPr>
          <w:spacing w:val="-8"/>
        </w:rPr>
        <w:t>盘活利用农村闲置宅基地和闲置住宅，保障进城落户农民土地</w:t>
      </w:r>
      <w:r>
        <w:rPr>
          <w:spacing w:val="-14"/>
        </w:rPr>
        <w:t>承包权、宅基地使用权、集体收益分配权，鼓励依法自愿有偿转让。积极探索实施农村集体经营性建设用地入市制度，创新</w:t>
      </w:r>
      <w:r>
        <w:rPr>
          <w:spacing w:val="-19"/>
        </w:rPr>
        <w:t xml:space="preserve">完善农村集体经济实现形式和运行机制，深化农村产权制度改革的成果运用，推动资源变资产、资金变股金、农民变股东， </w:t>
      </w:r>
      <w:r>
        <w:rPr>
          <w:spacing w:val="-10"/>
        </w:rPr>
        <w:t>发展壮大农村集体经济。大力推行农村经纪人制度，鼓励党组</w:t>
      </w:r>
      <w:r>
        <w:rPr>
          <w:spacing w:val="5"/>
        </w:rPr>
        <w:t>织领</w:t>
      </w:r>
      <w:r>
        <w:rPr>
          <w:spacing w:val="7"/>
        </w:rPr>
        <w:t>办</w:t>
      </w:r>
      <w:r>
        <w:rPr>
          <w:spacing w:val="5"/>
        </w:rPr>
        <w:t>合作社。</w:t>
      </w:r>
      <w:r>
        <w:t>2025</w:t>
      </w:r>
      <w:r>
        <w:rPr>
          <w:spacing w:val="-83"/>
        </w:rPr>
        <w:t xml:space="preserve"> </w:t>
      </w:r>
      <w:r>
        <w:rPr>
          <w:spacing w:val="5"/>
        </w:rPr>
        <w:t>年，</w:t>
      </w:r>
      <w:r>
        <w:rPr>
          <w:spacing w:val="7"/>
        </w:rPr>
        <w:t>全</w:t>
      </w:r>
      <w:r>
        <w:t>市</w:t>
      </w:r>
      <w:r>
        <w:rPr>
          <w:spacing w:val="-82"/>
        </w:rPr>
        <w:t xml:space="preserve"> </w:t>
      </w:r>
      <w:r>
        <w:rPr>
          <w:spacing w:val="6"/>
        </w:rPr>
        <w:t>60</w:t>
      </w:r>
      <w:r>
        <w:rPr>
          <w:spacing w:val="11"/>
          <w:w w:val="99"/>
        </w:rPr>
        <w:drawing>
          <wp:inline distT="0" distB="0" distL="0" distR="0">
            <wp:extent cx="85090" cy="154940"/>
            <wp:effectExtent l="0" t="0" r="0" b="0"/>
            <wp:docPr id="55"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5"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rPr>
        <w:t>以上</w:t>
      </w:r>
      <w:r>
        <w:rPr>
          <w:spacing w:val="7"/>
        </w:rPr>
        <w:t>的</w:t>
      </w:r>
      <w:r>
        <w:rPr>
          <w:spacing w:val="5"/>
        </w:rPr>
        <w:t>村集体</w:t>
      </w:r>
      <w:r>
        <w:rPr>
          <w:spacing w:val="7"/>
        </w:rPr>
        <w:t>收</w:t>
      </w:r>
      <w:r>
        <w:rPr>
          <w:spacing w:val="5"/>
        </w:rPr>
        <w:t>入超</w:t>
      </w:r>
      <w:r>
        <w:t>过</w:t>
      </w:r>
      <w:r>
        <w:rPr>
          <w:spacing w:val="-80"/>
        </w:rPr>
        <w:t xml:space="preserve"> </w:t>
      </w:r>
      <w:r>
        <w:t xml:space="preserve">10 </w:t>
      </w:r>
      <w:r>
        <w:rPr>
          <w:spacing w:val="-12"/>
        </w:rPr>
        <w:t>万元，培育一批集体收入过百万元的经济强村。放宽小型金融</w:t>
      </w:r>
      <w:r>
        <w:rPr>
          <w:spacing w:val="-15"/>
        </w:rPr>
        <w:t>机构准入条件，创新涉农金融产品和服务，建立多渠道、多层</w:t>
      </w:r>
      <w:r>
        <w:rPr>
          <w:spacing w:val="-13"/>
        </w:rPr>
        <w:t>次、多元化的农村投融资机制。稳步推进小麦、玉米、生猪等</w:t>
      </w:r>
      <w:r>
        <w:rPr>
          <w:spacing w:val="-15"/>
        </w:rPr>
        <w:t>政策性保险，积极探索推广设施蔬菜等新险种，建立农业深层次保险和巨灾风险分散机制。</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tabs>
          <w:tab w:val="left" w:pos="1279"/>
        </w:tabs>
        <w:spacing w:before="54"/>
        <w:ind w:left="0" w:right="80"/>
        <w:jc w:val="center"/>
        <w:rPr>
          <w:rFonts w:hint="eastAsia" w:ascii="宋体" w:eastAsia="宋体"/>
        </w:rPr>
      </w:pPr>
      <w:bookmarkStart w:id="30" w:name="第三节  巩固拓展脱贫攻坚成果"/>
      <w:bookmarkEnd w:id="30"/>
      <w:r>
        <w:rPr>
          <w:rFonts w:hint="eastAsia" w:ascii="宋体" w:eastAsia="宋体"/>
        </w:rPr>
        <w:t>第三节</w:t>
      </w:r>
      <w:r>
        <w:rPr>
          <w:rFonts w:hint="eastAsia" w:ascii="宋体" w:eastAsia="宋体"/>
        </w:rPr>
        <w:tab/>
      </w:r>
      <w:r>
        <w:rPr>
          <w:rFonts w:hint="eastAsia" w:ascii="宋体" w:eastAsia="宋体"/>
        </w:rPr>
        <w:t>巩固拓展脱贫攻坚成果</w:t>
      </w:r>
    </w:p>
    <w:p>
      <w:pPr>
        <w:pStyle w:val="3"/>
        <w:spacing w:before="152" w:line="326" w:lineRule="auto"/>
        <w:ind w:right="399" w:firstLine="638"/>
      </w:pPr>
      <w:r>
        <w:rPr>
          <w:spacing w:val="-12"/>
          <w:w w:val="95"/>
        </w:rPr>
        <w:t xml:space="preserve">坚持人民至上、以人为本，持续巩固脱贫攻坚成果，让脱 </w:t>
      </w:r>
      <w:r>
        <w:rPr>
          <w:spacing w:val="-12"/>
        </w:rPr>
        <w:t>贫群众过上更好的日子。</w:t>
      </w:r>
    </w:p>
    <w:p>
      <w:pPr>
        <w:pStyle w:val="3"/>
        <w:spacing w:before="3" w:line="328" w:lineRule="auto"/>
        <w:ind w:right="236" w:firstLine="638"/>
      </w:pPr>
      <w:r>
        <w:rPr>
          <w:b/>
          <w:spacing w:val="-15"/>
        </w:rPr>
        <w:t>持续巩固脱贫攻坚成果。</w:t>
      </w:r>
      <w:r>
        <w:rPr>
          <w:spacing w:val="-12"/>
        </w:rPr>
        <w:t xml:space="preserve">加强现有建档立卡户中“老病残” </w:t>
      </w:r>
      <w:r>
        <w:rPr>
          <w:spacing w:val="-17"/>
        </w:rPr>
        <w:t>重点群体的动态管理，继续开展帮扶责任人走访工作，定期了</w:t>
      </w:r>
      <w:r>
        <w:rPr>
          <w:spacing w:val="-16"/>
        </w:rPr>
        <w:t>解收入支出、产业就业、就医就学、住房饮水等情况；对脱贫</w:t>
      </w:r>
      <w:r>
        <w:rPr>
          <w:spacing w:val="-15"/>
        </w:rPr>
        <w:t>不稳定户、边缘易致贫户开展常态化监测预警、快速发现和响</w:t>
      </w:r>
      <w:r>
        <w:rPr>
          <w:spacing w:val="-13"/>
        </w:rPr>
        <w:t>应，及时纳入帮扶政策范围，切实防止返贫和新致贫。建立农</w:t>
      </w:r>
      <w:r>
        <w:rPr>
          <w:spacing w:val="-17"/>
        </w:rPr>
        <w:t>村低收入人口帮扶机制，健全农村保障和社会救助制度，确保应保尽保、应兜尽兜。</w:t>
      </w:r>
    </w:p>
    <w:p>
      <w:pPr>
        <w:pStyle w:val="3"/>
        <w:spacing w:line="328" w:lineRule="auto"/>
        <w:ind w:right="242" w:firstLine="638"/>
      </w:pPr>
      <w:r>
        <w:rPr>
          <w:b/>
          <w:spacing w:val="-8"/>
        </w:rPr>
        <w:t>与乡村振兴有效衔接。</w:t>
      </w:r>
      <w:r>
        <w:rPr>
          <w:spacing w:val="-6"/>
        </w:rPr>
        <w:t>完善扶贫产业发展带动机制，加强103</w:t>
      </w:r>
      <w:r>
        <w:rPr>
          <w:spacing w:val="-13"/>
        </w:rPr>
        <w:t xml:space="preserve"> 个存量项目的监测监管，确保扶贫项目正常运营；接续实</w:t>
      </w:r>
      <w:r>
        <w:rPr>
          <w:spacing w:val="-16"/>
        </w:rPr>
        <w:t>施产业扶贫项目，推动产业扶贫与乡村产业振兴有效衔接。对</w:t>
      </w:r>
      <w:r>
        <w:rPr>
          <w:spacing w:val="-21"/>
          <w:w w:val="95"/>
        </w:rPr>
        <w:t xml:space="preserve">吸纳就业多、带动能力强的企业、农业经营主体加大支持力度， </w:t>
      </w:r>
      <w:r>
        <w:rPr>
          <w:spacing w:val="-24"/>
        </w:rPr>
        <w:t>对有创业能力的群体加大技能培训和就业扶持力度，促进就近</w:t>
      </w:r>
      <w:r>
        <w:rPr>
          <w:spacing w:val="-19"/>
        </w:rPr>
        <w:t>就地务工创业，增强农户增收致富内生动力。立足各镇街特色</w:t>
      </w:r>
      <w:r>
        <w:rPr>
          <w:spacing w:val="-26"/>
        </w:rPr>
        <w:t>资源，发展壮大粮食、果蔬、畜牧、水产等优势产业，形成“一</w:t>
      </w:r>
      <w:r>
        <w:rPr>
          <w:spacing w:val="-16"/>
        </w:rPr>
        <w:t>村一品”的品牌效应；创新农户与新型经营主体的利益联结机</w:t>
      </w:r>
      <w:r>
        <w:rPr>
          <w:spacing w:val="-13"/>
        </w:rPr>
        <w:t>制，大力推广“企业+合作社+农户”和“村社合一”产业发展模式，让农民更多分享产业增值收益。依托乡村建设行动，进</w:t>
      </w:r>
      <w:r>
        <w:rPr>
          <w:spacing w:val="-19"/>
        </w:rPr>
        <w:t>一步完善农村基础设施和公共服务，提升农村人居环境，建设宜居宜业乡村。</w:t>
      </w:r>
    </w:p>
    <w:p>
      <w:pPr>
        <w:spacing w:after="0" w:line="328" w:lineRule="auto"/>
        <w:sectPr>
          <w:footerReference r:id="rId15" w:type="default"/>
          <w:footerReference r:id="rId16" w:type="even"/>
          <w:pgSz w:w="11910" w:h="16840"/>
          <w:pgMar w:top="1580" w:right="1300" w:bottom="1540" w:left="1380" w:header="0" w:footer="1346" w:gutter="0"/>
          <w:pgNumType w:start="50"/>
          <w:cols w:space="720" w:num="1"/>
        </w:sectPr>
      </w:pPr>
    </w:p>
    <w:p>
      <w:pPr>
        <w:pStyle w:val="3"/>
        <w:spacing w:before="10"/>
        <w:ind w:left="0"/>
        <w:rPr>
          <w:sz w:val="13"/>
        </w:rPr>
      </w:pPr>
    </w:p>
    <w:p>
      <w:pPr>
        <w:pStyle w:val="3"/>
        <w:tabs>
          <w:tab w:val="left" w:pos="1281"/>
        </w:tabs>
        <w:spacing w:before="54"/>
        <w:ind w:left="0" w:right="80"/>
        <w:jc w:val="center"/>
        <w:rPr>
          <w:rFonts w:hint="eastAsia" w:ascii="黑体" w:eastAsia="黑体"/>
        </w:rPr>
      </w:pPr>
      <w:bookmarkStart w:id="31" w:name="第七章  加快基础设施建设，提升综合承载能力"/>
      <w:bookmarkEnd w:id="31"/>
      <w:r>
        <w:rPr>
          <w:rFonts w:hint="eastAsia" w:ascii="黑体" w:eastAsia="黑体"/>
        </w:rPr>
        <w:t>第七章</w:t>
      </w:r>
      <w:r>
        <w:rPr>
          <w:rFonts w:hint="eastAsia" w:ascii="黑体" w:eastAsia="黑体"/>
        </w:rPr>
        <w:tab/>
      </w:r>
      <w:r>
        <w:rPr>
          <w:rFonts w:hint="eastAsia" w:ascii="黑体" w:eastAsia="黑体"/>
        </w:rPr>
        <w:t>加快基础设施建设，提升综合承载能力</w:t>
      </w:r>
    </w:p>
    <w:p>
      <w:pPr>
        <w:pStyle w:val="3"/>
        <w:spacing w:before="152" w:line="326" w:lineRule="auto"/>
        <w:ind w:right="398" w:firstLine="638"/>
        <w:jc w:val="both"/>
      </w:pPr>
      <w:r>
        <w:rPr>
          <w:spacing w:val="-12"/>
        </w:rPr>
        <w:t>坚持基础性、先导性、战略性，突出智能化、网络化、现</w:t>
      </w:r>
      <w:r>
        <w:rPr>
          <w:spacing w:val="-14"/>
          <w:w w:val="95"/>
        </w:rPr>
        <w:t xml:space="preserve">代化，加快基础设施建设，筑牢新时代滕州经济社会高质量发 </w:t>
      </w:r>
      <w:r>
        <w:rPr>
          <w:spacing w:val="-14"/>
        </w:rPr>
        <w:t>展重要支撑。</w:t>
      </w:r>
    </w:p>
    <w:p>
      <w:pPr>
        <w:pStyle w:val="3"/>
        <w:tabs>
          <w:tab w:val="left" w:pos="1279"/>
        </w:tabs>
        <w:spacing w:before="69"/>
        <w:ind w:left="0" w:right="80"/>
        <w:jc w:val="center"/>
        <w:rPr>
          <w:rFonts w:hint="eastAsia" w:ascii="宋体" w:eastAsia="宋体"/>
        </w:rPr>
      </w:pPr>
      <w:bookmarkStart w:id="32" w:name="第一节  加快新型基础设施建设"/>
      <w:bookmarkEnd w:id="32"/>
      <w:r>
        <w:rPr>
          <w:rFonts w:hint="eastAsia" w:ascii="宋体" w:eastAsia="宋体"/>
        </w:rPr>
        <w:t>第一节</w:t>
      </w:r>
      <w:r>
        <w:rPr>
          <w:rFonts w:hint="eastAsia" w:ascii="宋体" w:eastAsia="宋体"/>
        </w:rPr>
        <w:tab/>
      </w:r>
      <w:r>
        <w:rPr>
          <w:rFonts w:hint="eastAsia" w:ascii="宋体" w:eastAsia="宋体"/>
        </w:rPr>
        <w:t>加快新型基础设施建设</w:t>
      </w:r>
    </w:p>
    <w:p>
      <w:pPr>
        <w:pStyle w:val="3"/>
        <w:spacing w:before="150" w:line="328" w:lineRule="auto"/>
        <w:ind w:right="399" w:firstLine="638"/>
        <w:jc w:val="both"/>
      </w:pPr>
      <w:r>
        <w:rPr>
          <w:spacing w:val="-13"/>
          <w:w w:val="95"/>
        </w:rPr>
        <w:t xml:space="preserve">抢抓“数字产业化、产业数字化”机遇，加快信息基础设 </w:t>
      </w:r>
      <w:r>
        <w:rPr>
          <w:spacing w:val="-13"/>
        </w:rPr>
        <w:t>施、融合基础设施、创新基础设施建设，实现第五代移动通信</w:t>
      </w:r>
      <w:r>
        <w:rPr>
          <w:spacing w:val="-16"/>
          <w:w w:val="95"/>
        </w:rPr>
        <w:t xml:space="preserve">网络广泛覆盖，普及推广工业互联网、物联网，扩大人工智能 </w:t>
      </w:r>
      <w:r>
        <w:rPr>
          <w:spacing w:val="-16"/>
        </w:rPr>
        <w:t>技术场景应用，以“新基建”成效支撑新兴产业聚集。</w:t>
      </w:r>
    </w:p>
    <w:p>
      <w:pPr>
        <w:pStyle w:val="3"/>
        <w:spacing w:line="328" w:lineRule="auto"/>
        <w:ind w:right="242" w:firstLine="638"/>
      </w:pPr>
      <w:r>
        <w:rPr>
          <w:b/>
          <w:spacing w:val="-7"/>
        </w:rPr>
        <w:t>推进通信基础设施建设。</w:t>
      </w:r>
      <w:r>
        <w:rPr>
          <w:spacing w:val="-9"/>
        </w:rPr>
        <w:t>扩容升级光纤网络，优化骨干网</w:t>
      </w:r>
      <w:r>
        <w:rPr>
          <w:spacing w:val="-13"/>
        </w:rPr>
        <w:t>络结构，推动城市千兆宽带网络接入和“百兆乡村”建设，统</w:t>
      </w:r>
      <w:r>
        <w:rPr>
          <w:spacing w:val="-20"/>
        </w:rPr>
        <w:t xml:space="preserve">筹推进移动和固定网络的 </w:t>
      </w:r>
      <w:r>
        <w:t>IPv6</w:t>
      </w:r>
      <w:r>
        <w:rPr>
          <w:spacing w:val="-19"/>
        </w:rPr>
        <w:t xml:space="preserve"> 发展，提升网络传输承载能力。</w:t>
      </w:r>
      <w:r>
        <w:rPr>
          <w:spacing w:val="-26"/>
          <w:w w:val="95"/>
        </w:rPr>
        <w:t xml:space="preserve">提升中国移动滕州大数据中心服务支撑能力，加强存储、计算、 </w:t>
      </w:r>
      <w:r>
        <w:rPr>
          <w:spacing w:val="-15"/>
        </w:rPr>
        <w:t>灾备、安全等方面服务能力建设，整合分散建设机房和业务系统</w:t>
      </w:r>
      <w:r>
        <w:rPr>
          <w:spacing w:val="-55"/>
        </w:rPr>
        <w:t>，</w:t>
      </w:r>
      <w:r>
        <w:t>政务和公共服务领域数据中心集约化建设管理达到</w:t>
      </w:r>
      <w:r>
        <w:rPr>
          <w:spacing w:val="-89"/>
        </w:rPr>
        <w:t xml:space="preserve"> </w:t>
      </w:r>
      <w:r>
        <w:rPr>
          <w:spacing w:val="6"/>
        </w:rPr>
        <w:t>90</w:t>
      </w:r>
      <w:r>
        <w:rPr>
          <w:spacing w:val="11"/>
          <w:w w:val="99"/>
        </w:rPr>
        <w:drawing>
          <wp:inline distT="0" distB="0" distL="0" distR="0">
            <wp:extent cx="85090" cy="154940"/>
            <wp:effectExtent l="0" t="0" r="0" b="0"/>
            <wp:docPr id="5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7"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以</w:t>
      </w:r>
      <w:r>
        <w:rPr>
          <w:spacing w:val="-16"/>
        </w:rPr>
        <w:t xml:space="preserve">上。加快 </w:t>
      </w:r>
      <w:r>
        <w:t>5G</w:t>
      </w:r>
      <w:r>
        <w:rPr>
          <w:spacing w:val="-24"/>
        </w:rPr>
        <w:t xml:space="preserve"> 商用，优化 </w:t>
      </w:r>
      <w:r>
        <w:t>5G</w:t>
      </w:r>
      <w:r>
        <w:rPr>
          <w:spacing w:val="-19"/>
        </w:rPr>
        <w:t xml:space="preserve"> 基站布局，推进 </w:t>
      </w:r>
      <w:r>
        <w:t>5G</w:t>
      </w:r>
      <w:r>
        <w:rPr>
          <w:spacing w:val="-13"/>
        </w:rPr>
        <w:t xml:space="preserve"> 网络部署与规</w:t>
      </w:r>
      <w:r>
        <w:rPr>
          <w:spacing w:val="-1"/>
        </w:rPr>
        <w:t xml:space="preserve">模组网，推动公共资源向 </w:t>
      </w:r>
      <w:r>
        <w:t>5G</w:t>
      </w:r>
      <w:r>
        <w:rPr>
          <w:spacing w:val="-12"/>
        </w:rPr>
        <w:t xml:space="preserve"> 基站免费开放，到 </w:t>
      </w:r>
      <w:r>
        <w:t>2025</w:t>
      </w:r>
      <w:r>
        <w:rPr>
          <w:spacing w:val="-15"/>
        </w:rPr>
        <w:t xml:space="preserve"> 年建成</w:t>
      </w:r>
      <w:r>
        <w:rPr>
          <w:spacing w:val="-15"/>
          <w:position w:val="1"/>
        </w:rPr>
        <w:t>5G</w:t>
      </w:r>
      <w:r>
        <w:rPr>
          <w:spacing w:val="-43"/>
          <w:position w:val="1"/>
        </w:rPr>
        <w:t xml:space="preserve"> 基站 </w:t>
      </w:r>
      <w:r>
        <w:rPr>
          <w:position w:val="1"/>
        </w:rPr>
        <w:t>4753</w:t>
      </w:r>
      <w:r>
        <w:rPr>
          <w:spacing w:val="-25"/>
          <w:position w:val="1"/>
        </w:rPr>
        <w:t xml:space="preserve"> 个，实现城区和重点区域全覆盖，全市覆盖率 </w:t>
      </w:r>
      <w:r>
        <w:rPr>
          <w:spacing w:val="6"/>
          <w:position w:val="1"/>
        </w:rPr>
        <w:t>90</w:t>
      </w:r>
      <w:r>
        <w:rPr>
          <w:spacing w:val="11"/>
          <w:w w:val="99"/>
        </w:rPr>
        <w:drawing>
          <wp:inline distT="0" distB="0" distL="0" distR="0">
            <wp:extent cx="85090" cy="154940"/>
            <wp:effectExtent l="0" t="0" r="0" b="0"/>
            <wp:docPr id="59"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9"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以上。</w:t>
      </w:r>
    </w:p>
    <w:p>
      <w:pPr>
        <w:spacing w:before="0" w:line="395" w:lineRule="exact"/>
        <w:ind w:left="960" w:right="0" w:firstLine="0"/>
        <w:jc w:val="left"/>
        <w:rPr>
          <w:sz w:val="32"/>
        </w:rPr>
      </w:pPr>
      <w:r>
        <w:rPr>
          <w:b/>
          <w:spacing w:val="8"/>
          <w:w w:val="95"/>
          <w:sz w:val="32"/>
        </w:rPr>
        <w:t>普及推广物联网和工业互联网。</w:t>
      </w:r>
      <w:r>
        <w:rPr>
          <w:spacing w:val="6"/>
          <w:w w:val="95"/>
          <w:sz w:val="32"/>
        </w:rPr>
        <w:t>完善升级物联网，建立</w:t>
      </w:r>
    </w:p>
    <w:p>
      <w:pPr>
        <w:pStyle w:val="3"/>
        <w:spacing w:before="141" w:line="328" w:lineRule="auto"/>
        <w:ind w:right="397"/>
        <w:jc w:val="both"/>
      </w:pPr>
      <w:r>
        <w:t>NB-IoT（</w:t>
      </w:r>
      <w:r>
        <w:rPr>
          <w:spacing w:val="5"/>
        </w:rPr>
        <w:t>窄带物联网</w:t>
      </w:r>
      <w:r>
        <w:rPr>
          <w:spacing w:val="-156"/>
        </w:rPr>
        <w:t>）</w:t>
      </w:r>
      <w:r>
        <w:rPr>
          <w:spacing w:val="5"/>
        </w:rPr>
        <w:t>、</w:t>
      </w:r>
      <w:r>
        <w:t>4G</w:t>
      </w:r>
      <w:r>
        <w:rPr>
          <w:spacing w:val="-54"/>
        </w:rPr>
        <w:t xml:space="preserve"> 和 </w:t>
      </w:r>
      <w:r>
        <w:t>5G</w:t>
      </w:r>
      <w:r>
        <w:rPr>
          <w:spacing w:val="-5"/>
        </w:rPr>
        <w:t xml:space="preserve"> 协同发展的移动物联网综合</w:t>
      </w:r>
      <w:r>
        <w:rPr>
          <w:spacing w:val="-6"/>
        </w:rPr>
        <w:t>生态体系，2025</w:t>
      </w:r>
      <w:r>
        <w:rPr>
          <w:spacing w:val="-2"/>
        </w:rPr>
        <w:t xml:space="preserve"> 年底前</w:t>
      </w:r>
      <w:r>
        <w:t>NB-IoT</w:t>
      </w:r>
      <w:r>
        <w:rPr>
          <w:spacing w:val="-12"/>
        </w:rPr>
        <w:t xml:space="preserve"> 网络实现主城区普遍覆盖、重</w:t>
      </w:r>
      <w:r>
        <w:rPr>
          <w:spacing w:val="-17"/>
          <w:w w:val="95"/>
        </w:rPr>
        <w:t>点区域深度覆盖。深化浪潮云洲、鲁班云、清栾福兴等工业互</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11"/>
        </w:rPr>
        <w:t>联网平台应用推广，推动工业设备上云上平台，推动数字产业</w:t>
      </w:r>
      <w:r>
        <w:rPr>
          <w:spacing w:val="-42"/>
        </w:rPr>
        <w:t xml:space="preserve">化，到 </w:t>
      </w:r>
      <w:r>
        <w:t>2025</w:t>
      </w:r>
      <w:r>
        <w:rPr>
          <w:spacing w:val="-14"/>
        </w:rPr>
        <w:t xml:space="preserve"> 年，建成滕州工业互联网标识解析国家二级节点， </w:t>
      </w:r>
      <w:r>
        <w:rPr>
          <w:spacing w:val="-37"/>
        </w:rPr>
        <w:t xml:space="preserve">培育 </w:t>
      </w:r>
      <w:r>
        <w:t>100</w:t>
      </w:r>
      <w:r>
        <w:rPr>
          <w:spacing w:val="-20"/>
        </w:rPr>
        <w:t xml:space="preserve"> 个以上工业应用 </w:t>
      </w:r>
      <w:r>
        <w:rPr>
          <w:spacing w:val="-11"/>
        </w:rPr>
        <w:t>APP，10</w:t>
      </w:r>
      <w:r>
        <w:rPr>
          <w:spacing w:val="-14"/>
        </w:rPr>
        <w:t xml:space="preserve"> 家工业互联网创新企业，建成滕州机械机床创新协同服务平台。</w:t>
      </w:r>
    </w:p>
    <w:p>
      <w:pPr>
        <w:pStyle w:val="3"/>
        <w:spacing w:line="328" w:lineRule="auto"/>
        <w:ind w:right="238" w:firstLine="638"/>
      </w:pPr>
      <w:r>
        <w:rPr>
          <w:b/>
          <w:spacing w:val="-8"/>
        </w:rPr>
        <w:t>构建城市数字底座。</w:t>
      </w:r>
      <w:r>
        <w:rPr>
          <w:spacing w:val="-8"/>
        </w:rPr>
        <w:t>完善智慧市政设施，推动各类挂高资</w:t>
      </w:r>
      <w:r>
        <w:rPr>
          <w:spacing w:val="-15"/>
        </w:rPr>
        <w:t>源开放和灯杆、管廊、井盖等城市基础设施数字化改造，统筹</w:t>
      </w:r>
      <w:r>
        <w:rPr>
          <w:spacing w:val="-25"/>
        </w:rPr>
        <w:t>规划建设智慧滕州智能感知平台，整合自然资源、公安、交通、</w:t>
      </w:r>
      <w:r>
        <w:rPr>
          <w:spacing w:val="-22"/>
        </w:rPr>
        <w:t>住建等部门多维度城市数据，创建数字滕州孪生城市模型，实</w:t>
      </w:r>
      <w:r>
        <w:rPr>
          <w:spacing w:val="-23"/>
        </w:rPr>
        <w:t xml:space="preserve">现城市各类资源要素“一网统管”。持续深入推进数据治理， </w:t>
      </w:r>
      <w:r>
        <w:rPr>
          <w:spacing w:val="-18"/>
        </w:rPr>
        <w:t>打破数据壁垒，建设数据统管、平台统一、系统集成和应用多</w:t>
      </w:r>
      <w:r>
        <w:rPr>
          <w:spacing w:val="-12"/>
          <w:w w:val="99"/>
        </w:rPr>
        <w:t>样的“智慧滕州城市大脑”，推动数据跨层级、跨地域、跨部</w:t>
      </w:r>
      <w:r>
        <w:rPr>
          <w:spacing w:val="-15"/>
        </w:rPr>
        <w:t>门汇聚共享，实现各级、各部门智慧应用与指挥调度的横向互</w:t>
      </w:r>
      <w:r>
        <w:rPr>
          <w:spacing w:val="-21"/>
        </w:rPr>
        <w:t>联、纵向贯通及条块协同，政务民生服务“一网通办”。</w:t>
      </w:r>
    </w:p>
    <w:p>
      <w:pPr>
        <w:spacing w:before="0" w:line="395" w:lineRule="exact"/>
        <w:ind w:left="960" w:right="0" w:firstLine="0"/>
        <w:jc w:val="left"/>
        <w:rPr>
          <w:sz w:val="32"/>
        </w:rPr>
      </w:pPr>
      <w:r>
        <w:rPr>
          <w:b/>
          <w:sz w:val="32"/>
        </w:rPr>
        <w:t>完善乡村信息基础设施。</w:t>
      </w:r>
      <w:r>
        <w:rPr>
          <w:sz w:val="32"/>
        </w:rPr>
        <w:t>引导移动、联通、电信、广电、</w:t>
      </w:r>
    </w:p>
    <w:p>
      <w:pPr>
        <w:pStyle w:val="3"/>
        <w:spacing w:before="144" w:line="328" w:lineRule="auto"/>
        <w:ind w:right="242"/>
      </w:pPr>
      <w:r>
        <w:rPr>
          <w:spacing w:val="6"/>
        </w:rPr>
        <w:t>铁塔等通信运营企业加大农村移动通信基站和农村网络建设</w:t>
      </w:r>
      <w:r>
        <w:rPr>
          <w:spacing w:val="-11"/>
        </w:rPr>
        <w:t>投资，进一步提高农村地区光纤宽带接入能力，实现第五代移</w:t>
      </w:r>
      <w:r>
        <w:rPr>
          <w:spacing w:val="-17"/>
        </w:rPr>
        <w:t>动通信网络在全市区域良好覆盖。完善农村消费信息服务、市场信息服务、“三农”政策服务、农村生活服务等手机软件系</w:t>
      </w:r>
      <w:r>
        <w:rPr>
          <w:spacing w:val="-14"/>
        </w:rPr>
        <w:t>统，推进服务手段向移动终端延伸，弥合城乡数字鸿沟。加强</w:t>
      </w:r>
      <w:r>
        <w:rPr>
          <w:spacing w:val="-19"/>
          <w:w w:val="95"/>
        </w:rPr>
        <w:t xml:space="preserve">种植、养殖全产业链智慧化建设，积极推进数字乡村试点工作， </w:t>
      </w:r>
      <w:r>
        <w:rPr>
          <w:spacing w:val="-19"/>
        </w:rPr>
        <w:t>加快推进物联网技术在农业生产领域的应用。</w:t>
      </w:r>
    </w:p>
    <w:p>
      <w:pPr>
        <w:pStyle w:val="3"/>
        <w:tabs>
          <w:tab w:val="left" w:pos="1279"/>
        </w:tabs>
        <w:spacing w:before="50"/>
        <w:ind w:left="0" w:right="80"/>
        <w:jc w:val="center"/>
        <w:rPr>
          <w:rFonts w:hint="eastAsia" w:ascii="宋体" w:eastAsia="宋体"/>
        </w:rPr>
      </w:pPr>
      <w:bookmarkStart w:id="33" w:name="第二节  加快交通基础设施建设"/>
      <w:bookmarkEnd w:id="33"/>
      <w:r>
        <w:rPr>
          <w:rFonts w:hint="eastAsia" w:ascii="宋体" w:eastAsia="宋体"/>
        </w:rPr>
        <w:t>第二节</w:t>
      </w:r>
      <w:r>
        <w:rPr>
          <w:rFonts w:hint="eastAsia" w:ascii="宋体" w:eastAsia="宋体"/>
        </w:rPr>
        <w:tab/>
      </w:r>
      <w:r>
        <w:rPr>
          <w:rFonts w:hint="eastAsia" w:ascii="宋体" w:eastAsia="宋体"/>
        </w:rPr>
        <w:t>加快交通基础设施建设</w:t>
      </w:r>
    </w:p>
    <w:p>
      <w:pPr>
        <w:pStyle w:val="3"/>
        <w:spacing w:before="151"/>
        <w:ind w:left="960"/>
      </w:pPr>
      <w:r>
        <w:rPr>
          <w:spacing w:val="-20"/>
        </w:rPr>
        <w:t>加快交通强市建设，构建高速铁路、普通铁路、高速公路、</w:t>
      </w:r>
    </w:p>
    <w:p>
      <w:pPr>
        <w:spacing w:after="0"/>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jc w:val="right"/>
      </w:pPr>
      <w:r>
        <w:rPr>
          <w:spacing w:val="-11"/>
          <w:w w:val="95"/>
        </w:rPr>
        <w:t xml:space="preserve">国省道、港航、通用机场立体化交通运输大格局，打造“内通 </w:t>
      </w:r>
      <w:r>
        <w:rPr>
          <w:spacing w:val="-17"/>
          <w:w w:val="95"/>
        </w:rPr>
        <w:t>外联”的鲁南综合交通枢纽，畅通滕州经济发展“大动脉”。 加</w:t>
      </w:r>
      <w:r>
        <w:rPr>
          <w:spacing w:val="-20"/>
          <w:w w:val="95"/>
        </w:rPr>
        <w:t>快推进济南至枣庄高速铁路建设，发挥好旅游专线对滕</w:t>
      </w:r>
    </w:p>
    <w:p>
      <w:pPr>
        <w:pStyle w:val="3"/>
        <w:spacing w:line="328" w:lineRule="auto"/>
        <w:ind w:right="399"/>
        <w:jc w:val="both"/>
      </w:pPr>
      <w:r>
        <w:rPr>
          <w:spacing w:val="-7"/>
          <w:w w:val="95"/>
        </w:rPr>
        <w:t xml:space="preserve">州旅游产业及经济社会发展的综合带动效应；继续推进京台高 </w:t>
      </w:r>
      <w:r>
        <w:rPr>
          <w:spacing w:val="-12"/>
          <w:w w:val="95"/>
        </w:rPr>
        <w:t>速公路泰安至枣庄</w:t>
      </w:r>
      <w:r>
        <w:rPr>
          <w:w w:val="95"/>
        </w:rPr>
        <w:t>（鲁苏界</w:t>
      </w:r>
      <w:r>
        <w:rPr>
          <w:spacing w:val="-43"/>
          <w:w w:val="95"/>
        </w:rPr>
        <w:t>）</w:t>
      </w:r>
      <w:r>
        <w:rPr>
          <w:spacing w:val="-7"/>
          <w:w w:val="95"/>
        </w:rPr>
        <w:t xml:space="preserve">段改扩建工程，重点规划建设滕 </w:t>
      </w:r>
      <w:r>
        <w:rPr>
          <w:spacing w:val="-14"/>
          <w:w w:val="95"/>
        </w:rPr>
        <w:t xml:space="preserve">州至临沂高速公路，打造高速互联互通枢纽城市，提高我市交 </w:t>
      </w:r>
      <w:r>
        <w:rPr>
          <w:spacing w:val="-17"/>
          <w:w w:val="95"/>
        </w:rPr>
        <w:t xml:space="preserve">通现代化建设水平；逐步对国省干线公路进行升级改造，努力 </w:t>
      </w:r>
      <w:r>
        <w:rPr>
          <w:spacing w:val="-23"/>
        </w:rPr>
        <w:t xml:space="preserve">提高一级公路占比，重点推进实施省道 </w:t>
      </w:r>
      <w:r>
        <w:t>321</w:t>
      </w:r>
      <w:r>
        <w:rPr>
          <w:spacing w:val="-12"/>
        </w:rPr>
        <w:t xml:space="preserve"> 枣梁线鲁南高科技</w:t>
      </w:r>
      <w:r>
        <w:rPr>
          <w:spacing w:val="-15"/>
        </w:rPr>
        <w:t xml:space="preserve">化工园区段改建，规划推进国道 </w:t>
      </w:r>
      <w:r>
        <w:t>104</w:t>
      </w:r>
      <w:r>
        <w:rPr>
          <w:spacing w:val="-26"/>
        </w:rPr>
        <w:t xml:space="preserve">、省道 </w:t>
      </w:r>
      <w:r>
        <w:t>313</w:t>
      </w:r>
      <w:r>
        <w:rPr>
          <w:spacing w:val="-16"/>
        </w:rPr>
        <w:t xml:space="preserve"> 日滕线、省道104</w:t>
      </w:r>
      <w:r>
        <w:rPr>
          <w:spacing w:val="-13"/>
        </w:rPr>
        <w:t xml:space="preserve"> 济微线等干线公路改建，增强骨干交通现代化水平，畅通</w:t>
      </w:r>
      <w:r>
        <w:rPr>
          <w:spacing w:val="-18"/>
          <w:w w:val="95"/>
        </w:rPr>
        <w:t xml:space="preserve">我市与周边县市的交通联系；深入推进“四好农村路”高质量 </w:t>
      </w:r>
      <w:r>
        <w:rPr>
          <w:spacing w:val="-15"/>
          <w:w w:val="95"/>
        </w:rPr>
        <w:t xml:space="preserve">发展，巩固提升现有农村路网布局，完善路网结构，稳步推进 </w:t>
      </w:r>
      <w:r>
        <w:rPr>
          <w:spacing w:val="-17"/>
          <w:w w:val="95"/>
        </w:rPr>
        <w:t xml:space="preserve">县乡公路提档升级，提高三级路及以上比例。加大县乡公路养 </w:t>
      </w:r>
      <w:r>
        <w:rPr>
          <w:spacing w:val="-15"/>
          <w:w w:val="95"/>
        </w:rPr>
        <w:t xml:space="preserve">护力度，不断提高中等路率。完善交安设施，提高农村公路安 </w:t>
      </w:r>
      <w:r>
        <w:rPr>
          <w:spacing w:val="-16"/>
          <w:w w:val="95"/>
        </w:rPr>
        <w:t xml:space="preserve">全通行能力。充分发挥京杭运河黄金水道和纽带作用，加快港 </w:t>
      </w:r>
      <w:r>
        <w:rPr>
          <w:spacing w:val="-17"/>
          <w:w w:val="95"/>
        </w:rPr>
        <w:t>口码头扩能升级，提升航道综合通过能力，重点建设滕州港区 滨湖作业区、西岗作业区两大作业区；加快推进滕州市滨湖通</w:t>
      </w:r>
      <w:r>
        <w:rPr>
          <w:spacing w:val="2"/>
          <w:w w:val="99"/>
        </w:rPr>
        <w:t>用</w:t>
      </w:r>
      <w:r>
        <w:rPr>
          <w:spacing w:val="-8"/>
          <w:w w:val="99"/>
        </w:rPr>
        <w:t>机场项目建设，完善我市综合交通体系“空白”，带动区域</w:t>
      </w:r>
      <w:r>
        <w:t>经济战略转型和高质量发展。</w:t>
      </w:r>
    </w:p>
    <w:p>
      <w:pPr>
        <w:pStyle w:val="3"/>
        <w:spacing w:line="384" w:lineRule="exact"/>
        <w:ind w:left="960"/>
      </w:pPr>
      <w:r>
        <w:rPr>
          <w:spacing w:val="-9"/>
          <w:w w:val="95"/>
        </w:rPr>
        <w:t>加快完善客货运输站场规划建设，城区南部加快建设市交</w:t>
      </w:r>
    </w:p>
    <w:p>
      <w:pPr>
        <w:pStyle w:val="3"/>
        <w:spacing w:before="144" w:line="328" w:lineRule="auto"/>
        <w:ind w:right="399"/>
        <w:jc w:val="both"/>
      </w:pPr>
      <w:r>
        <w:rPr>
          <w:spacing w:val="-12"/>
        </w:rPr>
        <w:t>通综合服务中心项目，依托北部的客运换乘中心以及长途汽车</w:t>
      </w:r>
      <w:r>
        <w:rPr>
          <w:spacing w:val="-14"/>
          <w:w w:val="95"/>
        </w:rPr>
        <w:t xml:space="preserve">总站、东部的高铁换乘中心，完善交通枢纽联运功能，全域内 </w:t>
      </w:r>
      <w:r>
        <w:rPr>
          <w:spacing w:val="-17"/>
          <w:w w:val="95"/>
        </w:rPr>
        <w:t>基本建成多方式可选、多层次融合、全过程连贯的一体化综合</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mc:AlternateContent>
          <mc:Choice Requires="wps">
            <w:drawing>
              <wp:anchor distT="0" distB="0" distL="0" distR="0" simplePos="0" relativeHeight="251676672" behindDoc="1" locked="0" layoutInCell="1" allowOverlap="1">
                <wp:simplePos x="0" y="0"/>
                <wp:positionH relativeFrom="page">
                  <wp:posOffset>1073785</wp:posOffset>
                </wp:positionH>
                <wp:positionV relativeFrom="paragraph">
                  <wp:posOffset>2943860</wp:posOffset>
                </wp:positionV>
                <wp:extent cx="5411470" cy="2292350"/>
                <wp:effectExtent l="4445" t="4445" r="13335" b="8255"/>
                <wp:wrapTopAndBottom/>
                <wp:docPr id="48" name="文本框 19"/>
                <wp:cNvGraphicFramePr/>
                <a:graphic xmlns:a="http://schemas.openxmlformats.org/drawingml/2006/main">
                  <a:graphicData uri="http://schemas.microsoft.com/office/word/2010/wordprocessingShape">
                    <wps:wsp>
                      <wps:cNvSpPr txBox="true"/>
                      <wps:spPr>
                        <a:xfrm>
                          <a:off x="0" y="0"/>
                          <a:ext cx="5411470" cy="2292350"/>
                        </a:xfrm>
                        <a:prstGeom prst="rect">
                          <a:avLst/>
                        </a:prstGeom>
                        <a:noFill/>
                        <a:ln w="6096" cap="flat" cmpd="sng">
                          <a:solidFill>
                            <a:srgbClr val="000000"/>
                          </a:solidFill>
                          <a:prstDash val="solid"/>
                          <a:miter/>
                          <a:headEnd type="none" w="med" len="med"/>
                          <a:tailEnd type="none" w="med" len="med"/>
                        </a:ln>
                      </wps:spPr>
                      <wps:txbx>
                        <w:txbxContent>
                          <w:p>
                            <w:pPr>
                              <w:tabs>
                                <w:tab w:val="left" w:pos="3446"/>
                              </w:tabs>
                              <w:spacing w:before="41"/>
                              <w:ind w:left="2255" w:right="0" w:firstLine="0"/>
                              <w:jc w:val="left"/>
                              <w:rPr>
                                <w:b/>
                                <w:sz w:val="28"/>
                              </w:rPr>
                            </w:pPr>
                            <w:r>
                              <w:rPr>
                                <w:b/>
                                <w:sz w:val="28"/>
                              </w:rPr>
                              <w:t>专栏</w:t>
                            </w:r>
                            <w:r>
                              <w:rPr>
                                <w:b/>
                                <w:spacing w:val="-72"/>
                                <w:sz w:val="28"/>
                              </w:rPr>
                              <w:t xml:space="preserve"> </w:t>
                            </w:r>
                            <w:r>
                              <w:rPr>
                                <w:rFonts w:ascii="Times New Roman" w:eastAsia="Times New Roman"/>
                                <w:b/>
                                <w:sz w:val="28"/>
                              </w:rPr>
                              <w:t>10</w:t>
                            </w:r>
                            <w:r>
                              <w:rPr>
                                <w:rFonts w:ascii="Times New Roman" w:eastAsia="Times New Roman"/>
                                <w:b/>
                                <w:sz w:val="28"/>
                              </w:rPr>
                              <w:tab/>
                            </w:r>
                            <w:r>
                              <w:rPr>
                                <w:b/>
                                <w:sz w:val="28"/>
                              </w:rPr>
                              <w:t>交通基础设施重点项目</w:t>
                            </w:r>
                          </w:p>
                          <w:p>
                            <w:pPr>
                              <w:spacing w:before="42" w:line="266" w:lineRule="auto"/>
                              <w:ind w:left="103" w:right="7" w:firstLine="0"/>
                              <w:jc w:val="left"/>
                              <w:rPr>
                                <w:sz w:val="28"/>
                              </w:rPr>
                            </w:pPr>
                            <w:r>
                              <w:rPr>
                                <w:spacing w:val="-9"/>
                                <w:sz w:val="28"/>
                              </w:rPr>
                              <w:t>济南至枣庄高速铁路滕州段工程、京台高速改扩建滕州段工程、京台</w:t>
                            </w:r>
                            <w:r>
                              <w:rPr>
                                <w:spacing w:val="-3"/>
                                <w:sz w:val="28"/>
                              </w:rPr>
                              <w:t>高速新北出口连接线项目</w:t>
                            </w:r>
                            <w:r>
                              <w:rPr>
                                <w:sz w:val="28"/>
                              </w:rPr>
                              <w:t>（</w:t>
                            </w:r>
                            <w:r>
                              <w:rPr>
                                <w:spacing w:val="-3"/>
                                <w:sz w:val="28"/>
                              </w:rPr>
                              <w:t>龙岭路、滕龙路改建、大同北路北延）</w:t>
                            </w:r>
                            <w:r>
                              <w:rPr>
                                <w:sz w:val="28"/>
                              </w:rPr>
                              <w:t>、</w:t>
                            </w:r>
                            <w:r>
                              <w:rPr>
                                <w:spacing w:val="-7"/>
                                <w:sz w:val="28"/>
                              </w:rPr>
                              <w:t>临滕高速滕州段工程</w:t>
                            </w:r>
                            <w:r>
                              <w:rPr>
                                <w:sz w:val="28"/>
                              </w:rPr>
                              <w:t>（</w:t>
                            </w:r>
                            <w:r>
                              <w:rPr>
                                <w:spacing w:val="-3"/>
                                <w:sz w:val="28"/>
                              </w:rPr>
                              <w:t>含临滕高速东郭连接线</w:t>
                            </w:r>
                            <w:r>
                              <w:rPr>
                                <w:spacing w:val="-34"/>
                                <w:sz w:val="28"/>
                              </w:rPr>
                              <w:t>）</w:t>
                            </w:r>
                            <w:r>
                              <w:rPr>
                                <w:spacing w:val="-26"/>
                                <w:sz w:val="28"/>
                              </w:rPr>
                              <w:t xml:space="preserve">、省道 </w:t>
                            </w:r>
                            <w:r>
                              <w:rPr>
                                <w:rFonts w:ascii="Times New Roman" w:eastAsia="Times New Roman"/>
                                <w:sz w:val="28"/>
                              </w:rPr>
                              <w:t>321</w:t>
                            </w:r>
                            <w:r>
                              <w:rPr>
                                <w:rFonts w:ascii="Times New Roman" w:eastAsia="Times New Roman"/>
                                <w:spacing w:val="3"/>
                                <w:sz w:val="28"/>
                              </w:rPr>
                              <w:t xml:space="preserve"> </w:t>
                            </w:r>
                            <w:r>
                              <w:rPr>
                                <w:spacing w:val="-2"/>
                                <w:sz w:val="28"/>
                              </w:rPr>
                              <w:t>枣梁线鲁</w:t>
                            </w:r>
                          </w:p>
                          <w:p>
                            <w:pPr>
                              <w:spacing w:before="5" w:line="266" w:lineRule="auto"/>
                              <w:ind w:left="103" w:right="98" w:firstLine="0"/>
                              <w:jc w:val="both"/>
                              <w:rPr>
                                <w:sz w:val="28"/>
                              </w:rPr>
                            </w:pPr>
                            <w:r>
                              <w:rPr>
                                <w:spacing w:val="-11"/>
                                <w:sz w:val="28"/>
                              </w:rPr>
                              <w:t xml:space="preserve">南高科技化工园区段改建工程、省道 </w:t>
                            </w:r>
                            <w:r>
                              <w:rPr>
                                <w:rFonts w:ascii="Times New Roman" w:eastAsia="Times New Roman"/>
                                <w:sz w:val="28"/>
                              </w:rPr>
                              <w:t>104</w:t>
                            </w:r>
                            <w:r>
                              <w:rPr>
                                <w:rFonts w:ascii="Times New Roman" w:eastAsia="Times New Roman"/>
                                <w:spacing w:val="3"/>
                                <w:sz w:val="28"/>
                              </w:rPr>
                              <w:t xml:space="preserve"> </w:t>
                            </w:r>
                            <w:r>
                              <w:rPr>
                                <w:spacing w:val="-8"/>
                                <w:sz w:val="28"/>
                              </w:rPr>
                              <w:t>济微线改建工程、农村公路</w:t>
                            </w:r>
                            <w:r>
                              <w:rPr>
                                <w:spacing w:val="-7"/>
                                <w:sz w:val="28"/>
                              </w:rPr>
                              <w:t xml:space="preserve">新改建及大中修工程、东岗线大修等 </w:t>
                            </w:r>
                            <w:r>
                              <w:rPr>
                                <w:rFonts w:ascii="Times New Roman" w:eastAsia="Times New Roman"/>
                                <w:sz w:val="28"/>
                              </w:rPr>
                              <w:t>EPC</w:t>
                            </w:r>
                            <w:r>
                              <w:rPr>
                                <w:rFonts w:ascii="Times New Roman" w:eastAsia="Times New Roman"/>
                                <w:spacing w:val="33"/>
                                <w:sz w:val="28"/>
                              </w:rPr>
                              <w:t xml:space="preserve"> </w:t>
                            </w:r>
                            <w:r>
                              <w:rPr>
                                <w:sz w:val="28"/>
                              </w:rPr>
                              <w:t>项目、滕州港区滨湖作业</w:t>
                            </w:r>
                            <w:r>
                              <w:rPr>
                                <w:spacing w:val="-20"/>
                                <w:sz w:val="28"/>
                              </w:rPr>
                              <w:t>区</w:t>
                            </w:r>
                            <w:r>
                              <w:rPr>
                                <w:spacing w:val="-3"/>
                                <w:sz w:val="28"/>
                              </w:rPr>
                              <w:t>（</w:t>
                            </w:r>
                            <w:r>
                              <w:rPr>
                                <w:spacing w:val="-2"/>
                                <w:sz w:val="28"/>
                              </w:rPr>
                              <w:t>滕州新港</w:t>
                            </w:r>
                            <w:r>
                              <w:rPr>
                                <w:spacing w:val="-20"/>
                                <w:sz w:val="28"/>
                              </w:rPr>
                              <w:t>）</w:t>
                            </w:r>
                            <w:r>
                              <w:rPr>
                                <w:spacing w:val="-8"/>
                                <w:sz w:val="28"/>
                              </w:rPr>
                              <w:t>、滕州港区西岗作业区、滨湖通用机场项目、滕州市</w:t>
                            </w:r>
                            <w:r>
                              <w:rPr>
                                <w:rFonts w:ascii="Times New Roman" w:eastAsia="Times New Roman"/>
                                <w:spacing w:val="-8"/>
                                <w:sz w:val="28"/>
                              </w:rPr>
                              <w:t>BRT</w:t>
                            </w:r>
                            <w:r>
                              <w:rPr>
                                <w:rFonts w:ascii="Times New Roman" w:eastAsia="Times New Roman"/>
                                <w:spacing w:val="43"/>
                                <w:sz w:val="28"/>
                              </w:rPr>
                              <w:t xml:space="preserve"> </w:t>
                            </w:r>
                            <w:r>
                              <w:rPr>
                                <w:sz w:val="28"/>
                              </w:rPr>
                              <w:t>快速公交项目、交通运输信息一体化平台项目、高铁新区段东</w:t>
                            </w:r>
                          </w:p>
                          <w:p>
                            <w:pPr>
                              <w:spacing w:before="6"/>
                              <w:ind w:left="103" w:right="0" w:firstLine="0"/>
                              <w:jc w:val="left"/>
                              <w:rPr>
                                <w:sz w:val="28"/>
                              </w:rPr>
                            </w:pPr>
                            <w:r>
                              <w:rPr>
                                <w:sz w:val="28"/>
                              </w:rPr>
                              <w:t>木路改线工程</w:t>
                            </w:r>
                          </w:p>
                        </w:txbxContent>
                      </wps:txbx>
                      <wps:bodyPr lIns="0" tIns="0" rIns="0" bIns="0" upright="true"/>
                    </wps:wsp>
                  </a:graphicData>
                </a:graphic>
              </wp:anchor>
            </w:drawing>
          </mc:Choice>
          <mc:Fallback>
            <w:pict>
              <v:shape id="文本框 19" o:spid="_x0000_s1026" o:spt="202" type="#_x0000_t202" style="position:absolute;left:0pt;margin-left:84.55pt;margin-top:231.8pt;height:180.5pt;width:426.1pt;mso-position-horizontal-relative:page;mso-wrap-distance-bottom:0pt;mso-wrap-distance-top:0pt;z-index:-251639808;mso-width-relative:page;mso-height-relative:page;" filled="f" stroked="t" coordsize="21600,21600" o:gfxdata="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LojZ62AAAAAwBAAAPAAAA&#10;AAAAAAEAIAAAADgAAABkcnMvZG93bnJldi54bWxQSwECFAAUAAAACACHTuJAYF5Rvv8BAADsAwAA&#10;DgAAAAAAAAABACAAAAA9AQAAZHJzL2Uyb0RvYy54bWxQSwUGAAAAAAYABgBZAQAArgUAAAAA&#10;">
                <v:fill on="f" focussize="0,0"/>
                <v:stroke weight="0.48pt" color="#000000" joinstyle="miter"/>
                <v:imagedata o:title=""/>
                <o:lock v:ext="edit" aspectratio="f"/>
                <v:textbox inset="0mm,0mm,0mm,0mm">
                  <w:txbxContent>
                    <w:p>
                      <w:pPr>
                        <w:tabs>
                          <w:tab w:val="left" w:pos="3446"/>
                        </w:tabs>
                        <w:spacing w:before="41"/>
                        <w:ind w:left="2255" w:right="0" w:firstLine="0"/>
                        <w:jc w:val="left"/>
                        <w:rPr>
                          <w:b/>
                          <w:sz w:val="28"/>
                        </w:rPr>
                      </w:pPr>
                      <w:r>
                        <w:rPr>
                          <w:b/>
                          <w:sz w:val="28"/>
                        </w:rPr>
                        <w:t>专栏</w:t>
                      </w:r>
                      <w:r>
                        <w:rPr>
                          <w:b/>
                          <w:spacing w:val="-72"/>
                          <w:sz w:val="28"/>
                        </w:rPr>
                        <w:t xml:space="preserve"> </w:t>
                      </w:r>
                      <w:r>
                        <w:rPr>
                          <w:rFonts w:ascii="Times New Roman" w:eastAsia="Times New Roman"/>
                          <w:b/>
                          <w:sz w:val="28"/>
                        </w:rPr>
                        <w:t>10</w:t>
                      </w:r>
                      <w:r>
                        <w:rPr>
                          <w:rFonts w:ascii="Times New Roman" w:eastAsia="Times New Roman"/>
                          <w:b/>
                          <w:sz w:val="28"/>
                        </w:rPr>
                        <w:tab/>
                      </w:r>
                      <w:r>
                        <w:rPr>
                          <w:b/>
                          <w:sz w:val="28"/>
                        </w:rPr>
                        <w:t>交通基础设施重点项目</w:t>
                      </w:r>
                    </w:p>
                    <w:p>
                      <w:pPr>
                        <w:spacing w:before="42" w:line="266" w:lineRule="auto"/>
                        <w:ind w:left="103" w:right="7" w:firstLine="0"/>
                        <w:jc w:val="left"/>
                        <w:rPr>
                          <w:sz w:val="28"/>
                        </w:rPr>
                      </w:pPr>
                      <w:r>
                        <w:rPr>
                          <w:spacing w:val="-9"/>
                          <w:sz w:val="28"/>
                        </w:rPr>
                        <w:t>济南至枣庄高速铁路滕州段工程、京台高速改扩建滕州段工程、京台</w:t>
                      </w:r>
                      <w:r>
                        <w:rPr>
                          <w:spacing w:val="-3"/>
                          <w:sz w:val="28"/>
                        </w:rPr>
                        <w:t>高速新北出口连接线项目</w:t>
                      </w:r>
                      <w:r>
                        <w:rPr>
                          <w:sz w:val="28"/>
                        </w:rPr>
                        <w:t>（</w:t>
                      </w:r>
                      <w:r>
                        <w:rPr>
                          <w:spacing w:val="-3"/>
                          <w:sz w:val="28"/>
                        </w:rPr>
                        <w:t>龙岭路、滕龙路改建、大同北路北延）</w:t>
                      </w:r>
                      <w:r>
                        <w:rPr>
                          <w:sz w:val="28"/>
                        </w:rPr>
                        <w:t>、</w:t>
                      </w:r>
                      <w:r>
                        <w:rPr>
                          <w:spacing w:val="-7"/>
                          <w:sz w:val="28"/>
                        </w:rPr>
                        <w:t>临滕高速滕州段工程</w:t>
                      </w:r>
                      <w:r>
                        <w:rPr>
                          <w:sz w:val="28"/>
                        </w:rPr>
                        <w:t>（</w:t>
                      </w:r>
                      <w:r>
                        <w:rPr>
                          <w:spacing w:val="-3"/>
                          <w:sz w:val="28"/>
                        </w:rPr>
                        <w:t>含临滕高速东郭连接线</w:t>
                      </w:r>
                      <w:r>
                        <w:rPr>
                          <w:spacing w:val="-34"/>
                          <w:sz w:val="28"/>
                        </w:rPr>
                        <w:t>）</w:t>
                      </w:r>
                      <w:r>
                        <w:rPr>
                          <w:spacing w:val="-26"/>
                          <w:sz w:val="28"/>
                        </w:rPr>
                        <w:t xml:space="preserve">、省道 </w:t>
                      </w:r>
                      <w:r>
                        <w:rPr>
                          <w:rFonts w:ascii="Times New Roman" w:eastAsia="Times New Roman"/>
                          <w:sz w:val="28"/>
                        </w:rPr>
                        <w:t>321</w:t>
                      </w:r>
                      <w:r>
                        <w:rPr>
                          <w:rFonts w:ascii="Times New Roman" w:eastAsia="Times New Roman"/>
                          <w:spacing w:val="3"/>
                          <w:sz w:val="28"/>
                        </w:rPr>
                        <w:t xml:space="preserve"> </w:t>
                      </w:r>
                      <w:r>
                        <w:rPr>
                          <w:spacing w:val="-2"/>
                          <w:sz w:val="28"/>
                        </w:rPr>
                        <w:t>枣梁线鲁</w:t>
                      </w:r>
                    </w:p>
                    <w:p>
                      <w:pPr>
                        <w:spacing w:before="5" w:line="266" w:lineRule="auto"/>
                        <w:ind w:left="103" w:right="98" w:firstLine="0"/>
                        <w:jc w:val="both"/>
                        <w:rPr>
                          <w:sz w:val="28"/>
                        </w:rPr>
                      </w:pPr>
                      <w:r>
                        <w:rPr>
                          <w:spacing w:val="-11"/>
                          <w:sz w:val="28"/>
                        </w:rPr>
                        <w:t xml:space="preserve">南高科技化工园区段改建工程、省道 </w:t>
                      </w:r>
                      <w:r>
                        <w:rPr>
                          <w:rFonts w:ascii="Times New Roman" w:eastAsia="Times New Roman"/>
                          <w:sz w:val="28"/>
                        </w:rPr>
                        <w:t>104</w:t>
                      </w:r>
                      <w:r>
                        <w:rPr>
                          <w:rFonts w:ascii="Times New Roman" w:eastAsia="Times New Roman"/>
                          <w:spacing w:val="3"/>
                          <w:sz w:val="28"/>
                        </w:rPr>
                        <w:t xml:space="preserve"> </w:t>
                      </w:r>
                      <w:r>
                        <w:rPr>
                          <w:spacing w:val="-8"/>
                          <w:sz w:val="28"/>
                        </w:rPr>
                        <w:t>济微线改建工程、农村公路</w:t>
                      </w:r>
                      <w:r>
                        <w:rPr>
                          <w:spacing w:val="-7"/>
                          <w:sz w:val="28"/>
                        </w:rPr>
                        <w:t xml:space="preserve">新改建及大中修工程、东岗线大修等 </w:t>
                      </w:r>
                      <w:r>
                        <w:rPr>
                          <w:rFonts w:ascii="Times New Roman" w:eastAsia="Times New Roman"/>
                          <w:sz w:val="28"/>
                        </w:rPr>
                        <w:t>EPC</w:t>
                      </w:r>
                      <w:r>
                        <w:rPr>
                          <w:rFonts w:ascii="Times New Roman" w:eastAsia="Times New Roman"/>
                          <w:spacing w:val="33"/>
                          <w:sz w:val="28"/>
                        </w:rPr>
                        <w:t xml:space="preserve"> </w:t>
                      </w:r>
                      <w:r>
                        <w:rPr>
                          <w:sz w:val="28"/>
                        </w:rPr>
                        <w:t>项目、滕州港区滨湖作业</w:t>
                      </w:r>
                      <w:r>
                        <w:rPr>
                          <w:spacing w:val="-20"/>
                          <w:sz w:val="28"/>
                        </w:rPr>
                        <w:t>区</w:t>
                      </w:r>
                      <w:r>
                        <w:rPr>
                          <w:spacing w:val="-3"/>
                          <w:sz w:val="28"/>
                        </w:rPr>
                        <w:t>（</w:t>
                      </w:r>
                      <w:r>
                        <w:rPr>
                          <w:spacing w:val="-2"/>
                          <w:sz w:val="28"/>
                        </w:rPr>
                        <w:t>滕州新港</w:t>
                      </w:r>
                      <w:r>
                        <w:rPr>
                          <w:spacing w:val="-20"/>
                          <w:sz w:val="28"/>
                        </w:rPr>
                        <w:t>）</w:t>
                      </w:r>
                      <w:r>
                        <w:rPr>
                          <w:spacing w:val="-8"/>
                          <w:sz w:val="28"/>
                        </w:rPr>
                        <w:t>、滕州港区西岗作业区、滨湖通用机场项目、滕州市</w:t>
                      </w:r>
                      <w:r>
                        <w:rPr>
                          <w:rFonts w:ascii="Times New Roman" w:eastAsia="Times New Roman"/>
                          <w:spacing w:val="-8"/>
                          <w:sz w:val="28"/>
                        </w:rPr>
                        <w:t>BRT</w:t>
                      </w:r>
                      <w:r>
                        <w:rPr>
                          <w:rFonts w:ascii="Times New Roman" w:eastAsia="Times New Roman"/>
                          <w:spacing w:val="43"/>
                          <w:sz w:val="28"/>
                        </w:rPr>
                        <w:t xml:space="preserve"> </w:t>
                      </w:r>
                      <w:r>
                        <w:rPr>
                          <w:sz w:val="28"/>
                        </w:rPr>
                        <w:t>快速公交项目、交通运输信息一体化平台项目、高铁新区段东</w:t>
                      </w:r>
                    </w:p>
                    <w:p>
                      <w:pPr>
                        <w:spacing w:before="6"/>
                        <w:ind w:left="103" w:right="0" w:firstLine="0"/>
                        <w:jc w:val="left"/>
                        <w:rPr>
                          <w:sz w:val="28"/>
                        </w:rPr>
                      </w:pPr>
                      <w:r>
                        <w:rPr>
                          <w:sz w:val="28"/>
                        </w:rPr>
                        <w:t>木路改线工程</w:t>
                      </w:r>
                    </w:p>
                  </w:txbxContent>
                </v:textbox>
                <w10:wrap type="topAndBottom"/>
              </v:shape>
            </w:pict>
          </mc:Fallback>
        </mc:AlternateContent>
      </w:r>
      <w:r>
        <w:t>客运系统；支持国运物流配货市场改造成鲁南货物集散中心。</w:t>
      </w:r>
      <w:r>
        <w:rPr>
          <w:spacing w:val="-7"/>
        </w:rPr>
        <w:t>加强智能化交通系统与道路基础设施的同步建设，将先进的信</w:t>
      </w:r>
      <w:r>
        <w:rPr>
          <w:spacing w:val="-14"/>
        </w:rPr>
        <w:t>息技术、数据通信技术、传感器技术、电子控制技术以及计算机技术等有效地综合运用于整个交通运输管理体系，通过人、</w:t>
      </w:r>
      <w:r>
        <w:rPr>
          <w:spacing w:val="-20"/>
          <w:w w:val="95"/>
        </w:rPr>
        <w:t>车、路的和谐、密切配合，提高</w:t>
      </w:r>
      <w:r>
        <w:fldChar w:fldCharType="begin"/>
      </w:r>
      <w:r>
        <w:instrText xml:space="preserve"> HYPERLINK "https://baike.baidu.com/item/%E4%BA%A4%E9%80%9A%E8%BF%90%E8%BE%93" \h </w:instrText>
      </w:r>
      <w:r>
        <w:fldChar w:fldCharType="separate"/>
      </w:r>
      <w:r>
        <w:rPr>
          <w:w w:val="95"/>
        </w:rPr>
        <w:t>交通运输</w:t>
      </w:r>
      <w:r>
        <w:rPr>
          <w:w w:val="95"/>
        </w:rPr>
        <w:fldChar w:fldCharType="end"/>
      </w:r>
      <w:r>
        <w:rPr>
          <w:spacing w:val="-9"/>
          <w:w w:val="95"/>
        </w:rPr>
        <w:t xml:space="preserve">效率、缓解交通阻塞、 </w:t>
      </w:r>
      <w:r>
        <w:rPr>
          <w:spacing w:val="5"/>
        </w:rPr>
        <w:t>减少交通事故、降低能源消耗、减轻</w:t>
      </w:r>
      <w:r>
        <w:fldChar w:fldCharType="begin"/>
      </w:r>
      <w:r>
        <w:instrText xml:space="preserve"> HYPERLINK "https://baike.baidu.com/item/%E7%8E%AF%E5%A2%83%E6%B1%A1%E6%9F%93" \h </w:instrText>
      </w:r>
      <w:r>
        <w:fldChar w:fldCharType="separate"/>
      </w:r>
      <w:r>
        <w:rPr>
          <w:spacing w:val="5"/>
        </w:rPr>
        <w:t>环境污染</w:t>
      </w:r>
      <w:r>
        <w:rPr>
          <w:spacing w:val="5"/>
        </w:rPr>
        <w:fldChar w:fldCharType="end"/>
      </w:r>
      <w:r>
        <w:rPr>
          <w:spacing w:val="7"/>
        </w:rPr>
        <w:t>。</w:t>
      </w:r>
      <w:r>
        <w:t>2025</w:t>
      </w:r>
      <w:r>
        <w:rPr>
          <w:spacing w:val="-20"/>
        </w:rPr>
        <w:t xml:space="preserve"> 年，全</w:t>
      </w:r>
      <w:r>
        <w:rPr>
          <w:spacing w:val="-19"/>
        </w:rPr>
        <w:t>市基本形成网络联系畅达、枢纽布局完善、城乡公交一体、交通设备智能的现代化交通运输体系。</w:t>
      </w:r>
    </w:p>
    <w:p>
      <w:pPr>
        <w:pStyle w:val="3"/>
        <w:tabs>
          <w:tab w:val="left" w:pos="1279"/>
        </w:tabs>
        <w:spacing w:before="163"/>
        <w:ind w:left="0" w:right="80"/>
        <w:jc w:val="center"/>
        <w:rPr>
          <w:rFonts w:hint="eastAsia" w:ascii="宋体" w:eastAsia="宋体"/>
        </w:rPr>
      </w:pPr>
      <w:bookmarkStart w:id="34" w:name="第三节  加快能源基础设施建设"/>
      <w:bookmarkEnd w:id="34"/>
      <w:r>
        <w:rPr>
          <w:rFonts w:hint="eastAsia" w:ascii="宋体" w:eastAsia="宋体"/>
        </w:rPr>
        <w:t>第三节</w:t>
      </w:r>
      <w:r>
        <w:rPr>
          <w:rFonts w:hint="eastAsia" w:ascii="宋体" w:eastAsia="宋体"/>
        </w:rPr>
        <w:tab/>
      </w:r>
      <w:r>
        <w:rPr>
          <w:rFonts w:hint="eastAsia" w:ascii="宋体" w:eastAsia="宋体"/>
        </w:rPr>
        <w:t>加快能源基础设施建设</w:t>
      </w:r>
    </w:p>
    <w:p>
      <w:pPr>
        <w:pStyle w:val="3"/>
        <w:spacing w:before="149" w:line="328" w:lineRule="auto"/>
        <w:ind w:right="398" w:firstLine="638"/>
        <w:jc w:val="both"/>
      </w:pPr>
      <w:r>
        <w:rPr>
          <w:spacing w:val="-10"/>
          <w:w w:val="95"/>
        </w:rPr>
        <w:t xml:space="preserve">推进能源互联网建设，鼓励电力、天然气、热力等领域企 </w:t>
      </w:r>
      <w:r>
        <w:rPr>
          <w:spacing w:val="-17"/>
          <w:w w:val="95"/>
        </w:rPr>
        <w:t xml:space="preserve">业基于全省智慧能源运行平台，建设能源管理运行系统，实现 </w:t>
      </w:r>
      <w:r>
        <w:rPr>
          <w:spacing w:val="-22"/>
        </w:rPr>
        <w:t>各类能源网络信息系统的互联互通和数据共享，配合全省构建</w:t>
      </w:r>
      <w:r>
        <w:rPr>
          <w:spacing w:val="-19"/>
        </w:rPr>
        <w:t>能源形态协同转化、集中式与分布式能源协同运行的综合能源</w:t>
      </w:r>
      <w:r>
        <w:rPr>
          <w:spacing w:val="-12"/>
          <w:w w:val="99"/>
        </w:rPr>
        <w:t>网络。大力推广“多表合一”，实现电、气、热等多种能源消</w:t>
      </w:r>
      <w:r>
        <w:rPr>
          <w:spacing w:val="-12"/>
        </w:rPr>
        <w:t xml:space="preserve">费信息的集中自动采集和跨行业数据共享。推进“互联网+” </w:t>
      </w:r>
      <w:r>
        <w:rPr>
          <w:spacing w:val="-16"/>
        </w:rPr>
        <w:t>充电设施建设，依托加油站、公交站、停车场等场所，构建车</w:t>
      </w:r>
      <w:r>
        <w:rPr>
          <w:spacing w:val="-15"/>
        </w:rPr>
        <w:t>桩相随、智能高效的充电基础设施体系。加快建设种寨站、黄</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rPr>
          <w:spacing w:val="-5"/>
        </w:rPr>
        <w:t xml:space="preserve">安站、莲青站、滕东站、天源站等 </w:t>
      </w:r>
      <w:r>
        <w:t>96</w:t>
      </w:r>
      <w:r>
        <w:rPr>
          <w:spacing w:val="-9"/>
        </w:rPr>
        <w:t xml:space="preserve"> 条配电线路建设，新建</w:t>
      </w:r>
    </w:p>
    <w:p>
      <w:pPr>
        <w:pStyle w:val="3"/>
        <w:spacing w:before="152"/>
      </w:pPr>
      <w:r>
        <w:rPr>
          <w:spacing w:val="-11"/>
        </w:rPr>
        <w:t xml:space="preserve">架空线路 </w:t>
      </w:r>
      <w:r>
        <w:t>567</w:t>
      </w:r>
      <w:r>
        <w:rPr>
          <w:spacing w:val="-14"/>
        </w:rPr>
        <w:t xml:space="preserve"> 公里、敷设电缆 </w:t>
      </w:r>
      <w:r>
        <w:t>156</w:t>
      </w:r>
      <w:r>
        <w:rPr>
          <w:spacing w:val="-2"/>
        </w:rPr>
        <w:t xml:space="preserve"> 公里，新上、改造变压器</w:t>
      </w:r>
    </w:p>
    <w:p>
      <w:pPr>
        <w:pStyle w:val="3"/>
        <w:spacing w:before="154"/>
      </w:pPr>
      <w:r>
        <w:t>800</w:t>
      </w:r>
      <w:r>
        <w:rPr>
          <w:spacing w:val="-84"/>
        </w:rPr>
        <w:t xml:space="preserve"> </w:t>
      </w:r>
      <w:r>
        <w:t>台</w:t>
      </w:r>
      <w:r>
        <w:rPr>
          <w:spacing w:val="-43"/>
        </w:rPr>
        <w:t>、</w:t>
      </w:r>
      <w:r>
        <w:t>开关</w:t>
      </w:r>
      <w:r>
        <w:rPr>
          <w:spacing w:val="-81"/>
        </w:rPr>
        <w:t xml:space="preserve"> </w:t>
      </w:r>
      <w:r>
        <w:t>388</w:t>
      </w:r>
      <w:r>
        <w:rPr>
          <w:spacing w:val="-84"/>
        </w:rPr>
        <w:t xml:space="preserve"> </w:t>
      </w:r>
      <w:r>
        <w:t>台</w:t>
      </w:r>
      <w:r>
        <w:rPr>
          <w:spacing w:val="-46"/>
        </w:rPr>
        <w:t>，</w:t>
      </w:r>
      <w:r>
        <w:t>确保线路绝缘化率达到</w:t>
      </w:r>
      <w:r>
        <w:rPr>
          <w:spacing w:val="-81"/>
        </w:rPr>
        <w:t xml:space="preserve"> </w:t>
      </w:r>
      <w:r>
        <w:rPr>
          <w:spacing w:val="3"/>
        </w:rPr>
        <w:t>100</w:t>
      </w:r>
      <w:r>
        <w:rPr>
          <w:spacing w:val="8"/>
          <w:w w:val="99"/>
        </w:rPr>
        <w:drawing>
          <wp:inline distT="0" distB="0" distL="0" distR="0">
            <wp:extent cx="85090" cy="154940"/>
            <wp:effectExtent l="0" t="0" r="0" b="0"/>
            <wp:docPr id="61"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1"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46"/>
          <w:w w:val="95"/>
        </w:rPr>
        <w:t>，</w:t>
      </w:r>
      <w:r>
        <w:rPr>
          <w:w w:val="95"/>
        </w:rPr>
        <w:t>居民户均</w:t>
      </w:r>
    </w:p>
    <w:p>
      <w:pPr>
        <w:pStyle w:val="3"/>
        <w:spacing w:before="144"/>
      </w:pPr>
      <w:r>
        <mc:AlternateContent>
          <mc:Choice Requires="wps">
            <w:drawing>
              <wp:anchor distT="0" distB="0" distL="0" distR="0" simplePos="0" relativeHeight="251677696" behindDoc="1" locked="0" layoutInCell="1" allowOverlap="1">
                <wp:simplePos x="0" y="0"/>
                <wp:positionH relativeFrom="page">
                  <wp:posOffset>1073785</wp:posOffset>
                </wp:positionH>
                <wp:positionV relativeFrom="paragraph">
                  <wp:posOffset>438785</wp:posOffset>
                </wp:positionV>
                <wp:extent cx="5411470" cy="768350"/>
                <wp:effectExtent l="4445" t="4445" r="13335" b="8255"/>
                <wp:wrapTopAndBottom/>
                <wp:docPr id="50" name="文本框 20"/>
                <wp:cNvGraphicFramePr/>
                <a:graphic xmlns:a="http://schemas.openxmlformats.org/drawingml/2006/main">
                  <a:graphicData uri="http://schemas.microsoft.com/office/word/2010/wordprocessingShape">
                    <wps:wsp>
                      <wps:cNvSpPr txBox="true"/>
                      <wps:spPr>
                        <a:xfrm>
                          <a:off x="0" y="0"/>
                          <a:ext cx="5411470" cy="768350"/>
                        </a:xfrm>
                        <a:prstGeom prst="rect">
                          <a:avLst/>
                        </a:prstGeom>
                        <a:noFill/>
                        <a:ln w="6096" cap="flat" cmpd="sng">
                          <a:solidFill>
                            <a:srgbClr val="000000"/>
                          </a:solidFill>
                          <a:prstDash val="solid"/>
                          <a:miter/>
                          <a:headEnd type="none" w="med" len="med"/>
                          <a:tailEnd type="none" w="med" len="med"/>
                        </a:ln>
                      </wps:spPr>
                      <wps:txbx>
                        <w:txbxContent>
                          <w:p>
                            <w:pPr>
                              <w:tabs>
                                <w:tab w:val="left" w:pos="1190"/>
                              </w:tabs>
                              <w:spacing w:before="42"/>
                              <w:ind w:left="0" w:right="0" w:firstLine="0"/>
                              <w:jc w:val="center"/>
                              <w:rPr>
                                <w:b/>
                                <w:sz w:val="28"/>
                              </w:rPr>
                            </w:pPr>
                            <w:r>
                              <w:rPr>
                                <w:b/>
                                <w:sz w:val="28"/>
                              </w:rPr>
                              <w:t>专栏</w:t>
                            </w:r>
                            <w:r>
                              <w:rPr>
                                <w:b/>
                                <w:spacing w:val="-72"/>
                                <w:sz w:val="28"/>
                              </w:rPr>
                              <w:t xml:space="preserve"> </w:t>
                            </w:r>
                            <w:r>
                              <w:rPr>
                                <w:rFonts w:ascii="Times New Roman" w:eastAsia="Times New Roman"/>
                                <w:b/>
                                <w:sz w:val="28"/>
                              </w:rPr>
                              <w:t>11</w:t>
                            </w:r>
                            <w:r>
                              <w:rPr>
                                <w:rFonts w:ascii="Times New Roman" w:eastAsia="Times New Roman"/>
                                <w:b/>
                                <w:sz w:val="28"/>
                              </w:rPr>
                              <w:tab/>
                            </w:r>
                            <w:r>
                              <w:rPr>
                                <w:b/>
                                <w:sz w:val="28"/>
                              </w:rPr>
                              <w:t>电力基础设施重点项目</w:t>
                            </w:r>
                          </w:p>
                          <w:p>
                            <w:pPr>
                              <w:spacing w:before="39"/>
                              <w:ind w:left="70" w:right="0" w:firstLine="0"/>
                              <w:jc w:val="center"/>
                              <w:rPr>
                                <w:sz w:val="28"/>
                              </w:rPr>
                            </w:pPr>
                            <w:r>
                              <w:rPr>
                                <w:rFonts w:ascii="Times New Roman" w:eastAsia="Times New Roman"/>
                                <w:sz w:val="28"/>
                              </w:rPr>
                              <w:t xml:space="preserve">110kV </w:t>
                            </w:r>
                            <w:r>
                              <w:rPr>
                                <w:sz w:val="28"/>
                              </w:rPr>
                              <w:t>黄安站变电站、</w:t>
                            </w:r>
                            <w:r>
                              <w:rPr>
                                <w:rFonts w:ascii="Times New Roman" w:eastAsia="Times New Roman"/>
                                <w:sz w:val="28"/>
                              </w:rPr>
                              <w:t xml:space="preserve">220kV </w:t>
                            </w:r>
                            <w:r>
                              <w:rPr>
                                <w:sz w:val="28"/>
                              </w:rPr>
                              <w:t>满庄站变电站、</w:t>
                            </w:r>
                            <w:r>
                              <w:rPr>
                                <w:rFonts w:ascii="Times New Roman" w:eastAsia="Times New Roman"/>
                                <w:sz w:val="28"/>
                              </w:rPr>
                              <w:t xml:space="preserve">110kV </w:t>
                            </w:r>
                            <w:r>
                              <w:rPr>
                                <w:sz w:val="28"/>
                              </w:rPr>
                              <w:t>北坛站变电站、</w:t>
                            </w:r>
                          </w:p>
                          <w:p>
                            <w:pPr>
                              <w:spacing w:before="42"/>
                              <w:ind w:left="0" w:right="208" w:firstLine="0"/>
                              <w:jc w:val="center"/>
                              <w:rPr>
                                <w:sz w:val="28"/>
                              </w:rPr>
                            </w:pPr>
                            <w:r>
                              <w:rPr>
                                <w:rFonts w:ascii="Times New Roman" w:eastAsia="Times New Roman"/>
                                <w:sz w:val="28"/>
                              </w:rPr>
                              <w:t xml:space="preserve">110kV </w:t>
                            </w:r>
                            <w:r>
                              <w:rPr>
                                <w:sz w:val="28"/>
                              </w:rPr>
                              <w:t>康留站变电站、</w:t>
                            </w:r>
                            <w:r>
                              <w:rPr>
                                <w:rFonts w:ascii="Times New Roman" w:eastAsia="Times New Roman"/>
                                <w:sz w:val="28"/>
                              </w:rPr>
                              <w:t xml:space="preserve">110kV </w:t>
                            </w:r>
                            <w:r>
                              <w:rPr>
                                <w:sz w:val="28"/>
                              </w:rPr>
                              <w:t>北池站变电站、</w:t>
                            </w:r>
                            <w:r>
                              <w:rPr>
                                <w:rFonts w:ascii="Times New Roman" w:eastAsia="Times New Roman"/>
                                <w:sz w:val="28"/>
                              </w:rPr>
                              <w:t xml:space="preserve">220kV </w:t>
                            </w:r>
                            <w:r>
                              <w:rPr>
                                <w:sz w:val="28"/>
                              </w:rPr>
                              <w:t>陈庄站变电站</w:t>
                            </w:r>
                          </w:p>
                        </w:txbxContent>
                      </wps:txbx>
                      <wps:bodyPr lIns="0" tIns="0" rIns="0" bIns="0" upright="true"/>
                    </wps:wsp>
                  </a:graphicData>
                </a:graphic>
              </wp:anchor>
            </w:drawing>
          </mc:Choice>
          <mc:Fallback>
            <w:pict>
              <v:shape id="文本框 20" o:spid="_x0000_s1026" o:spt="202" type="#_x0000_t202" style="position:absolute;left:0pt;margin-left:84.55pt;margin-top:34.55pt;height:60.5pt;width:426.1pt;mso-position-horizontal-relative:page;mso-wrap-distance-bottom:0pt;mso-wrap-distance-top:0pt;z-index:-251638784;mso-width-relative:page;mso-height-relative:page;" filled="f" stroked="t" coordsize="21600,21600" o:gfxdata="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WAAAAZHJzL1BLAQIUABQAAAAIAIdO4kDndJBZ1gAAAAsBAAAPAAAAAAAAAAEA&#10;IAAAADgAAABkcnMvZG93bnJldi54bWxQSwECFAAUAAAACACHTuJAWD9Xg/sBAADrAwAADgAAAAAA&#10;AAABACAAAAA7AQAAZHJzL2Uyb0RvYy54bWxQSwUGAAAAAAYABgBZAQAAqAUAAAAA&#10;">
                <v:fill on="f" focussize="0,0"/>
                <v:stroke weight="0.48pt" color="#000000" joinstyle="miter"/>
                <v:imagedata o:title=""/>
                <o:lock v:ext="edit" aspectratio="f"/>
                <v:textbox inset="0mm,0mm,0mm,0mm">
                  <w:txbxContent>
                    <w:p>
                      <w:pPr>
                        <w:tabs>
                          <w:tab w:val="left" w:pos="1190"/>
                        </w:tabs>
                        <w:spacing w:before="42"/>
                        <w:ind w:left="0" w:right="0" w:firstLine="0"/>
                        <w:jc w:val="center"/>
                        <w:rPr>
                          <w:b/>
                          <w:sz w:val="28"/>
                        </w:rPr>
                      </w:pPr>
                      <w:r>
                        <w:rPr>
                          <w:b/>
                          <w:sz w:val="28"/>
                        </w:rPr>
                        <w:t>专栏</w:t>
                      </w:r>
                      <w:r>
                        <w:rPr>
                          <w:b/>
                          <w:spacing w:val="-72"/>
                          <w:sz w:val="28"/>
                        </w:rPr>
                        <w:t xml:space="preserve"> </w:t>
                      </w:r>
                      <w:r>
                        <w:rPr>
                          <w:rFonts w:ascii="Times New Roman" w:eastAsia="Times New Roman"/>
                          <w:b/>
                          <w:sz w:val="28"/>
                        </w:rPr>
                        <w:t>11</w:t>
                      </w:r>
                      <w:r>
                        <w:rPr>
                          <w:rFonts w:ascii="Times New Roman" w:eastAsia="Times New Roman"/>
                          <w:b/>
                          <w:sz w:val="28"/>
                        </w:rPr>
                        <w:tab/>
                      </w:r>
                      <w:r>
                        <w:rPr>
                          <w:b/>
                          <w:sz w:val="28"/>
                        </w:rPr>
                        <w:t>电力基础设施重点项目</w:t>
                      </w:r>
                    </w:p>
                    <w:p>
                      <w:pPr>
                        <w:spacing w:before="39"/>
                        <w:ind w:left="70" w:right="0" w:firstLine="0"/>
                        <w:jc w:val="center"/>
                        <w:rPr>
                          <w:sz w:val="28"/>
                        </w:rPr>
                      </w:pPr>
                      <w:r>
                        <w:rPr>
                          <w:rFonts w:ascii="Times New Roman" w:eastAsia="Times New Roman"/>
                          <w:sz w:val="28"/>
                        </w:rPr>
                        <w:t xml:space="preserve">110kV </w:t>
                      </w:r>
                      <w:r>
                        <w:rPr>
                          <w:sz w:val="28"/>
                        </w:rPr>
                        <w:t>黄安站变电站、</w:t>
                      </w:r>
                      <w:r>
                        <w:rPr>
                          <w:rFonts w:ascii="Times New Roman" w:eastAsia="Times New Roman"/>
                          <w:sz w:val="28"/>
                        </w:rPr>
                        <w:t xml:space="preserve">220kV </w:t>
                      </w:r>
                      <w:r>
                        <w:rPr>
                          <w:sz w:val="28"/>
                        </w:rPr>
                        <w:t>满庄站变电站、</w:t>
                      </w:r>
                      <w:r>
                        <w:rPr>
                          <w:rFonts w:ascii="Times New Roman" w:eastAsia="Times New Roman"/>
                          <w:sz w:val="28"/>
                        </w:rPr>
                        <w:t xml:space="preserve">110kV </w:t>
                      </w:r>
                      <w:r>
                        <w:rPr>
                          <w:sz w:val="28"/>
                        </w:rPr>
                        <w:t>北坛站变电站、</w:t>
                      </w:r>
                    </w:p>
                    <w:p>
                      <w:pPr>
                        <w:spacing w:before="42"/>
                        <w:ind w:left="0" w:right="208" w:firstLine="0"/>
                        <w:jc w:val="center"/>
                        <w:rPr>
                          <w:sz w:val="28"/>
                        </w:rPr>
                      </w:pPr>
                      <w:r>
                        <w:rPr>
                          <w:rFonts w:ascii="Times New Roman" w:eastAsia="Times New Roman"/>
                          <w:sz w:val="28"/>
                        </w:rPr>
                        <w:t xml:space="preserve">110kV </w:t>
                      </w:r>
                      <w:r>
                        <w:rPr>
                          <w:sz w:val="28"/>
                        </w:rPr>
                        <w:t>康留站变电站、</w:t>
                      </w:r>
                      <w:r>
                        <w:rPr>
                          <w:rFonts w:ascii="Times New Roman" w:eastAsia="Times New Roman"/>
                          <w:sz w:val="28"/>
                        </w:rPr>
                        <w:t xml:space="preserve">110kV </w:t>
                      </w:r>
                      <w:r>
                        <w:rPr>
                          <w:sz w:val="28"/>
                        </w:rPr>
                        <w:t>北池站变电站、</w:t>
                      </w:r>
                      <w:r>
                        <w:rPr>
                          <w:rFonts w:ascii="Times New Roman" w:eastAsia="Times New Roman"/>
                          <w:sz w:val="28"/>
                        </w:rPr>
                        <w:t xml:space="preserve">220kV </w:t>
                      </w:r>
                      <w:r>
                        <w:rPr>
                          <w:sz w:val="28"/>
                        </w:rPr>
                        <w:t>陈庄站变电站</w:t>
                      </w:r>
                    </w:p>
                  </w:txbxContent>
                </v:textbox>
                <w10:wrap type="topAndBottom"/>
              </v:shape>
            </w:pict>
          </mc:Fallback>
        </mc:AlternateContent>
      </w:r>
      <w:r>
        <w:t>容量达到 4.5 千伏安。</w:t>
      </w:r>
    </w:p>
    <w:p>
      <w:pPr>
        <w:pStyle w:val="3"/>
        <w:tabs>
          <w:tab w:val="left" w:pos="1279"/>
        </w:tabs>
        <w:spacing w:before="164"/>
        <w:ind w:left="0" w:right="80"/>
        <w:jc w:val="center"/>
        <w:rPr>
          <w:rFonts w:hint="eastAsia" w:ascii="宋体" w:eastAsia="宋体"/>
        </w:rPr>
      </w:pPr>
      <w:bookmarkStart w:id="35" w:name="第四节  加快水利基础设施建设"/>
      <w:bookmarkEnd w:id="35"/>
      <w:r>
        <w:rPr>
          <w:rFonts w:hint="eastAsia" w:ascii="宋体" w:eastAsia="宋体"/>
        </w:rPr>
        <w:t>第四节</w:t>
      </w:r>
      <w:r>
        <w:rPr>
          <w:rFonts w:hint="eastAsia" w:ascii="宋体" w:eastAsia="宋体"/>
        </w:rPr>
        <w:tab/>
      </w:r>
      <w:r>
        <w:rPr>
          <w:rFonts w:hint="eastAsia" w:ascii="宋体" w:eastAsia="宋体"/>
        </w:rPr>
        <w:t>加快水利基础设施建设</w:t>
      </w:r>
    </w:p>
    <w:p>
      <w:pPr>
        <w:pStyle w:val="3"/>
        <w:spacing w:before="149" w:line="328" w:lineRule="auto"/>
        <w:ind w:right="230" w:firstLine="638"/>
      </w:pPr>
      <w:r>
        <w:t xml:space="preserve">积极践行“节水优先、空间均衡、系统治理、两手发力” </w:t>
      </w:r>
      <w:r>
        <w:rPr>
          <w:spacing w:val="-12"/>
        </w:rPr>
        <w:t>治水方针，深入落实“水利工程补短板、水利行业强监管”改</w:t>
      </w:r>
      <w:r>
        <w:rPr>
          <w:spacing w:val="-27"/>
          <w:w w:val="95"/>
        </w:rPr>
        <w:t>革发展总基调，坚持以人民为中心，加快推进水利基础设施建设。</w:t>
      </w:r>
    </w:p>
    <w:p>
      <w:pPr>
        <w:spacing w:before="0" w:line="405" w:lineRule="exact"/>
        <w:ind w:left="960" w:right="0" w:firstLine="0"/>
        <w:jc w:val="left"/>
        <w:rPr>
          <w:sz w:val="32"/>
        </w:rPr>
      </w:pPr>
      <w:r>
        <w:rPr>
          <w:b/>
          <w:sz w:val="32"/>
        </w:rPr>
        <w:t>推进防洪减灾水利提升工程建设。</w:t>
      </w:r>
      <w:r>
        <w:rPr>
          <w:sz w:val="32"/>
        </w:rPr>
        <w:t>实施北沙河上游段</w:t>
      </w:r>
    </w:p>
    <w:p>
      <w:pPr>
        <w:pStyle w:val="3"/>
        <w:spacing w:before="149" w:line="328" w:lineRule="auto"/>
        <w:ind w:right="398"/>
        <w:jc w:val="both"/>
      </w:pPr>
      <w:r>
        <w:t>12.3</w:t>
      </w:r>
      <w:r>
        <w:rPr>
          <w:spacing w:val="-22"/>
        </w:rPr>
        <w:t xml:space="preserve"> 公里、郭河上游段 </w:t>
      </w:r>
      <w:r>
        <w:t>3.6</w:t>
      </w:r>
      <w:r>
        <w:rPr>
          <w:spacing w:val="-24"/>
        </w:rPr>
        <w:t xml:space="preserve"> 公里、郭河南支 </w:t>
      </w:r>
      <w:r>
        <w:t>10.5</w:t>
      </w:r>
      <w:r>
        <w:rPr>
          <w:spacing w:val="-15"/>
        </w:rPr>
        <w:t xml:space="preserve"> 公里河道治</w:t>
      </w:r>
      <w:r>
        <w:rPr>
          <w:spacing w:val="-17"/>
        </w:rPr>
        <w:t>理以及沿岸道路硬化、绿化、美化，在骨干河道建设拦河闸坝</w:t>
      </w:r>
      <w:r>
        <w:t>12</w:t>
      </w:r>
      <w:r>
        <w:rPr>
          <w:spacing w:val="-15"/>
        </w:rPr>
        <w:t xml:space="preserve"> 座，将河道防洪标准提升至 </w:t>
      </w:r>
      <w:r>
        <w:t>20</w:t>
      </w:r>
      <w:r>
        <w:rPr>
          <w:spacing w:val="-17"/>
        </w:rPr>
        <w:t xml:space="preserve"> 年一遇。</w:t>
      </w:r>
    </w:p>
    <w:p>
      <w:pPr>
        <w:pStyle w:val="3"/>
        <w:spacing w:line="328" w:lineRule="auto"/>
        <w:ind w:right="398" w:firstLine="638"/>
        <w:jc w:val="both"/>
      </w:pPr>
      <w:r>
        <w:rPr>
          <w:b/>
          <w:spacing w:val="-8"/>
          <w:w w:val="95"/>
        </w:rPr>
        <w:t>提升供水保障能力。</w:t>
      </w:r>
      <w:r>
        <w:rPr>
          <w:spacing w:val="-6"/>
          <w:w w:val="95"/>
        </w:rPr>
        <w:t xml:space="preserve">实施南水北调二期供水工程、鲁南化 </w:t>
      </w:r>
      <w:r>
        <w:rPr>
          <w:spacing w:val="-14"/>
          <w:w w:val="95"/>
        </w:rPr>
        <w:t xml:space="preserve">工园区保安全供水工程、马河水库灌区节水改造工程，完成马 </w:t>
      </w:r>
      <w:r>
        <w:rPr>
          <w:spacing w:val="-14"/>
        </w:rPr>
        <w:t>河水库、户主水库增容和东沙河水厂建设，改造高层住宅“一户一表”3.6</w:t>
      </w:r>
      <w:r>
        <w:rPr>
          <w:spacing w:val="-15"/>
        </w:rPr>
        <w:t xml:space="preserve"> 万户、农村饮水安全老旧管网 </w:t>
      </w:r>
      <w:r>
        <w:t>220</w:t>
      </w:r>
      <w:r>
        <w:rPr>
          <w:spacing w:val="-21"/>
        </w:rPr>
        <w:t xml:space="preserve"> 公里。</w:t>
      </w:r>
    </w:p>
    <w:p>
      <w:pPr>
        <w:pStyle w:val="3"/>
        <w:spacing w:line="326" w:lineRule="auto"/>
        <w:ind w:right="399" w:firstLine="638"/>
        <w:jc w:val="both"/>
      </w:pPr>
      <w:r>
        <w:rPr>
          <w:b/>
          <w:spacing w:val="9"/>
          <w:w w:val="95"/>
        </w:rPr>
        <w:t>改善水生态环境。</w:t>
      </w:r>
      <w:r>
        <w:rPr>
          <w:spacing w:val="6"/>
          <w:w w:val="95"/>
        </w:rPr>
        <w:t xml:space="preserve">重点实施城河—郭河等河库湖联通工 </w:t>
      </w:r>
      <w:r>
        <w:rPr>
          <w:spacing w:val="-22"/>
        </w:rPr>
        <w:t xml:space="preserve">程、小龙河等 </w:t>
      </w:r>
      <w:r>
        <w:t>50</w:t>
      </w:r>
      <w:r>
        <w:rPr>
          <w:spacing w:val="-18"/>
        </w:rPr>
        <w:t xml:space="preserve"> 公里小流域综合整治项目，推进界河 </w:t>
      </w:r>
      <w:r>
        <w:t>24</w:t>
      </w:r>
      <w:r>
        <w:rPr>
          <w:spacing w:val="-28"/>
        </w:rPr>
        <w:t xml:space="preserve"> 公里</w:t>
      </w:r>
    </w:p>
    <w:p>
      <w:pPr>
        <w:pStyle w:val="3"/>
        <w:jc w:val="both"/>
      </w:pPr>
      <w:r>
        <w:rPr>
          <w:spacing w:val="-8"/>
        </w:rPr>
        <w:t xml:space="preserve">河道生态廊道、十字河 </w:t>
      </w:r>
      <w:r>
        <w:t>18</w:t>
      </w:r>
      <w:r>
        <w:rPr>
          <w:spacing w:val="-9"/>
        </w:rPr>
        <w:t xml:space="preserve"> 公里河道生态系统治理工程，完成</w:t>
      </w:r>
    </w:p>
    <w:p>
      <w:pPr>
        <w:pStyle w:val="3"/>
        <w:spacing w:before="145" w:line="326" w:lineRule="auto"/>
        <w:ind w:right="266"/>
        <w:jc w:val="both"/>
      </w:pPr>
      <w:r>
        <w:t>山丘区水土流失治理 21 平方公里。建设统一的智慧水务信息化平台，实现上下级、部门间信息系统互联互通、数据共享。</w:t>
      </w:r>
    </w:p>
    <w:p>
      <w:pPr>
        <w:spacing w:after="0" w:line="326"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jc w:val="both"/>
      </w:pPr>
      <w:r>
        <mc:AlternateContent>
          <mc:Choice Requires="wps">
            <w:drawing>
              <wp:anchor distT="0" distB="0" distL="114300" distR="114300" simplePos="0" relativeHeight="251678720" behindDoc="0" locked="0" layoutInCell="1" allowOverlap="1">
                <wp:simplePos x="0" y="0"/>
                <wp:positionH relativeFrom="page">
                  <wp:posOffset>1073785</wp:posOffset>
                </wp:positionH>
                <wp:positionV relativeFrom="paragraph">
                  <wp:posOffset>1092835</wp:posOffset>
                </wp:positionV>
                <wp:extent cx="5411470" cy="1098550"/>
                <wp:effectExtent l="4445" t="5080" r="13335" b="20320"/>
                <wp:wrapNone/>
                <wp:docPr id="52" name="文本框 21"/>
                <wp:cNvGraphicFramePr/>
                <a:graphic xmlns:a="http://schemas.openxmlformats.org/drawingml/2006/main">
                  <a:graphicData uri="http://schemas.microsoft.com/office/word/2010/wordprocessingShape">
                    <wps:wsp>
                      <wps:cNvSpPr txBox="true"/>
                      <wps:spPr>
                        <a:xfrm>
                          <a:off x="0" y="0"/>
                          <a:ext cx="5411470" cy="1098550"/>
                        </a:xfrm>
                        <a:prstGeom prst="rect">
                          <a:avLst/>
                        </a:prstGeom>
                        <a:noFill/>
                        <a:ln w="6096" cap="flat" cmpd="sng">
                          <a:solidFill>
                            <a:srgbClr val="000000"/>
                          </a:solidFill>
                          <a:prstDash val="solid"/>
                          <a:miter/>
                          <a:headEnd type="none" w="med" len="med"/>
                          <a:tailEnd type="none" w="med" len="med"/>
                        </a:ln>
                      </wps:spPr>
                      <wps:txbx>
                        <w:txbxContent>
                          <w:p>
                            <w:pPr>
                              <w:spacing w:before="40"/>
                              <w:ind w:left="2255" w:right="0" w:firstLine="0"/>
                              <w:jc w:val="both"/>
                              <w:rPr>
                                <w:b/>
                                <w:sz w:val="28"/>
                              </w:rPr>
                            </w:pPr>
                            <w:r>
                              <w:rPr>
                                <w:b/>
                                <w:spacing w:val="-25"/>
                                <w:sz w:val="28"/>
                              </w:rPr>
                              <w:t xml:space="preserve">专栏 </w:t>
                            </w:r>
                            <w:r>
                              <w:rPr>
                                <w:rFonts w:ascii="Times New Roman" w:eastAsia="Times New Roman"/>
                                <w:b/>
                                <w:sz w:val="28"/>
                              </w:rPr>
                              <w:t>12</w:t>
                            </w:r>
                            <w:r>
                              <w:rPr>
                                <w:rFonts w:ascii="Times New Roman" w:eastAsia="Times New Roman"/>
                                <w:b/>
                                <w:spacing w:val="67"/>
                                <w:sz w:val="28"/>
                              </w:rPr>
                              <w:t xml:space="preserve"> </w:t>
                            </w:r>
                            <w:r>
                              <w:rPr>
                                <w:b/>
                                <w:sz w:val="28"/>
                              </w:rPr>
                              <w:t>水利基础设施重点项目</w:t>
                            </w:r>
                          </w:p>
                          <w:p>
                            <w:pPr>
                              <w:spacing w:before="42" w:line="266" w:lineRule="auto"/>
                              <w:ind w:left="103" w:right="98" w:firstLine="0"/>
                              <w:jc w:val="both"/>
                              <w:rPr>
                                <w:sz w:val="28"/>
                              </w:rPr>
                            </w:pPr>
                            <w:r>
                              <w:rPr>
                                <w:spacing w:val="-10"/>
                                <w:sz w:val="28"/>
                              </w:rPr>
                              <w:t>东沙河地表水厂、鲁南高科技化工园区供水工程、南水北调二期供水</w:t>
                            </w:r>
                            <w:r>
                              <w:rPr>
                                <w:spacing w:val="-12"/>
                                <w:sz w:val="28"/>
                              </w:rPr>
                              <w:t>工程、马河水库增容工程、户主水库增容工程、北沙河上游段等骨干</w:t>
                            </w:r>
                            <w:r>
                              <w:rPr>
                                <w:spacing w:val="-10"/>
                                <w:sz w:val="28"/>
                              </w:rPr>
                              <w:t>河道治理工程、河库湖水系联通工程、河道拦蓄工程、智慧水务项目</w:t>
                            </w:r>
                          </w:p>
                        </w:txbxContent>
                      </wps:txbx>
                      <wps:bodyPr lIns="0" tIns="0" rIns="0" bIns="0" upright="true"/>
                    </wps:wsp>
                  </a:graphicData>
                </a:graphic>
              </wp:anchor>
            </w:drawing>
          </mc:Choice>
          <mc:Fallback>
            <w:pict>
              <v:shape id="文本框 21" o:spid="_x0000_s1026" o:spt="202" type="#_x0000_t202" style="position:absolute;left:0pt;margin-left:84.55pt;margin-top:86.05pt;height:86.5pt;width:426.1pt;mso-position-horizontal-relative:page;z-index:251678720;mso-width-relative:page;mso-height-relative:page;" filled="f" stroked="t" coordsize="21600,21600" o:gfxdata="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5SZXKtgAAAAMAQAADwAA&#10;AAAAAAABACAAAAA4AAAAZHJzL2Rvd25yZXYueG1sUEsBAhQAFAAAAAgAh07iQBDfEbAAAgAA7AMA&#10;AA4AAAAAAAAAAQAgAAAAPQEAAGRycy9lMm9Eb2MueG1sUEsFBgAAAAAGAAYAWQEAAK8FAAAAAA==&#10;">
                <v:fill on="f" focussize="0,0"/>
                <v:stroke weight="0.48pt" color="#000000" joinstyle="miter"/>
                <v:imagedata o:title=""/>
                <o:lock v:ext="edit" aspectratio="f"/>
                <v:textbox inset="0mm,0mm,0mm,0mm">
                  <w:txbxContent>
                    <w:p>
                      <w:pPr>
                        <w:spacing w:before="40"/>
                        <w:ind w:left="2255" w:right="0" w:firstLine="0"/>
                        <w:jc w:val="both"/>
                        <w:rPr>
                          <w:b/>
                          <w:sz w:val="28"/>
                        </w:rPr>
                      </w:pPr>
                      <w:r>
                        <w:rPr>
                          <w:b/>
                          <w:spacing w:val="-25"/>
                          <w:sz w:val="28"/>
                        </w:rPr>
                        <w:t xml:space="preserve">专栏 </w:t>
                      </w:r>
                      <w:r>
                        <w:rPr>
                          <w:rFonts w:ascii="Times New Roman" w:eastAsia="Times New Roman"/>
                          <w:b/>
                          <w:sz w:val="28"/>
                        </w:rPr>
                        <w:t>12</w:t>
                      </w:r>
                      <w:r>
                        <w:rPr>
                          <w:rFonts w:ascii="Times New Roman" w:eastAsia="Times New Roman"/>
                          <w:b/>
                          <w:spacing w:val="67"/>
                          <w:sz w:val="28"/>
                        </w:rPr>
                        <w:t xml:space="preserve"> </w:t>
                      </w:r>
                      <w:r>
                        <w:rPr>
                          <w:b/>
                          <w:sz w:val="28"/>
                        </w:rPr>
                        <w:t>水利基础设施重点项目</w:t>
                      </w:r>
                    </w:p>
                    <w:p>
                      <w:pPr>
                        <w:spacing w:before="42" w:line="266" w:lineRule="auto"/>
                        <w:ind w:left="103" w:right="98" w:firstLine="0"/>
                        <w:jc w:val="both"/>
                        <w:rPr>
                          <w:sz w:val="28"/>
                        </w:rPr>
                      </w:pPr>
                      <w:r>
                        <w:rPr>
                          <w:spacing w:val="-10"/>
                          <w:sz w:val="28"/>
                        </w:rPr>
                        <w:t>东沙河地表水厂、鲁南高科技化工园区供水工程、南水北调二期供水</w:t>
                      </w:r>
                      <w:r>
                        <w:rPr>
                          <w:spacing w:val="-12"/>
                          <w:sz w:val="28"/>
                        </w:rPr>
                        <w:t>工程、马河水库增容工程、户主水库增容工程、北沙河上游段等骨干</w:t>
                      </w:r>
                      <w:r>
                        <w:rPr>
                          <w:spacing w:val="-10"/>
                          <w:sz w:val="28"/>
                        </w:rPr>
                        <w:t>河道治理工程、河库湖水系联通工程、河道拦蓄工程、智慧水务项目</w:t>
                      </w:r>
                    </w:p>
                  </w:txbxContent>
                </v:textbox>
              </v:shape>
            </w:pict>
          </mc:Fallback>
        </mc:AlternateContent>
      </w:r>
      <w:r>
        <w:rPr>
          <w:spacing w:val="-12"/>
          <w:w w:val="95"/>
        </w:rPr>
        <w:t xml:space="preserve">加强水库、拦河闸坝、河道堤防标准化建设，完善大中型水库 </w:t>
      </w:r>
      <w:r>
        <w:rPr>
          <w:spacing w:val="-18"/>
          <w:w w:val="95"/>
        </w:rPr>
        <w:t xml:space="preserve">安全监测系统及小型水库基础性设施，提高水利工程运行管理 </w:t>
      </w:r>
      <w:r>
        <w:rPr>
          <w:spacing w:val="-18"/>
        </w:rPr>
        <w:t>水平。</w:t>
      </w:r>
    </w:p>
    <w:p>
      <w:pPr>
        <w:pStyle w:val="3"/>
        <w:ind w:left="0"/>
      </w:pPr>
    </w:p>
    <w:p>
      <w:pPr>
        <w:pStyle w:val="3"/>
        <w:ind w:left="0"/>
      </w:pPr>
    </w:p>
    <w:p>
      <w:pPr>
        <w:pStyle w:val="3"/>
        <w:ind w:left="0"/>
      </w:pPr>
    </w:p>
    <w:p>
      <w:pPr>
        <w:pStyle w:val="3"/>
        <w:ind w:left="0"/>
      </w:pPr>
    </w:p>
    <w:p>
      <w:pPr>
        <w:pStyle w:val="3"/>
        <w:spacing w:before="1"/>
        <w:ind w:left="0"/>
        <w:rPr>
          <w:sz w:val="27"/>
        </w:rPr>
      </w:pPr>
    </w:p>
    <w:p>
      <w:pPr>
        <w:pStyle w:val="3"/>
        <w:tabs>
          <w:tab w:val="left" w:pos="1281"/>
        </w:tabs>
        <w:ind w:left="0" w:right="80"/>
        <w:jc w:val="center"/>
        <w:rPr>
          <w:rFonts w:hint="eastAsia" w:ascii="黑体" w:eastAsia="黑体"/>
        </w:rPr>
      </w:pPr>
      <w:bookmarkStart w:id="36" w:name="第八章  优化空间布局，加快推进城乡融合发展"/>
      <w:bookmarkEnd w:id="36"/>
      <w:r>
        <w:rPr>
          <w:rFonts w:hint="eastAsia" w:ascii="黑体" w:eastAsia="黑体"/>
        </w:rPr>
        <w:t>第八章</w:t>
      </w:r>
      <w:r>
        <w:rPr>
          <w:rFonts w:hint="eastAsia" w:ascii="黑体" w:eastAsia="黑体"/>
        </w:rPr>
        <w:tab/>
      </w:r>
      <w:r>
        <w:rPr>
          <w:rFonts w:hint="eastAsia" w:ascii="黑体" w:eastAsia="黑体"/>
        </w:rPr>
        <w:t>优化空间布局，加快推进城乡融合发展</w:t>
      </w:r>
    </w:p>
    <w:p>
      <w:pPr>
        <w:pStyle w:val="3"/>
        <w:spacing w:before="130" w:line="316" w:lineRule="auto"/>
        <w:ind w:right="266" w:firstLine="638"/>
      </w:pPr>
      <w:r>
        <w:t>围绕打造城乡一体化发展先行区目标定位，统筹国土空间规划，深入实施新型城镇化战略，加快城市集聚和品质提升， 努力提升城市综合承载能力和竞争力。</w:t>
      </w:r>
    </w:p>
    <w:p>
      <w:pPr>
        <w:pStyle w:val="3"/>
        <w:tabs>
          <w:tab w:val="left" w:pos="1281"/>
        </w:tabs>
        <w:spacing w:before="59"/>
        <w:ind w:left="0" w:right="80"/>
        <w:jc w:val="center"/>
        <w:rPr>
          <w:rFonts w:hint="eastAsia" w:ascii="宋体" w:hAnsi="宋体" w:eastAsia="宋体"/>
        </w:rPr>
      </w:pPr>
      <w:bookmarkStart w:id="37" w:name="第一节  构建“一核三区多点”发展格局"/>
      <w:bookmarkEnd w:id="37"/>
      <w:r>
        <w:rPr>
          <w:rFonts w:hint="eastAsia" w:ascii="宋体" w:hAnsi="宋体" w:eastAsia="宋体"/>
        </w:rPr>
        <w:t>第一节</w:t>
      </w:r>
      <w:r>
        <w:rPr>
          <w:rFonts w:hint="eastAsia" w:ascii="宋体" w:hAnsi="宋体" w:eastAsia="宋体"/>
        </w:rPr>
        <w:tab/>
      </w:r>
      <w:r>
        <w:rPr>
          <w:rFonts w:hint="eastAsia" w:ascii="宋体" w:hAnsi="宋体" w:eastAsia="宋体"/>
        </w:rPr>
        <w:t>构建“一核三区多点”发展格局</w:t>
      </w:r>
    </w:p>
    <w:p>
      <w:pPr>
        <w:pStyle w:val="3"/>
        <w:spacing w:before="130" w:line="316" w:lineRule="auto"/>
        <w:ind w:right="238" w:firstLine="638"/>
      </w:pPr>
      <w:r>
        <w:rPr>
          <w:spacing w:val="-12"/>
        </w:rPr>
        <w:t>坚持集聚发展、产城融合、城乡统筹原则，优化空间布局</w:t>
      </w:r>
      <w:r>
        <w:rPr>
          <w:spacing w:val="-13"/>
        </w:rPr>
        <w:t>和功能配置，构建“一核三区多点”市域空间格局。</w:t>
      </w:r>
      <w:r>
        <w:rPr>
          <w:b/>
        </w:rPr>
        <w:t>一核</w:t>
      </w:r>
      <w:r>
        <w:rPr>
          <w:spacing w:val="-12"/>
        </w:rPr>
        <w:t>：中</w:t>
      </w:r>
      <w:r>
        <w:rPr>
          <w:spacing w:val="-15"/>
        </w:rPr>
        <w:t>心城区</w:t>
      </w:r>
      <w:r>
        <w:t>（</w:t>
      </w:r>
      <w:r>
        <w:rPr>
          <w:spacing w:val="-10"/>
        </w:rPr>
        <w:t>北辛、东沙河、荆河、龙泉、善南、洪绪</w:t>
      </w:r>
      <w:r>
        <w:rPr>
          <w:spacing w:val="-19"/>
        </w:rPr>
        <w:t>）</w:t>
      </w:r>
      <w:r>
        <w:t>为发展核</w:t>
      </w:r>
      <w:r>
        <w:rPr>
          <w:spacing w:val="-8"/>
        </w:rPr>
        <w:t>心，以现代服务业和高端制造业为主导方向。</w:t>
      </w:r>
      <w:r>
        <w:rPr>
          <w:b/>
          <w:spacing w:val="-12"/>
        </w:rPr>
        <w:t>三区：</w:t>
      </w:r>
      <w:r>
        <w:rPr>
          <w:spacing w:val="-9"/>
        </w:rPr>
        <w:t>形成“北</w:t>
      </w:r>
      <w:r>
        <w:rPr>
          <w:spacing w:val="-15"/>
        </w:rPr>
        <w:t>部旅游及生态农业、中部文化传承及都市产业、南部历史文化</w:t>
      </w:r>
      <w:r>
        <w:rPr>
          <w:spacing w:val="-13"/>
        </w:rPr>
        <w:t>及生态旅游”三大主体功能区。</w:t>
      </w:r>
      <w:r>
        <w:rPr>
          <w:b/>
        </w:rPr>
        <w:t>多点</w:t>
      </w:r>
      <w:r>
        <w:rPr>
          <w:spacing w:val="-9"/>
        </w:rPr>
        <w:t>：支持镇域因地制宜、特色发展，构建以工业发展重点镇（鲍沟、东郭、官桥、级索、</w:t>
      </w:r>
      <w:r>
        <w:rPr>
          <w:spacing w:val="-11"/>
          <w:w w:val="95"/>
        </w:rPr>
        <w:t>姜屯、木石、南沙河、西岗、张汪</w:t>
      </w:r>
      <w:r>
        <w:rPr>
          <w:spacing w:val="-159"/>
          <w:w w:val="95"/>
        </w:rPr>
        <w:t>）</w:t>
      </w:r>
      <w:r>
        <w:rPr>
          <w:spacing w:val="-8"/>
          <w:w w:val="95"/>
        </w:rPr>
        <w:t>、生态文旅特色镇</w:t>
      </w:r>
      <w:r>
        <w:rPr>
          <w:w w:val="95"/>
        </w:rPr>
        <w:t xml:space="preserve">（滨湖、 </w:t>
      </w:r>
      <w:r>
        <w:t>柴胡店、东郭、大坞、界河、姜屯、龙阳、羊庄</w:t>
      </w:r>
      <w:r>
        <w:rPr>
          <w:spacing w:val="-159"/>
        </w:rPr>
        <w:t>）</w:t>
      </w:r>
      <w:r>
        <w:t>、高效农业示范镇（柴胡店、界河、龙阳、羊庄</w:t>
      </w:r>
      <w:r>
        <w:rPr>
          <w:spacing w:val="-159"/>
        </w:rPr>
        <w:t>）</w:t>
      </w:r>
      <w:r>
        <w:t>、商贸物流中心镇（鲍沟、东郭、大坞、官桥、界河</w:t>
      </w:r>
      <w:r>
        <w:rPr>
          <w:spacing w:val="-159"/>
        </w:rPr>
        <w:t>）</w:t>
      </w:r>
      <w:r>
        <w:t>、城镇建设样板镇（级索、西岗</w:t>
      </w:r>
      <w:r>
        <w:rPr>
          <w:spacing w:val="-159"/>
        </w:rPr>
        <w:t>）</w:t>
      </w:r>
      <w:r>
        <w:t>、历史文化名镇（滨湖、大坞、官桥、姜屯、张汪）为重</w:t>
      </w:r>
    </w:p>
    <w:p>
      <w:pPr>
        <w:spacing w:after="0" w:line="316" w:lineRule="auto"/>
        <w:sectPr>
          <w:pgSz w:w="11910" w:h="16840"/>
          <w:pgMar w:top="1580" w:right="1300" w:bottom="1540" w:left="1380" w:header="0" w:footer="1346" w:gutter="0"/>
          <w:cols w:space="720" w:num="1"/>
        </w:sectPr>
      </w:pPr>
    </w:p>
    <w:p>
      <w:pPr>
        <w:pStyle w:val="3"/>
        <w:spacing w:before="8"/>
        <w:ind w:left="0"/>
        <w:rPr>
          <w:sz w:val="12"/>
        </w:rPr>
      </w:pPr>
    </w:p>
    <w:p>
      <w:pPr>
        <w:pStyle w:val="3"/>
        <w:spacing w:before="55"/>
      </w:pPr>
      <w:r>
        <w:t>要支点的城乡融合发展新格局。</w:t>
      </w:r>
    </w:p>
    <w:p>
      <w:pPr>
        <w:pStyle w:val="3"/>
        <w:tabs>
          <w:tab w:val="left" w:pos="1279"/>
        </w:tabs>
        <w:spacing w:before="192"/>
        <w:ind w:left="0" w:right="80"/>
        <w:jc w:val="center"/>
        <w:rPr>
          <w:rFonts w:hint="eastAsia" w:ascii="宋体" w:eastAsia="宋体"/>
        </w:rPr>
      </w:pPr>
      <w:bookmarkStart w:id="38" w:name="第二节  明确城市空间发展战略"/>
      <w:bookmarkEnd w:id="38"/>
      <w:r>
        <w:rPr>
          <w:rFonts w:hint="eastAsia" w:ascii="宋体" w:eastAsia="宋体"/>
        </w:rPr>
        <w:t>第二节</w:t>
      </w:r>
      <w:r>
        <w:rPr>
          <w:rFonts w:hint="eastAsia" w:ascii="宋体" w:eastAsia="宋体"/>
        </w:rPr>
        <w:tab/>
      </w:r>
      <w:r>
        <w:rPr>
          <w:rFonts w:hint="eastAsia" w:ascii="宋体" w:eastAsia="宋体"/>
        </w:rPr>
        <w:t>明确城市空间发展战略</w:t>
      </w:r>
    </w:p>
    <w:p>
      <w:pPr>
        <w:pStyle w:val="3"/>
        <w:spacing w:before="130" w:line="316" w:lineRule="auto"/>
        <w:ind w:right="236" w:firstLine="638"/>
      </w:pPr>
      <w:r>
        <w:rPr>
          <w:spacing w:val="-10"/>
        </w:rPr>
        <w:t>进一步优化空间布局、做优城市功能，形成优势互补、协</w:t>
      </w:r>
      <w:r>
        <w:rPr>
          <w:spacing w:val="-22"/>
          <w:w w:val="95"/>
        </w:rPr>
        <w:t xml:space="preserve">调联动新格局。整体上形成“东联、西阔、南融、北拓、中优” </w:t>
      </w:r>
      <w:r>
        <w:rPr>
          <w:spacing w:val="-17"/>
        </w:rPr>
        <w:t>的发展格局。“东联”是龙泉街道、东沙河街道加快水电气暖路等各类基础设施互联互通，加快教育、医疗卫生统筹布局， 推动新老城区融合发展</w:t>
      </w:r>
      <w:r>
        <w:rPr>
          <w:spacing w:val="-20"/>
        </w:rPr>
        <w:t xml:space="preserve">。“西阔”是以振兴路全线贯通为契机， </w:t>
      </w:r>
      <w:r>
        <w:rPr>
          <w:spacing w:val="-19"/>
        </w:rPr>
        <w:t>压茬推进南延工程，把洪绪镇纳入西部城区，打通秀美荆河中</w:t>
      </w:r>
      <w:r>
        <w:rPr>
          <w:spacing w:val="-14"/>
        </w:rPr>
        <w:t>下游道路，抓好西部城区新业态布局和传统产业升级</w:t>
      </w:r>
      <w:r>
        <w:rPr>
          <w:spacing w:val="-40"/>
        </w:rPr>
        <w:t xml:space="preserve">。“南融” </w:t>
      </w:r>
      <w:r>
        <w:rPr>
          <w:spacing w:val="-28"/>
        </w:rPr>
        <w:t>是善南街道抓好棚改项目实施，完善服务业配套，提升南部城</w:t>
      </w:r>
      <w:r>
        <w:rPr>
          <w:spacing w:val="-20"/>
        </w:rPr>
        <w:t>区吸纳集聚功能，与开发区核心区融合发展。“北拓”是将城</w:t>
      </w:r>
      <w:r>
        <w:rPr>
          <w:spacing w:val="-21"/>
        </w:rPr>
        <w:t>市建设框架扩展到龙岭路，重点发展红荷路两侧，加快推动传</w:t>
      </w:r>
      <w:r>
        <w:rPr>
          <w:spacing w:val="-19"/>
        </w:rPr>
        <w:t>统服务业提档升级，打造政务服务中心区。“中优”是稳步实</w:t>
      </w:r>
      <w:r>
        <w:rPr>
          <w:spacing w:val="-18"/>
        </w:rPr>
        <w:t>施城市更新行动，以背街小巷治理、停车管理、生活垃圾分类收运处置等为重点，加快推进智慧社区、智慧停车一体化平台建设，持续提升现代化管理水平。</w:t>
      </w:r>
    </w:p>
    <w:p>
      <w:pPr>
        <w:pStyle w:val="3"/>
        <w:spacing w:line="393" w:lineRule="exact"/>
        <w:ind w:left="960"/>
      </w:pPr>
      <w:r>
        <w:t>中心城区形成“一主两副、双轴引领、廊道间隔、组团发</w:t>
      </w:r>
    </w:p>
    <w:p>
      <w:pPr>
        <w:pStyle w:val="3"/>
        <w:spacing w:before="130" w:line="316" w:lineRule="auto"/>
        <w:ind w:right="242"/>
      </w:pPr>
      <w:r>
        <w:rPr>
          <w:spacing w:val="-19"/>
          <w:w w:val="95"/>
        </w:rPr>
        <w:t xml:space="preserve">展”的城市空间布局结构。“一主两副”指城市综合服务中心、 </w:t>
      </w:r>
      <w:r>
        <w:rPr>
          <w:spacing w:val="-22"/>
        </w:rPr>
        <w:t>高铁新区副中心和北城新区副中心；“双轴引领”指东西方向</w:t>
      </w:r>
      <w:r>
        <w:rPr>
          <w:spacing w:val="6"/>
        </w:rPr>
        <w:t>沿荆河路城市服务集聚发展轴和南北方向沿善国路城市产业</w:t>
      </w:r>
      <w:r>
        <w:rPr>
          <w:spacing w:val="-11"/>
        </w:rPr>
        <w:t>创新发展轴；“廊道间隔”指三条京沪黄金走廊、四条生态水</w:t>
      </w:r>
      <w:r>
        <w:rPr>
          <w:spacing w:val="-17"/>
        </w:rPr>
        <w:t>系廊道和七条绿色隔离带；“组团发展”是形成五个片区，即中心片区、城北片区、高铁片区、城南片区、城西片区。</w:t>
      </w:r>
    </w:p>
    <w:p>
      <w:pPr>
        <w:spacing w:after="0" w:line="316" w:lineRule="auto"/>
        <w:sectPr>
          <w:pgSz w:w="11910" w:h="16840"/>
          <w:pgMar w:top="1580" w:right="1300" w:bottom="1540" w:left="1380" w:header="0" w:footer="1346" w:gutter="0"/>
          <w:cols w:space="720" w:num="1"/>
        </w:sectPr>
      </w:pPr>
    </w:p>
    <w:p>
      <w:pPr>
        <w:pStyle w:val="3"/>
        <w:spacing w:before="8"/>
        <w:ind w:left="0"/>
        <w:rPr>
          <w:sz w:val="12"/>
        </w:rPr>
      </w:pPr>
    </w:p>
    <w:p>
      <w:pPr>
        <w:pStyle w:val="3"/>
        <w:tabs>
          <w:tab w:val="left" w:pos="1279"/>
        </w:tabs>
        <w:spacing w:before="55"/>
        <w:ind w:left="0" w:right="77"/>
        <w:jc w:val="center"/>
        <w:rPr>
          <w:rFonts w:hint="eastAsia" w:ascii="宋体" w:eastAsia="宋体"/>
        </w:rPr>
      </w:pPr>
      <w:bookmarkStart w:id="39" w:name="第三节  统筹三类空间布局，坚守三线要求"/>
      <w:bookmarkEnd w:id="39"/>
      <w:r>
        <w:rPr>
          <w:rFonts w:hint="eastAsia" w:ascii="宋体" w:eastAsia="宋体"/>
        </w:rPr>
        <w:t>第三节</w:t>
      </w:r>
      <w:r>
        <w:rPr>
          <w:rFonts w:hint="eastAsia" w:ascii="宋体" w:eastAsia="宋体"/>
        </w:rPr>
        <w:tab/>
      </w:r>
      <w:r>
        <w:rPr>
          <w:rFonts w:hint="eastAsia" w:ascii="宋体" w:eastAsia="宋体"/>
        </w:rPr>
        <w:t>统筹三类空间布局，坚守三线要求</w:t>
      </w:r>
    </w:p>
    <w:p>
      <w:pPr>
        <w:pStyle w:val="3"/>
        <w:spacing w:before="130" w:line="316" w:lineRule="auto"/>
        <w:ind w:right="266" w:firstLine="638"/>
      </w:pPr>
      <w:r>
        <w:rPr>
          <w:spacing w:val="-9"/>
        </w:rPr>
        <w:t>依据资源环境承载力、开发强度和发展潜力，落实“多规</w:t>
      </w:r>
      <w:r>
        <w:rPr>
          <w:spacing w:val="-12"/>
        </w:rPr>
        <w:t>合一”要求，统筹协调周边县区域功能，按照生态、农业、城镇三类功能，统筹市域各功能区定位和布局，构建城乡统筹、</w:t>
      </w:r>
      <w:r>
        <w:rPr>
          <w:spacing w:val="-7"/>
        </w:rPr>
        <w:t>功能完善的空间开发格局。</w:t>
      </w:r>
      <w:r>
        <w:rPr>
          <w:b/>
          <w:spacing w:val="-14"/>
        </w:rPr>
        <w:t>生态空间：</w:t>
      </w:r>
      <w:r>
        <w:t>承担生态服务和生态系</w:t>
      </w:r>
      <w:r>
        <w:rPr>
          <w:spacing w:val="-1"/>
        </w:rPr>
        <w:t xml:space="preserve">统维护等功能，集中于市域北部、东部和南部低山丘陵地区， </w:t>
      </w:r>
      <w:r>
        <w:rPr>
          <w:spacing w:val="-7"/>
        </w:rPr>
        <w:t>着重加强生态修复和保护。</w:t>
      </w:r>
      <w:r>
        <w:rPr>
          <w:b/>
          <w:spacing w:val="-14"/>
        </w:rPr>
        <w:t>农业空间：</w:t>
      </w:r>
      <w:r>
        <w:t>承担农产品生产和农村</w:t>
      </w:r>
      <w:r>
        <w:rPr>
          <w:spacing w:val="-12"/>
        </w:rPr>
        <w:t>生活等功能，集中于市域中北部和西部平原地区。大力推进农</w:t>
      </w:r>
      <w:r>
        <w:rPr>
          <w:spacing w:val="-15"/>
        </w:rPr>
        <w:t>用地整理，合理引导农民住宅相对集中建设，提高土地利用效</w:t>
      </w:r>
      <w:r>
        <w:rPr>
          <w:spacing w:val="-32"/>
        </w:rPr>
        <w:t>率。</w:t>
      </w:r>
      <w:r>
        <w:rPr>
          <w:b/>
          <w:spacing w:val="-10"/>
        </w:rPr>
        <w:t>城镇空间：</w:t>
      </w:r>
      <w:r>
        <w:rPr>
          <w:spacing w:val="-3"/>
        </w:rPr>
        <w:t>承担城镇建设和城镇经济发展等功能，集中于</w:t>
      </w:r>
      <w:r>
        <w:rPr>
          <w:spacing w:val="-4"/>
        </w:rPr>
        <w:t xml:space="preserve">中心城区、各镇和重要产业功能区。着重优化用地结构布局， </w:t>
      </w:r>
      <w:r>
        <w:rPr>
          <w:spacing w:val="-8"/>
        </w:rPr>
        <w:t>加强基础设施和公共服务配套，改善人居环境，推动城镇健康有序发展。</w:t>
      </w:r>
    </w:p>
    <w:p>
      <w:pPr>
        <w:pStyle w:val="3"/>
        <w:spacing w:line="396" w:lineRule="exact"/>
        <w:ind w:left="960"/>
      </w:pPr>
      <w:r>
        <w:rPr>
          <w:spacing w:val="-12"/>
          <w:w w:val="95"/>
        </w:rPr>
        <w:t>“三线”是国土空间用途管制的基本依据，要划得实、守</w:t>
      </w:r>
    </w:p>
    <w:p>
      <w:pPr>
        <w:pStyle w:val="3"/>
        <w:spacing w:before="130" w:line="316" w:lineRule="auto"/>
        <w:ind w:right="398"/>
        <w:jc w:val="both"/>
      </w:pPr>
      <w:r>
        <w:rPr>
          <w:spacing w:val="-10"/>
          <w:w w:val="95"/>
        </w:rPr>
        <w:t>得住、有权威、落实好。</w:t>
      </w:r>
      <w:r>
        <w:rPr>
          <w:b/>
          <w:spacing w:val="-4"/>
          <w:w w:val="95"/>
        </w:rPr>
        <w:t>生态保护红线：</w:t>
      </w:r>
      <w:r>
        <w:rPr>
          <w:spacing w:val="-4"/>
          <w:w w:val="95"/>
        </w:rPr>
        <w:t xml:space="preserve">以水源地保护区、湿 </w:t>
      </w:r>
      <w:r>
        <w:rPr>
          <w:spacing w:val="-13"/>
          <w:w w:val="95"/>
        </w:rPr>
        <w:t xml:space="preserve">地公园、森林公园、山体水系等各类自然保护地和生态环境敏 </w:t>
      </w:r>
      <w:r>
        <w:rPr>
          <w:spacing w:val="-23"/>
        </w:rPr>
        <w:t xml:space="preserve">感脆弱区域为主体，划定市域生态保护红线，总面积为 </w:t>
      </w:r>
      <w:r>
        <w:t xml:space="preserve">122.35 </w:t>
      </w:r>
      <w:r>
        <w:rPr>
          <w:spacing w:val="-12"/>
        </w:rPr>
        <w:t>平方公里。生态保护红线区原则上按禁止开发区域的要求进行</w:t>
      </w:r>
      <w:r>
        <w:rPr>
          <w:spacing w:val="-14"/>
          <w:w w:val="95"/>
        </w:rPr>
        <w:t xml:space="preserve">管理，严禁不符合主体功能定位的各类开发活动，与保护要求 </w:t>
      </w:r>
      <w:r>
        <w:rPr>
          <w:spacing w:val="-19"/>
        </w:rPr>
        <w:t>不符的既有建设应加快迁出，逐步疏解区内常住人口。</w:t>
      </w:r>
      <w:r>
        <w:rPr>
          <w:b/>
        </w:rPr>
        <w:t>永久基</w:t>
      </w:r>
      <w:r>
        <w:rPr>
          <w:b/>
          <w:spacing w:val="-10"/>
          <w:w w:val="95"/>
        </w:rPr>
        <w:t>本农田保护线：</w:t>
      </w:r>
      <w:r>
        <w:rPr>
          <w:spacing w:val="-5"/>
          <w:w w:val="95"/>
        </w:rPr>
        <w:t>严格落实永久基本农田特殊保护制度，总面积</w:t>
      </w:r>
    </w:p>
    <w:p>
      <w:pPr>
        <w:pStyle w:val="3"/>
        <w:spacing w:line="316" w:lineRule="auto"/>
        <w:ind w:right="266"/>
      </w:pPr>
      <w:r>
        <w:t>745.32</w:t>
      </w:r>
      <w:r>
        <w:rPr>
          <w:spacing w:val="-5"/>
        </w:rPr>
        <w:t xml:space="preserve"> 平方公里。从严管控非农建设占用永久基本农田，严</w:t>
      </w:r>
      <w:r>
        <w:rPr>
          <w:spacing w:val="-6"/>
        </w:rPr>
        <w:t xml:space="preserve">禁未经审批违法违规占用，有效稳定永久基本农田规模布局， </w:t>
      </w:r>
      <w:r>
        <w:rPr>
          <w:spacing w:val="-11"/>
        </w:rPr>
        <w:t>提升耕地质量。</w:t>
      </w:r>
      <w:r>
        <w:rPr>
          <w:b/>
          <w:spacing w:val="-10"/>
        </w:rPr>
        <w:t>城镇开发边界：</w:t>
      </w:r>
      <w:r>
        <w:t>充分协调城镇发展需求及土地</w:t>
      </w:r>
    </w:p>
    <w:p>
      <w:pPr>
        <w:spacing w:after="0" w:line="316" w:lineRule="auto"/>
        <w:sectPr>
          <w:pgSz w:w="11910" w:h="16840"/>
          <w:pgMar w:top="1580" w:right="1300" w:bottom="1540" w:left="1380" w:header="0" w:footer="1346" w:gutter="0"/>
          <w:cols w:space="720" w:num="1"/>
        </w:sectPr>
      </w:pPr>
    </w:p>
    <w:p>
      <w:pPr>
        <w:pStyle w:val="3"/>
        <w:spacing w:before="8"/>
        <w:ind w:left="0"/>
        <w:rPr>
          <w:sz w:val="12"/>
        </w:rPr>
      </w:pPr>
    </w:p>
    <w:p>
      <w:pPr>
        <w:pStyle w:val="3"/>
        <w:spacing w:before="55" w:line="316" w:lineRule="auto"/>
        <w:ind w:right="242"/>
      </w:pPr>
      <w:r>
        <w:rPr>
          <w:spacing w:val="-19"/>
        </w:rPr>
        <w:t xml:space="preserve">利用总体规划，划定城镇和产业园区开发边界，总面积 </w:t>
      </w:r>
      <w:r>
        <w:t xml:space="preserve">264.40 </w:t>
      </w:r>
      <w:r>
        <w:rPr>
          <w:spacing w:val="-20"/>
          <w:w w:val="95"/>
        </w:rPr>
        <w:t xml:space="preserve">平方公里。严格城镇开发边界管理，各类新城、新区、开发区、 </w:t>
      </w:r>
      <w:r>
        <w:rPr>
          <w:spacing w:val="-20"/>
        </w:rPr>
        <w:t>产业园区等，不得在城镇开发边界外选址。</w:t>
      </w:r>
    </w:p>
    <w:p>
      <w:pPr>
        <w:pStyle w:val="3"/>
        <w:tabs>
          <w:tab w:val="left" w:pos="1279"/>
        </w:tabs>
        <w:spacing w:before="58"/>
        <w:ind w:left="0" w:right="80"/>
        <w:jc w:val="center"/>
        <w:rPr>
          <w:rFonts w:hint="eastAsia" w:ascii="宋体" w:eastAsia="宋体"/>
        </w:rPr>
      </w:pPr>
      <w:bookmarkStart w:id="40" w:name="第四节  不断提高城市功能品质"/>
      <w:bookmarkEnd w:id="40"/>
      <w:r>
        <w:rPr>
          <w:rFonts w:hint="eastAsia" w:ascii="宋体" w:eastAsia="宋体"/>
        </w:rPr>
        <w:t>第四节</w:t>
      </w:r>
      <w:r>
        <w:rPr>
          <w:rFonts w:hint="eastAsia" w:ascii="宋体" w:eastAsia="宋体"/>
        </w:rPr>
        <w:tab/>
      </w:r>
      <w:r>
        <w:rPr>
          <w:rFonts w:hint="eastAsia" w:ascii="宋体" w:eastAsia="宋体"/>
        </w:rPr>
        <w:t>不断提高城市功能品质</w:t>
      </w:r>
    </w:p>
    <w:p>
      <w:pPr>
        <w:pStyle w:val="3"/>
        <w:spacing w:before="130" w:line="316" w:lineRule="auto"/>
        <w:ind w:right="236" w:firstLine="638"/>
      </w:pPr>
      <w:r>
        <w:rPr>
          <w:spacing w:val="-11"/>
        </w:rPr>
        <w:t>瞄准市场不能有效配置资源、需要政府支持引导的公共领域，聚焦“公共服务设施提标扩面、环境卫生设施提级扩能、</w:t>
      </w:r>
      <w:r>
        <w:rPr>
          <w:spacing w:val="-15"/>
        </w:rPr>
        <w:t>市政公用设施提档升级、产业培育设施提质增效”</w:t>
      </w:r>
      <w:r>
        <w:rPr>
          <w:spacing w:val="-34"/>
        </w:rPr>
        <w:t xml:space="preserve">4 大领域 </w:t>
      </w:r>
      <w:r>
        <w:t xml:space="preserve">17 </w:t>
      </w:r>
      <w:r>
        <w:rPr>
          <w:spacing w:val="-12"/>
        </w:rPr>
        <w:t>项建设任务，谋划实施一批弥补本地突出短板、契合群众迫切</w:t>
      </w:r>
      <w:r>
        <w:rPr>
          <w:spacing w:val="-15"/>
        </w:rPr>
        <w:t>需要的项目，以及一批公共性平台性程度较高、惠及较多群众</w:t>
      </w:r>
      <w:r>
        <w:rPr>
          <w:spacing w:val="-17"/>
        </w:rPr>
        <w:t>及市场主体的项目，推进全国新型城镇化试点县城建设。坚持精品城市理念，着力抓好城市更新，加大棚户区改造和老旧小区改造力度，开发现代化高品质商品住宅区，创建绿色社区； 提升城市品质，以更高标准推进市区综合整治，保护历史街区和历史建筑，因地制宜实施地下综合管廊建设，全域推进海绵</w:t>
      </w:r>
      <w:r>
        <w:rPr>
          <w:spacing w:val="-15"/>
        </w:rPr>
        <w:t>城市建设，实施供水供暖老旧管网改造工程，加快集中供热管</w:t>
      </w:r>
      <w:r>
        <w:rPr>
          <w:spacing w:val="-13"/>
        </w:rPr>
        <w:t>网建设，优化公交线网布局，建设一批城市公园、游园、口袋</w:t>
      </w:r>
      <w:r>
        <w:rPr>
          <w:spacing w:val="-24"/>
        </w:rPr>
        <w:t>公园、生态街巷，塑造精致现代的城市风貌。下足城市管理“绣</w:t>
      </w:r>
      <w:r>
        <w:rPr>
          <w:spacing w:val="-16"/>
        </w:rPr>
        <w:t>花功夫”，提高科学化、精细化、智慧化管理水平，实现智慧</w:t>
      </w:r>
      <w:r>
        <w:rPr>
          <w:spacing w:val="-14"/>
        </w:rPr>
        <w:t>照明、智慧停车等，创成首批山东省五星级新型智慧城市。围</w:t>
      </w:r>
      <w:r>
        <w:rPr>
          <w:spacing w:val="-21"/>
        </w:rPr>
        <w:t xml:space="preserve">绕社区文化、教育、医疗、体育、养老、社会福利等基本服务， </w:t>
      </w:r>
      <w:r>
        <w:rPr>
          <w:spacing w:val="-41"/>
        </w:rPr>
        <w:t xml:space="preserve">构建 </w:t>
      </w:r>
      <w:r>
        <w:t>15</w:t>
      </w:r>
      <w:r>
        <w:rPr>
          <w:spacing w:val="-9"/>
        </w:rPr>
        <w:t xml:space="preserve"> 分钟生活服务圈。按照“一体两翼、四副六点、一轴</w:t>
      </w:r>
      <w:r>
        <w:rPr>
          <w:spacing w:val="-13"/>
        </w:rPr>
        <w:t>三区”的滕州全域城镇化总体格局，加快国家和省重点镇、示</w:t>
      </w:r>
      <w:r>
        <w:rPr>
          <w:spacing w:val="-14"/>
        </w:rPr>
        <w:t>范镇、特色镇建设。按照适度超前、综合配套、集约利用的原则，加强特色小镇基础设施建设，提升特色小镇承载能力。</w:t>
      </w:r>
    </w:p>
    <w:p>
      <w:pPr>
        <w:spacing w:after="0" w:line="316" w:lineRule="auto"/>
        <w:sectPr>
          <w:pgSz w:w="11910" w:h="16840"/>
          <w:pgMar w:top="1580" w:right="1300" w:bottom="1540" w:left="1380" w:header="0" w:footer="1346" w:gutter="0"/>
          <w:cols w:space="720" w:num="1"/>
        </w:sectPr>
      </w:pPr>
    </w:p>
    <w:p>
      <w:pPr>
        <w:pStyle w:val="3"/>
        <w:spacing w:before="8"/>
        <w:ind w:left="0"/>
        <w:rPr>
          <w:sz w:val="12"/>
        </w:rPr>
      </w:pPr>
    </w:p>
    <w:p>
      <w:pPr>
        <w:pStyle w:val="3"/>
        <w:spacing w:before="55" w:line="316" w:lineRule="auto"/>
        <w:ind w:right="266" w:firstLine="638"/>
      </w:pPr>
      <w:r>
        <w:t>成片开发有效提升城市功能。将滕州经济开发区（善南街道、荆河街道、南沙河和姜屯工业集中建设区），高铁新区， 鲁南高科技化工园区及其他各类专业园区；中心城区（含高铁新区）房地产用地区域，小清河（前后洪）改造区域，龙泉街道程堂居（荆河东路）、东城东新社区二期和三期、孙堂居、冯村居、前大庙居、盛泉路、冯东和冯西居、董村居和欧庄居</w:t>
      </w:r>
    </w:p>
    <w:p>
      <w:pPr>
        <w:pStyle w:val="3"/>
        <w:spacing w:line="316" w:lineRule="auto"/>
        <w:ind w:right="398"/>
        <w:jc w:val="both"/>
      </w:pPr>
      <w:r>
        <w:t>（花漾城小镇</w:t>
      </w:r>
      <w:r>
        <w:rPr>
          <w:spacing w:val="-46"/>
        </w:rPr>
        <w:t>）</w:t>
      </w:r>
      <w:r>
        <w:rPr>
          <w:spacing w:val="-7"/>
        </w:rPr>
        <w:t>改造区域及其周边区域，北辛街道小岗村、北</w:t>
      </w:r>
      <w:r>
        <w:rPr>
          <w:spacing w:val="-14"/>
          <w:w w:val="95"/>
        </w:rPr>
        <w:t xml:space="preserve">刘居、孙庄居、王任居、周庄居、西七里沟居、后屯居改造区 </w:t>
      </w:r>
      <w:r>
        <w:rPr>
          <w:spacing w:val="-16"/>
        </w:rPr>
        <w:t>域及其周边区域，荆河街道孙搂和鲁寨及二期、朱李居、汤庄</w:t>
      </w:r>
      <w:r>
        <w:rPr>
          <w:spacing w:val="-13"/>
        </w:rPr>
        <w:t>居、柳楼居改造区域及其周边区域，善南街道五里坂、贾庄居</w:t>
      </w:r>
      <w:r>
        <w:rPr>
          <w:spacing w:val="-17"/>
        </w:rPr>
        <w:t>改造区域及其周边区域，东沙河街道东史居改造区域及其周边</w:t>
      </w:r>
      <w:r>
        <w:rPr>
          <w:spacing w:val="-14"/>
          <w:w w:val="95"/>
        </w:rPr>
        <w:t xml:space="preserve">区域，其他新增棚户区改造区域及其周边区域，姜屯镇金三角 </w:t>
      </w:r>
      <w:r>
        <w:rPr>
          <w:spacing w:val="-15"/>
        </w:rPr>
        <w:t>改造区域，洪绪镇镇区规划范围内区域等纳入土地征收成片开发方案，提升土地利用效益以及经济、社会、生态效益。</w:t>
      </w:r>
    </w:p>
    <w:p>
      <w:pPr>
        <w:pStyle w:val="3"/>
        <w:ind w:left="307"/>
        <w:rPr>
          <w:sz w:val="20"/>
        </w:rPr>
      </w:pPr>
      <w:r>
        <w:rPr>
          <w:sz w:val="20"/>
        </w:rPr>
        <mc:AlternateContent>
          <mc:Choice Requires="wps">
            <w:drawing>
              <wp:inline distT="0" distB="0" distL="114300" distR="114300">
                <wp:extent cx="5411470" cy="3440430"/>
                <wp:effectExtent l="5080" t="4445" r="12700" b="22225"/>
                <wp:docPr id="32" name="文本框 22"/>
                <wp:cNvGraphicFramePr/>
                <a:graphic xmlns:a="http://schemas.openxmlformats.org/drawingml/2006/main">
                  <a:graphicData uri="http://schemas.microsoft.com/office/word/2010/wordprocessingShape">
                    <wps:wsp>
                      <wps:cNvSpPr txBox="true"/>
                      <wps:spPr>
                        <a:xfrm>
                          <a:off x="0" y="0"/>
                          <a:ext cx="5411470" cy="3440430"/>
                        </a:xfrm>
                        <a:prstGeom prst="rect">
                          <a:avLst/>
                        </a:prstGeom>
                        <a:noFill/>
                        <a:ln w="6096" cap="flat" cmpd="sng">
                          <a:solidFill>
                            <a:srgbClr val="000000"/>
                          </a:solidFill>
                          <a:prstDash val="solid"/>
                          <a:miter/>
                          <a:headEnd type="none" w="med" len="med"/>
                          <a:tailEnd type="none" w="med" len="med"/>
                        </a:ln>
                      </wps:spPr>
                      <wps:txbx>
                        <w:txbxContent>
                          <w:p>
                            <w:pPr>
                              <w:tabs>
                                <w:tab w:val="left" w:pos="3727"/>
                              </w:tabs>
                              <w:spacing w:before="9"/>
                              <w:ind w:left="2536" w:right="0" w:firstLine="0"/>
                              <w:jc w:val="left"/>
                              <w:rPr>
                                <w:b/>
                                <w:sz w:val="28"/>
                              </w:rPr>
                            </w:pPr>
                            <w:r>
                              <w:rPr>
                                <w:b/>
                                <w:sz w:val="28"/>
                              </w:rPr>
                              <w:t>专栏</w:t>
                            </w:r>
                            <w:r>
                              <w:rPr>
                                <w:b/>
                                <w:spacing w:val="-72"/>
                                <w:sz w:val="28"/>
                              </w:rPr>
                              <w:t xml:space="preserve"> </w:t>
                            </w:r>
                            <w:r>
                              <w:rPr>
                                <w:rFonts w:ascii="Times New Roman" w:eastAsia="Times New Roman"/>
                                <w:b/>
                                <w:sz w:val="28"/>
                              </w:rPr>
                              <w:t>13</w:t>
                            </w:r>
                            <w:r>
                              <w:rPr>
                                <w:rFonts w:ascii="Times New Roman" w:eastAsia="Times New Roman"/>
                                <w:b/>
                                <w:sz w:val="28"/>
                              </w:rPr>
                              <w:tab/>
                            </w:r>
                            <w:r>
                              <w:rPr>
                                <w:b/>
                                <w:sz w:val="28"/>
                              </w:rPr>
                              <w:t>城乡建设重点项目</w:t>
                            </w:r>
                          </w:p>
                          <w:p>
                            <w:pPr>
                              <w:spacing w:before="1"/>
                              <w:ind w:left="103" w:right="-44" w:firstLine="0"/>
                              <w:jc w:val="left"/>
                              <w:rPr>
                                <w:sz w:val="28"/>
                              </w:rPr>
                            </w:pPr>
                            <w:r>
                              <w:rPr>
                                <w:spacing w:val="-8"/>
                                <w:sz w:val="28"/>
                              </w:rPr>
                              <w:t>鲁南高科技化工园区村庄搬迁工程配套安置项目、城市新型基础设施建设项目、新型智慧城市相关基础设施及平台建设项目、</w:t>
                            </w:r>
                            <w:r>
                              <w:rPr>
                                <w:rFonts w:ascii="Times New Roman" w:eastAsia="Times New Roman"/>
                                <w:sz w:val="28"/>
                              </w:rPr>
                              <w:t>5G+</w:t>
                            </w:r>
                            <w:r>
                              <w:rPr>
                                <w:spacing w:val="-5"/>
                                <w:sz w:val="28"/>
                              </w:rPr>
                              <w:t>智慧灯杆项</w:t>
                            </w:r>
                            <w:r>
                              <w:rPr>
                                <w:spacing w:val="-8"/>
                                <w:sz w:val="28"/>
                              </w:rPr>
                              <w:t>目、城市级智慧停车建设项目、老旧小区改造项目、周庄区域改造项目</w:t>
                            </w:r>
                            <w:r>
                              <w:rPr>
                                <w:spacing w:val="-12"/>
                                <w:sz w:val="28"/>
                              </w:rPr>
                              <w:t>、柳楼居区域改造项目、老旧小区供水配套设施改造工程、冯东冯西居区域改造项目、杏东区域改造项目、水产粮油市场改造项目、农村供电工程、老一中西侧区域改造项目、冯河区域改造项目、后屯居区域改造项</w:t>
                            </w:r>
                            <w:r>
                              <w:rPr>
                                <w:spacing w:val="-19"/>
                                <w:sz w:val="28"/>
                              </w:rPr>
                              <w:t>目、西七里沟区域改造项目、何袁庄区域改造项目、东七里沟区域改造项目、赵楼街区域改造项目、五里屯居区域改造项目、张刘庄区域改造项目、实小荆河路区域改造项目、梁场区域改造项目、后大庙区域改造项目、董村居区域改造项目、张明庄区域改造项目、荆庄区域改造项目、馍馍庄区域改造项目、赵王河区域改造项目、刁庄区域改造项目、杏坛居区域改造项目、党村居区域改造项目、振兴南路南延工程、保通路</w:t>
                            </w:r>
                            <w:r>
                              <w:rPr>
                                <w:spacing w:val="-18"/>
                                <w:sz w:val="28"/>
                              </w:rPr>
                              <w:t>城市化道路改造和连接线道路枢纽建设工程、荆河东路东延工程暨城区与高铁新区连接线工程、大同北路建设工</w:t>
                            </w:r>
                          </w:p>
                        </w:txbxContent>
                      </wps:txbx>
                      <wps:bodyPr lIns="0" tIns="0" rIns="0" bIns="0" upright="true"/>
                    </wps:wsp>
                  </a:graphicData>
                </a:graphic>
              </wp:inline>
            </w:drawing>
          </mc:Choice>
          <mc:Fallback>
            <w:pict>
              <v:shape id="文本框 22" o:spid="_x0000_s1026" o:spt="202" type="#_x0000_t202" style="height:270.9pt;width:426.1pt;" filled="f" stroked="t" coordsize="21600,21600" o:gfxdata="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Dn8vsPUAAAABQEAAA8AAAAAAAAA&#10;AQAgAAAAOAAAAGRycy9kb3ducmV2LnhtbFBLAQIUABQAAAAIAIdO4kBb+z0x/wEAAOwDAAAOAAAA&#10;AAAAAAEAIAAAADkBAABkcnMvZTJvRG9jLnhtbFBLBQYAAAAABgAGAFkBAACqBQAAAAA=&#10;">
                <v:fill on="f" focussize="0,0"/>
                <v:stroke weight="0.48pt" color="#000000" joinstyle="miter"/>
                <v:imagedata o:title=""/>
                <o:lock v:ext="edit" aspectratio="f"/>
                <v:textbox inset="0mm,0mm,0mm,0mm">
                  <w:txbxContent>
                    <w:p>
                      <w:pPr>
                        <w:tabs>
                          <w:tab w:val="left" w:pos="3727"/>
                        </w:tabs>
                        <w:spacing w:before="9"/>
                        <w:ind w:left="2536" w:right="0" w:firstLine="0"/>
                        <w:jc w:val="left"/>
                        <w:rPr>
                          <w:b/>
                          <w:sz w:val="28"/>
                        </w:rPr>
                      </w:pPr>
                      <w:r>
                        <w:rPr>
                          <w:b/>
                          <w:sz w:val="28"/>
                        </w:rPr>
                        <w:t>专栏</w:t>
                      </w:r>
                      <w:r>
                        <w:rPr>
                          <w:b/>
                          <w:spacing w:val="-72"/>
                          <w:sz w:val="28"/>
                        </w:rPr>
                        <w:t xml:space="preserve"> </w:t>
                      </w:r>
                      <w:r>
                        <w:rPr>
                          <w:rFonts w:ascii="Times New Roman" w:eastAsia="Times New Roman"/>
                          <w:b/>
                          <w:sz w:val="28"/>
                        </w:rPr>
                        <w:t>13</w:t>
                      </w:r>
                      <w:r>
                        <w:rPr>
                          <w:rFonts w:ascii="Times New Roman" w:eastAsia="Times New Roman"/>
                          <w:b/>
                          <w:sz w:val="28"/>
                        </w:rPr>
                        <w:tab/>
                      </w:r>
                      <w:r>
                        <w:rPr>
                          <w:b/>
                          <w:sz w:val="28"/>
                        </w:rPr>
                        <w:t>城乡建设重点项目</w:t>
                      </w:r>
                    </w:p>
                    <w:p>
                      <w:pPr>
                        <w:spacing w:before="1"/>
                        <w:ind w:left="103" w:right="-44" w:firstLine="0"/>
                        <w:jc w:val="left"/>
                        <w:rPr>
                          <w:sz w:val="28"/>
                        </w:rPr>
                      </w:pPr>
                      <w:r>
                        <w:rPr>
                          <w:spacing w:val="-8"/>
                          <w:sz w:val="28"/>
                        </w:rPr>
                        <w:t>鲁南高科技化工园区村庄搬迁工程配套安置项目、城市新型基础设施建设项目、新型智慧城市相关基础设施及平台建设项目、</w:t>
                      </w:r>
                      <w:r>
                        <w:rPr>
                          <w:rFonts w:ascii="Times New Roman" w:eastAsia="Times New Roman"/>
                          <w:sz w:val="28"/>
                        </w:rPr>
                        <w:t>5G+</w:t>
                      </w:r>
                      <w:r>
                        <w:rPr>
                          <w:spacing w:val="-5"/>
                          <w:sz w:val="28"/>
                        </w:rPr>
                        <w:t>智慧灯杆项</w:t>
                      </w:r>
                      <w:r>
                        <w:rPr>
                          <w:spacing w:val="-8"/>
                          <w:sz w:val="28"/>
                        </w:rPr>
                        <w:t>目、城市级智慧停车建设项目、老旧小区改造项目、周庄区域改造项目</w:t>
                      </w:r>
                      <w:r>
                        <w:rPr>
                          <w:spacing w:val="-12"/>
                          <w:sz w:val="28"/>
                        </w:rPr>
                        <w:t>、柳楼居区域改造项目、老旧小区供水配套设施改造工程、冯东冯西居区域改造项目、杏东区域改造项目、水产粮油市场改造项目、农村供电工程、老一中西侧区域改造项目、冯河区域改造项目、后屯居区域改造项</w:t>
                      </w:r>
                      <w:r>
                        <w:rPr>
                          <w:spacing w:val="-19"/>
                          <w:sz w:val="28"/>
                        </w:rPr>
                        <w:t>目、西七里沟区域改造项目、何袁庄区域改造项目、东七里沟区域改造项目、赵楼街区域改造项目、五里屯居区域改造项目、张刘庄区域改造项目、实小荆河路区域改造项目、梁场区域改造项目、后大庙区域改造项目、董村居区域改造项目、张明庄区域改造项目、荆庄区域改造项目、馍馍庄区域改造项目、赵王河区域改造项目、刁庄区域改造项目、杏坛居区域改造项目、党村居区域改造项目、振兴南路南延工程、保通路</w:t>
                      </w:r>
                      <w:r>
                        <w:rPr>
                          <w:spacing w:val="-18"/>
                          <w:sz w:val="28"/>
                        </w:rPr>
                        <w:t>城市化道路改造和连接线道路枢纽建设工程、荆河东路东延工程暨城区与高铁新区连接线工程、大同北路建设工</w:t>
                      </w:r>
                    </w:p>
                  </w:txbxContent>
                </v:textbox>
                <w10:wrap type="none"/>
                <w10:anchorlock/>
              </v:shape>
            </w:pict>
          </mc:Fallback>
        </mc:AlternateContent>
      </w:r>
    </w:p>
    <w:p>
      <w:pPr>
        <w:spacing w:after="0"/>
        <w:rPr>
          <w:sz w:val="20"/>
        </w:rPr>
        <w:sectPr>
          <w:footerReference r:id="rId17" w:type="default"/>
          <w:footerReference r:id="rId18" w:type="even"/>
          <w:pgSz w:w="11910" w:h="16840"/>
          <w:pgMar w:top="1580" w:right="1300" w:bottom="1540" w:left="1380" w:header="0" w:footer="1346" w:gutter="0"/>
          <w:pgNumType w:start="60"/>
          <w:cols w:space="720" w:num="1"/>
        </w:sectPr>
      </w:pPr>
    </w:p>
    <w:p>
      <w:pPr>
        <w:pStyle w:val="3"/>
        <w:ind w:left="0"/>
        <w:rPr>
          <w:sz w:val="8"/>
        </w:rPr>
      </w:pPr>
    </w:p>
    <w:p>
      <w:pPr>
        <w:pStyle w:val="3"/>
        <w:ind w:left="307"/>
        <w:rPr>
          <w:sz w:val="20"/>
        </w:rPr>
      </w:pPr>
      <w:r>
        <w:rPr>
          <w:sz w:val="20"/>
        </w:rPr>
        <mc:AlternateContent>
          <mc:Choice Requires="wps">
            <w:drawing>
              <wp:inline distT="0" distB="0" distL="114300" distR="114300">
                <wp:extent cx="5411470" cy="2292350"/>
                <wp:effectExtent l="4445" t="4445" r="13335" b="8255"/>
                <wp:docPr id="34" name="文本框 23"/>
                <wp:cNvGraphicFramePr/>
                <a:graphic xmlns:a="http://schemas.openxmlformats.org/drawingml/2006/main">
                  <a:graphicData uri="http://schemas.microsoft.com/office/word/2010/wordprocessingShape">
                    <wps:wsp>
                      <wps:cNvSpPr txBox="true"/>
                      <wps:spPr>
                        <a:xfrm>
                          <a:off x="0" y="0"/>
                          <a:ext cx="5411470" cy="2292350"/>
                        </a:xfrm>
                        <a:prstGeom prst="rect">
                          <a:avLst/>
                        </a:prstGeom>
                        <a:noFill/>
                        <a:ln w="6096" cap="flat" cmpd="sng">
                          <a:solidFill>
                            <a:srgbClr val="000000"/>
                          </a:solidFill>
                          <a:prstDash val="solid"/>
                          <a:miter/>
                          <a:headEnd type="none" w="med" len="med"/>
                          <a:tailEnd type="none" w="med" len="med"/>
                        </a:ln>
                      </wps:spPr>
                      <wps:txbx>
                        <w:txbxContent>
                          <w:p>
                            <w:pPr>
                              <w:spacing w:before="9"/>
                              <w:ind w:left="103" w:right="7" w:firstLine="0"/>
                              <w:jc w:val="left"/>
                              <w:rPr>
                                <w:sz w:val="28"/>
                              </w:rPr>
                            </w:pPr>
                            <w:r>
                              <w:rPr>
                                <w:spacing w:val="-3"/>
                                <w:sz w:val="28"/>
                              </w:rPr>
                              <w:t>程、荆泉路片区配套道路建设工程、林梓路片区配套道路建设工程、</w:t>
                            </w:r>
                            <w:r>
                              <w:rPr>
                                <w:spacing w:val="-6"/>
                                <w:sz w:val="28"/>
                              </w:rPr>
                              <w:t>市医养结合项目周边市政基础设施配套工程、区域</w:t>
                            </w:r>
                            <w:r>
                              <w:rPr>
                                <w:spacing w:val="-3"/>
                                <w:sz w:val="28"/>
                              </w:rPr>
                              <w:t>（</w:t>
                            </w:r>
                            <w:r>
                              <w:rPr>
                                <w:spacing w:val="-7"/>
                                <w:sz w:val="28"/>
                              </w:rPr>
                              <w:t>汤庄、北留</w:t>
                            </w:r>
                            <w:r>
                              <w:rPr>
                                <w:spacing w:val="-25"/>
                                <w:sz w:val="28"/>
                              </w:rPr>
                              <w:t>）</w:t>
                            </w:r>
                            <w:r>
                              <w:rPr>
                                <w:sz w:val="28"/>
                              </w:rPr>
                              <w:t>配</w:t>
                            </w:r>
                            <w:r>
                              <w:rPr>
                                <w:spacing w:val="-3"/>
                                <w:sz w:val="28"/>
                              </w:rPr>
                              <w:t>套道路建设项目、西部城区道路建设工程、平行路跨荆河桥梁工程、</w:t>
                            </w:r>
                            <w:r>
                              <w:rPr>
                                <w:spacing w:val="-8"/>
                                <w:sz w:val="28"/>
                              </w:rPr>
                              <w:t>科圣路片区配套道路桥梁建设项目、荆河东路绿化工程、通盛公园建</w:t>
                            </w:r>
                            <w:r>
                              <w:rPr>
                                <w:spacing w:val="-11"/>
                                <w:sz w:val="28"/>
                              </w:rPr>
                              <w:t>设工程、小清河公园建设工程、七彩公园建设工程、铁西公园建设工程</w:t>
                            </w:r>
                            <w:r>
                              <w:rPr>
                                <w:spacing w:val="-13"/>
                                <w:sz w:val="28"/>
                              </w:rPr>
                              <w:t xml:space="preserve">、城区公园游园建设工程、城区防护林带公园建设项目、高铁新区天然气综合门站及新增管网建设项目、富源 </w:t>
                            </w:r>
                            <w:r>
                              <w:rPr>
                                <w:rFonts w:ascii="Times New Roman" w:hAnsi="Times New Roman" w:eastAsia="Times New Roman"/>
                                <w:sz w:val="28"/>
                              </w:rPr>
                              <w:t>2</w:t>
                            </w:r>
                            <w:r>
                              <w:rPr>
                                <w:sz w:val="28"/>
                              </w:rPr>
                              <w:t>×</w:t>
                            </w:r>
                            <w:r>
                              <w:rPr>
                                <w:rFonts w:ascii="Times New Roman" w:hAnsi="Times New Roman" w:eastAsia="Times New Roman"/>
                                <w:sz w:val="28"/>
                              </w:rPr>
                              <w:t xml:space="preserve">35 </w:t>
                            </w:r>
                            <w:r>
                              <w:rPr>
                                <w:spacing w:val="-5"/>
                                <w:sz w:val="28"/>
                              </w:rPr>
                              <w:t>万千瓦煤矸石综合利用长输供热管网项目、公共服务设施综合馆项目、鲁南高科技化工园区基础设施综合提升项目、城区排水防涝改造工程、临湖路与青啤大道连接工程、滕州经济开发区产业园基础设施建设工程</w:t>
                            </w:r>
                          </w:p>
                        </w:txbxContent>
                      </wps:txbx>
                      <wps:bodyPr lIns="0" tIns="0" rIns="0" bIns="0" upright="true"/>
                    </wps:wsp>
                  </a:graphicData>
                </a:graphic>
              </wp:inline>
            </w:drawing>
          </mc:Choice>
          <mc:Fallback>
            <w:pict>
              <v:shape id="文本框 23" o:spid="_x0000_s1026" o:spt="202" type="#_x0000_t202" style="height:180.5pt;width:426.1pt;" filled="f" stroked="t" coordsize="21600,21600" o:gfxdata="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BBuipc1AAAAAUBAAAPAAAAAAAA&#10;AAEAIAAAADgAAABkcnMvZG93bnJldi54bWxQSwECFAAUAAAACACHTuJAOoOhLQACAADsAwAADgAA&#10;AAAAAAABACAAAAA5AQAAZHJzL2Uyb0RvYy54bWxQSwUGAAAAAAYABgBZAQAAqwUAAAAA&#10;">
                <v:fill on="f" focussize="0,0"/>
                <v:stroke weight="0.48pt" color="#000000" joinstyle="miter"/>
                <v:imagedata o:title=""/>
                <o:lock v:ext="edit" aspectratio="f"/>
                <v:textbox inset="0mm,0mm,0mm,0mm">
                  <w:txbxContent>
                    <w:p>
                      <w:pPr>
                        <w:spacing w:before="9"/>
                        <w:ind w:left="103" w:right="7" w:firstLine="0"/>
                        <w:jc w:val="left"/>
                        <w:rPr>
                          <w:sz w:val="28"/>
                        </w:rPr>
                      </w:pPr>
                      <w:r>
                        <w:rPr>
                          <w:spacing w:val="-3"/>
                          <w:sz w:val="28"/>
                        </w:rPr>
                        <w:t>程、荆泉路片区配套道路建设工程、林梓路片区配套道路建设工程、</w:t>
                      </w:r>
                      <w:r>
                        <w:rPr>
                          <w:spacing w:val="-6"/>
                          <w:sz w:val="28"/>
                        </w:rPr>
                        <w:t>市医养结合项目周边市政基础设施配套工程、区域</w:t>
                      </w:r>
                      <w:r>
                        <w:rPr>
                          <w:spacing w:val="-3"/>
                          <w:sz w:val="28"/>
                        </w:rPr>
                        <w:t>（</w:t>
                      </w:r>
                      <w:r>
                        <w:rPr>
                          <w:spacing w:val="-7"/>
                          <w:sz w:val="28"/>
                        </w:rPr>
                        <w:t>汤庄、北留</w:t>
                      </w:r>
                      <w:r>
                        <w:rPr>
                          <w:spacing w:val="-25"/>
                          <w:sz w:val="28"/>
                        </w:rPr>
                        <w:t>）</w:t>
                      </w:r>
                      <w:r>
                        <w:rPr>
                          <w:sz w:val="28"/>
                        </w:rPr>
                        <w:t>配</w:t>
                      </w:r>
                      <w:r>
                        <w:rPr>
                          <w:spacing w:val="-3"/>
                          <w:sz w:val="28"/>
                        </w:rPr>
                        <w:t>套道路建设项目、西部城区道路建设工程、平行路跨荆河桥梁工程、</w:t>
                      </w:r>
                      <w:r>
                        <w:rPr>
                          <w:spacing w:val="-8"/>
                          <w:sz w:val="28"/>
                        </w:rPr>
                        <w:t>科圣路片区配套道路桥梁建设项目、荆河东路绿化工程、通盛公园建</w:t>
                      </w:r>
                      <w:r>
                        <w:rPr>
                          <w:spacing w:val="-11"/>
                          <w:sz w:val="28"/>
                        </w:rPr>
                        <w:t>设工程、小清河公园建设工程、七彩公园建设工程、铁西公园建设工程</w:t>
                      </w:r>
                      <w:r>
                        <w:rPr>
                          <w:spacing w:val="-13"/>
                          <w:sz w:val="28"/>
                        </w:rPr>
                        <w:t xml:space="preserve">、城区公园游园建设工程、城区防护林带公园建设项目、高铁新区天然气综合门站及新增管网建设项目、富源 </w:t>
                      </w:r>
                      <w:r>
                        <w:rPr>
                          <w:rFonts w:ascii="Times New Roman" w:hAnsi="Times New Roman" w:eastAsia="Times New Roman"/>
                          <w:sz w:val="28"/>
                        </w:rPr>
                        <w:t>2</w:t>
                      </w:r>
                      <w:r>
                        <w:rPr>
                          <w:sz w:val="28"/>
                        </w:rPr>
                        <w:t>×</w:t>
                      </w:r>
                      <w:r>
                        <w:rPr>
                          <w:rFonts w:ascii="Times New Roman" w:hAnsi="Times New Roman" w:eastAsia="Times New Roman"/>
                          <w:sz w:val="28"/>
                        </w:rPr>
                        <w:t xml:space="preserve">35 </w:t>
                      </w:r>
                      <w:r>
                        <w:rPr>
                          <w:spacing w:val="-5"/>
                          <w:sz w:val="28"/>
                        </w:rPr>
                        <w:t>万千瓦煤矸石综合利用长输供热管网项目、公共服务设施综合馆项目、鲁南高科技化工园区基础设施综合提升项目、城区排水防涝改造工程、临湖路与青啤大道连接工程、滕州经济开发区产业园基础设施建设工程</w:t>
                      </w:r>
                    </w:p>
                  </w:txbxContent>
                </v:textbox>
                <w10:wrap type="none"/>
                <w10:anchorlock/>
              </v:shape>
            </w:pict>
          </mc:Fallback>
        </mc:AlternateContent>
      </w:r>
    </w:p>
    <w:p>
      <w:pPr>
        <w:pStyle w:val="3"/>
        <w:spacing w:before="4"/>
        <w:ind w:left="0"/>
        <w:rPr>
          <w:sz w:val="15"/>
        </w:rPr>
      </w:pPr>
    </w:p>
    <w:p>
      <w:pPr>
        <w:pStyle w:val="3"/>
        <w:tabs>
          <w:tab w:val="left" w:pos="1279"/>
        </w:tabs>
        <w:spacing w:before="54"/>
        <w:ind w:left="0" w:right="77"/>
        <w:jc w:val="center"/>
        <w:rPr>
          <w:rFonts w:hint="eastAsia" w:ascii="黑体" w:eastAsia="黑体"/>
        </w:rPr>
      </w:pPr>
      <w:bookmarkStart w:id="41" w:name="第九章  推动绿色发展，持续改善环境质量"/>
      <w:bookmarkEnd w:id="41"/>
      <w:r>
        <w:rPr>
          <w:rFonts w:hint="eastAsia" w:ascii="黑体" w:eastAsia="黑体"/>
        </w:rPr>
        <w:t>第九章</w:t>
      </w:r>
      <w:r>
        <w:rPr>
          <w:rFonts w:hint="eastAsia" w:ascii="黑体" w:eastAsia="黑体"/>
        </w:rPr>
        <w:tab/>
      </w:r>
      <w:r>
        <w:rPr>
          <w:rFonts w:hint="eastAsia" w:ascii="黑体" w:eastAsia="黑体"/>
        </w:rPr>
        <w:t>推动绿色发展，持续改善环境质量</w:t>
      </w:r>
    </w:p>
    <w:p>
      <w:pPr>
        <w:pStyle w:val="3"/>
        <w:spacing w:before="149" w:line="328" w:lineRule="auto"/>
        <w:ind w:right="397" w:firstLine="638"/>
        <w:jc w:val="both"/>
      </w:pPr>
      <w:r>
        <w:rPr>
          <w:spacing w:val="-12"/>
        </w:rPr>
        <w:t>践行“绿水青山就是金山银山”理念，深入实施可持续发</w:t>
      </w:r>
      <w:r>
        <w:rPr>
          <w:spacing w:val="-13"/>
        </w:rPr>
        <w:t>展战略，统筹山水林田湖草一体化治理，推动经济社会发展全面绿色转型，促进人与自然和谐共生。</w:t>
      </w:r>
    </w:p>
    <w:p>
      <w:pPr>
        <w:pStyle w:val="3"/>
        <w:tabs>
          <w:tab w:val="left" w:pos="1279"/>
        </w:tabs>
        <w:spacing w:before="57"/>
        <w:ind w:left="0" w:right="80"/>
        <w:jc w:val="center"/>
        <w:rPr>
          <w:rFonts w:hint="eastAsia" w:ascii="宋体" w:eastAsia="宋体"/>
        </w:rPr>
      </w:pPr>
      <w:bookmarkStart w:id="42" w:name="第一节  全面加强生态保护修复"/>
      <w:bookmarkEnd w:id="42"/>
      <w:r>
        <w:rPr>
          <w:rFonts w:hint="eastAsia" w:ascii="宋体" w:eastAsia="宋体"/>
        </w:rPr>
        <w:t>第一节</w:t>
      </w:r>
      <w:r>
        <w:rPr>
          <w:rFonts w:hint="eastAsia" w:ascii="宋体" w:eastAsia="宋体"/>
        </w:rPr>
        <w:tab/>
      </w:r>
      <w:r>
        <w:rPr>
          <w:rFonts w:hint="eastAsia" w:ascii="宋体" w:eastAsia="宋体"/>
        </w:rPr>
        <w:t>全面加强生态保护修复</w:t>
      </w:r>
    </w:p>
    <w:p>
      <w:pPr>
        <w:pStyle w:val="3"/>
        <w:spacing w:before="152" w:line="328" w:lineRule="auto"/>
        <w:ind w:right="230" w:firstLine="638"/>
        <w:jc w:val="both"/>
      </w:pPr>
      <w:r>
        <w:rPr>
          <w:spacing w:val="-12"/>
        </w:rPr>
        <w:t>坚持节约优先、保护优先、自然恢复为主，全面提升生态</w:t>
      </w:r>
      <w:r>
        <w:rPr>
          <w:spacing w:val="-25"/>
          <w:w w:val="99"/>
        </w:rPr>
        <w:t>环境质量与生态承载能力。全面落实“河长制”“湖长制”“林</w:t>
      </w:r>
      <w:r>
        <w:rPr>
          <w:spacing w:val="-14"/>
        </w:rPr>
        <w:t>长制”，加强水土流失和小流域治理，推动河湖“清四乱”常</w:t>
      </w:r>
      <w:r>
        <w:rPr>
          <w:spacing w:val="-15"/>
        </w:rPr>
        <w:t>态化规范化，打造美丽幸福河湖。大力实施山水林田湖草综合</w:t>
      </w:r>
      <w:r>
        <w:rPr>
          <w:spacing w:val="-14"/>
        </w:rPr>
        <w:t>治理，分步骤实施河流、湿地生态修复工程，在界河、城河等 5</w:t>
      </w:r>
      <w:r>
        <w:rPr>
          <w:spacing w:val="-12"/>
        </w:rPr>
        <w:t xml:space="preserve"> 条骨干河道和小魏河等小型河道建设堤防绿化林带，推动河</w:t>
      </w:r>
      <w:r>
        <w:rPr>
          <w:spacing w:val="-17"/>
        </w:rPr>
        <w:t>湖流域生态状况持续改善。开展全域土地综合整治，围绕促进</w:t>
      </w:r>
      <w:r>
        <w:rPr>
          <w:spacing w:val="-19"/>
        </w:rPr>
        <w:t>乡村振兴和生态文明建设，谋划实施三区两线沿线破损山体修</w:t>
      </w:r>
      <w:r>
        <w:rPr>
          <w:spacing w:val="-14"/>
        </w:rPr>
        <w:t>复、采煤塌陷地整理重点保护工程。全面实施自然保护地整合优化，细化管控措施，科学界定自然保护地范围，加强和改进</w:t>
      </w:r>
      <w:r>
        <w:rPr>
          <w:spacing w:val="-16"/>
        </w:rPr>
        <w:t>自然保护地管理，建成分类科学、布局合理、保护有力、管理</w:t>
      </w:r>
      <w:r>
        <w:rPr>
          <w:spacing w:val="-19"/>
          <w:w w:val="95"/>
        </w:rPr>
        <w:t>有效、功能完备的自然保护地体系，让滕州的山更绿、水更清、</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t>天更蓝。</w:t>
      </w:r>
    </w:p>
    <w:p>
      <w:pPr>
        <w:pStyle w:val="3"/>
        <w:tabs>
          <w:tab w:val="left" w:pos="1279"/>
        </w:tabs>
        <w:spacing w:before="214"/>
        <w:ind w:left="0" w:right="80"/>
        <w:jc w:val="center"/>
        <w:rPr>
          <w:rFonts w:hint="eastAsia" w:ascii="宋体" w:eastAsia="宋体"/>
        </w:rPr>
      </w:pPr>
      <w:bookmarkStart w:id="43" w:name="第二节  推进重点污染系统治理"/>
      <w:bookmarkEnd w:id="43"/>
      <w:r>
        <w:rPr>
          <w:rFonts w:hint="eastAsia" w:ascii="宋体" w:eastAsia="宋体"/>
        </w:rPr>
        <w:t>第二节</w:t>
      </w:r>
      <w:r>
        <w:rPr>
          <w:rFonts w:hint="eastAsia" w:ascii="宋体" w:eastAsia="宋体"/>
        </w:rPr>
        <w:tab/>
      </w:r>
      <w:r>
        <w:rPr>
          <w:rFonts w:hint="eastAsia" w:ascii="宋体" w:eastAsia="宋体"/>
        </w:rPr>
        <w:t>推进重点污染系统治理</w:t>
      </w:r>
    </w:p>
    <w:p>
      <w:pPr>
        <w:pStyle w:val="3"/>
        <w:spacing w:before="149" w:line="328" w:lineRule="auto"/>
        <w:ind w:right="242" w:firstLine="638"/>
      </w:pPr>
      <w:r>
        <w:rPr>
          <w:spacing w:val="-8"/>
        </w:rPr>
        <w:t>坚持以改善生态环境质量为核心，突出精准治污、科学治</w:t>
      </w:r>
      <w:r>
        <w:rPr>
          <w:spacing w:val="-13"/>
        </w:rPr>
        <w:t>污、依法治污，探索可持续发展新路径，坚决保护好蓝天、碧水、净土。深入推进新一轮“四减四增”行动，实施工业源、</w:t>
      </w:r>
      <w:r>
        <w:rPr>
          <w:spacing w:val="-15"/>
        </w:rPr>
        <w:t>扬尘源、移动源三源联合治理，“一厂一策”修订重污染天气</w:t>
      </w:r>
      <w:r>
        <w:rPr>
          <w:spacing w:val="-17"/>
        </w:rPr>
        <w:t>应急减排清单，确保空气质量优良天数持续增加，污染物总量减排完成率不低于</w:t>
      </w:r>
      <w:r>
        <w:rPr>
          <w:spacing w:val="-84"/>
        </w:rPr>
        <w:t xml:space="preserve"> </w:t>
      </w:r>
      <w:r>
        <w:rPr>
          <w:spacing w:val="6"/>
        </w:rPr>
        <w:t>10</w:t>
      </w:r>
      <w:r>
        <w:rPr>
          <w:spacing w:val="11"/>
          <w:w w:val="99"/>
        </w:rPr>
        <w:drawing>
          <wp:inline distT="0" distB="0" distL="0" distR="0">
            <wp:extent cx="85090" cy="154940"/>
            <wp:effectExtent l="0" t="0" r="0" b="0"/>
            <wp:docPr id="63"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3"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3"/>
        </w:rPr>
        <w:t>。</w:t>
      </w:r>
      <w:r>
        <w:t>统筹水资源</w:t>
      </w:r>
      <w:r>
        <w:rPr>
          <w:spacing w:val="-53"/>
        </w:rPr>
        <w:t>、</w:t>
      </w:r>
      <w:r>
        <w:t>水生态</w:t>
      </w:r>
      <w:r>
        <w:rPr>
          <w:spacing w:val="-53"/>
        </w:rPr>
        <w:t>、</w:t>
      </w:r>
      <w:r>
        <w:t>水环</w:t>
      </w:r>
      <w:r>
        <w:rPr>
          <w:spacing w:val="-55"/>
        </w:rPr>
        <w:t>境</w:t>
      </w:r>
      <w:r>
        <w:t xml:space="preserve">“三水” </w:t>
      </w:r>
      <w:r>
        <w:rPr>
          <w:spacing w:val="-13"/>
        </w:rPr>
        <w:t>治理，完成城区第四污水处理厂、氟化物污水处理站等治污工</w:t>
      </w:r>
      <w:r>
        <w:rPr>
          <w:spacing w:val="-15"/>
        </w:rPr>
        <w:t xml:space="preserve">程建设，加快农村畜禽养殖、农村面源污染防治，推进秸秆和畜禽养殖废弃物处理和资源化利用，强化农村生活污水治理， </w:t>
      </w:r>
      <w:r>
        <w:rPr>
          <w:spacing w:val="-19"/>
        </w:rPr>
        <w:t>加快城乡黑臭水体综合整治工作，推进“美丽河湖”建设，持</w:t>
      </w:r>
      <w:r>
        <w:rPr>
          <w:spacing w:val="-20"/>
        </w:rPr>
        <w:t>续改善区域水生态环境质量；抓好饮用水水源地的保护和监管</w:t>
      </w:r>
      <w:r>
        <w:rPr>
          <w:spacing w:val="-14"/>
        </w:rPr>
        <w:t>工作，确保集中式饮用水水源地水质稳定达到或优于《地表水</w:t>
      </w:r>
      <w:r>
        <w:rPr>
          <w:spacing w:val="-15"/>
        </w:rPr>
        <w:t>环境质量》Ⅲ类标准。守住土壤安全利用、农产品质量安全底</w:t>
      </w:r>
      <w:r>
        <w:rPr>
          <w:spacing w:val="-13"/>
        </w:rPr>
        <w:t>线，强化源头管控，以危险废物安全利用处置为监管重点，严</w:t>
      </w:r>
      <w:r>
        <w:rPr>
          <w:spacing w:val="-19"/>
        </w:rPr>
        <w:t>厉打击倾倒有毒有害物质的环境违法行为，推进建设用地风险管控和治理修复，巩固和严防土壤污染风险，确保吃得放心、</w:t>
      </w:r>
      <w:r>
        <w:rPr>
          <w:spacing w:val="-16"/>
        </w:rPr>
        <w:t>住得安心。完善生态环境监管、科技治污体系，建设具备一屏</w:t>
      </w:r>
      <w:r>
        <w:rPr>
          <w:spacing w:val="-14"/>
        </w:rPr>
        <w:t>展示、及时预警、自动分析、锁定打击等功能于一体的环境信</w:t>
      </w:r>
      <w:r>
        <w:rPr>
          <w:spacing w:val="-15"/>
        </w:rPr>
        <w:t>息平台，推进线上监控与线下监管有机融合，实现污染点位全</w:t>
      </w:r>
      <w:r>
        <w:rPr>
          <w:spacing w:val="-20"/>
          <w:w w:val="95"/>
        </w:rPr>
        <w:t xml:space="preserve">天候、无缝隙管控，有效提升科学防治水平。统筹推进山、水、 </w:t>
      </w:r>
      <w:r>
        <w:rPr>
          <w:spacing w:val="-14"/>
        </w:rPr>
        <w:t>林、田、湖、草生命共同体建设，抓好森林质量精准提升、水</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jc w:val="both"/>
      </w:pPr>
      <w:r>
        <w:rPr>
          <w:spacing w:val="-12"/>
          <w:w w:val="95"/>
        </w:rPr>
        <w:t xml:space="preserve">系生态治理、森林资源保护利用、农田防护林建设、湿地生态 </w:t>
      </w:r>
      <w:r>
        <w:rPr>
          <w:spacing w:val="-14"/>
          <w:w w:val="95"/>
        </w:rPr>
        <w:t xml:space="preserve">修复、破损山体修复等项目，深入推进国土绿化行动，新增造 </w:t>
      </w:r>
      <w:r>
        <w:rPr>
          <w:spacing w:val="5"/>
        </w:rPr>
        <w:t>林</w:t>
      </w:r>
      <w:r>
        <w:rPr>
          <w:spacing w:val="7"/>
        </w:rPr>
        <w:t>面</w:t>
      </w:r>
      <w:r>
        <w:t>积</w:t>
      </w:r>
      <w:r>
        <w:rPr>
          <w:spacing w:val="-81"/>
        </w:rPr>
        <w:t xml:space="preserve"> </w:t>
      </w:r>
      <w:r>
        <w:t>3.15</w:t>
      </w:r>
      <w:r>
        <w:rPr>
          <w:spacing w:val="-80"/>
        </w:rPr>
        <w:t xml:space="preserve"> </w:t>
      </w:r>
      <w:r>
        <w:rPr>
          <w:spacing w:val="5"/>
        </w:rPr>
        <w:t>万</w:t>
      </w:r>
      <w:r>
        <w:rPr>
          <w:spacing w:val="7"/>
        </w:rPr>
        <w:t>亩</w:t>
      </w:r>
      <w:r>
        <w:rPr>
          <w:spacing w:val="5"/>
        </w:rPr>
        <w:t>，林</w:t>
      </w:r>
      <w:r>
        <w:rPr>
          <w:spacing w:val="7"/>
        </w:rPr>
        <w:t>木</w:t>
      </w:r>
      <w:r>
        <w:rPr>
          <w:spacing w:val="5"/>
        </w:rPr>
        <w:t>覆盖率</w:t>
      </w:r>
      <w:r>
        <w:rPr>
          <w:spacing w:val="7"/>
        </w:rPr>
        <w:t>提</w:t>
      </w:r>
      <w:r>
        <w:rPr>
          <w:spacing w:val="5"/>
        </w:rPr>
        <w:t>高</w:t>
      </w:r>
      <w:r>
        <w:t>到</w:t>
      </w:r>
      <w:r>
        <w:rPr>
          <w:spacing w:val="-81"/>
        </w:rPr>
        <w:t xml:space="preserve"> </w:t>
      </w:r>
      <w:r>
        <w:rPr>
          <w:spacing w:val="2"/>
        </w:rPr>
        <w:t>32.5</w:t>
      </w:r>
      <w:r>
        <w:rPr>
          <w:spacing w:val="11"/>
          <w:w w:val="99"/>
        </w:rPr>
        <w:drawing>
          <wp:inline distT="0" distB="0" distL="0" distR="0">
            <wp:extent cx="85090" cy="154940"/>
            <wp:effectExtent l="0" t="0" r="0" b="0"/>
            <wp:docPr id="65"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5"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rPr>
          <w:spacing w:val="5"/>
        </w:rPr>
        <w:t>，</w:t>
      </w:r>
      <w:r>
        <w:rPr>
          <w:spacing w:val="7"/>
        </w:rPr>
        <w:t>打</w:t>
      </w:r>
      <w:r>
        <w:rPr>
          <w:spacing w:val="5"/>
        </w:rPr>
        <w:t>造生</w:t>
      </w:r>
      <w:r>
        <w:rPr>
          <w:spacing w:val="7"/>
        </w:rPr>
        <w:t>态</w:t>
      </w:r>
      <w:r>
        <w:rPr>
          <w:spacing w:val="5"/>
        </w:rPr>
        <w:t>宜</w:t>
      </w:r>
      <w:r>
        <w:t>居家园。</w:t>
      </w:r>
    </w:p>
    <w:p>
      <w:pPr>
        <w:pStyle w:val="3"/>
        <w:tabs>
          <w:tab w:val="left" w:pos="1279"/>
        </w:tabs>
        <w:spacing w:before="57"/>
        <w:ind w:left="0" w:right="80"/>
        <w:jc w:val="center"/>
        <w:rPr>
          <w:rFonts w:hint="eastAsia" w:ascii="宋体" w:eastAsia="宋体"/>
        </w:rPr>
      </w:pPr>
      <w:bookmarkStart w:id="44" w:name="第三节  强化资源节约集约利用"/>
      <w:bookmarkEnd w:id="44"/>
      <w:r>
        <w:rPr>
          <w:rFonts w:hint="eastAsia" w:ascii="宋体" w:eastAsia="宋体"/>
        </w:rPr>
        <w:t>第三节</w:t>
      </w:r>
      <w:r>
        <w:rPr>
          <w:rFonts w:hint="eastAsia" w:ascii="宋体" w:eastAsia="宋体"/>
        </w:rPr>
        <w:tab/>
      </w:r>
      <w:r>
        <w:rPr>
          <w:rFonts w:hint="eastAsia" w:ascii="宋体" w:eastAsia="宋体"/>
        </w:rPr>
        <w:t>强化资源节约集约利用</w:t>
      </w:r>
    </w:p>
    <w:p>
      <w:pPr>
        <w:pStyle w:val="3"/>
        <w:spacing w:before="150" w:line="328" w:lineRule="auto"/>
        <w:ind w:right="242" w:firstLine="638"/>
      </w:pPr>
      <w:r>
        <w:rPr>
          <w:spacing w:val="-7"/>
        </w:rPr>
        <w:t>落实自然资源资产产权制度和用途管制制度，推进各类自</w:t>
      </w:r>
      <w:r>
        <w:rPr>
          <w:spacing w:val="-15"/>
        </w:rPr>
        <w:t>然资源有效保护、有序开发和高效利用。落实最严格的耕地保</w:t>
      </w:r>
      <w:r>
        <w:rPr>
          <w:spacing w:val="-19"/>
        </w:rPr>
        <w:t>护制度和节约集约用地制度，提升土地资源对经济社会发展的</w:t>
      </w:r>
      <w:r>
        <w:rPr>
          <w:spacing w:val="-15"/>
        </w:rPr>
        <w:t>承载能力，促进生态文明建设。按照布局集中、产业集聚、节</w:t>
      </w:r>
      <w:r>
        <w:rPr>
          <w:spacing w:val="-17"/>
        </w:rPr>
        <w:t>约集约的原则，加强产业规划和国土空间规划的衔接，优化空</w:t>
      </w:r>
      <w:r>
        <w:rPr>
          <w:spacing w:val="-15"/>
        </w:rPr>
        <w:t xml:space="preserve">间布局，突出产业功能，统筹产业集聚区建设，引导综合设施合理设置、开放共享。坚持以产业发展为主，加强规划引领， </w:t>
      </w:r>
      <w:r>
        <w:rPr>
          <w:spacing w:val="-19"/>
        </w:rPr>
        <w:t>发展以产业链为纽带的多层次、多样化产业空间载体，提高产</w:t>
      </w:r>
      <w:r>
        <w:rPr>
          <w:spacing w:val="-26"/>
        </w:rPr>
        <w:t xml:space="preserve">业发展集聚度和土地投入产出率，促进单位 </w:t>
      </w:r>
      <w:r>
        <w:t>GDP</w:t>
      </w:r>
      <w:r>
        <w:rPr>
          <w:spacing w:val="-13"/>
        </w:rPr>
        <w:t xml:space="preserve"> 建设用地使用</w:t>
      </w:r>
      <w:r>
        <w:rPr>
          <w:spacing w:val="-15"/>
        </w:rPr>
        <w:t>面积下降，实现土地高效利用。不断深化土地资源要素市场化</w:t>
      </w:r>
      <w:r>
        <w:rPr>
          <w:spacing w:val="-16"/>
        </w:rPr>
        <w:t>配置改革，健全完善“标准地”制度体系，继续优化工业项目</w:t>
      </w:r>
      <w:r>
        <w:rPr>
          <w:spacing w:val="-15"/>
        </w:rPr>
        <w:t>“标准地”供应流程各个环节，提高“标准地”供地占比。加</w:t>
      </w:r>
      <w:r>
        <w:rPr>
          <w:spacing w:val="-18"/>
        </w:rPr>
        <w:t>大低效闲置土地盘活力度，鼓励土地使用者在符合规划的前提</w:t>
      </w:r>
      <w:r>
        <w:rPr>
          <w:spacing w:val="-14"/>
        </w:rPr>
        <w:t>下，通过厂房加层、厂区改造、内部用地整理等途径提高土地利用率。招商引资、项目选址优先使用存量土地。推进低效用</w:t>
      </w:r>
      <w:r>
        <w:rPr>
          <w:spacing w:val="-15"/>
        </w:rPr>
        <w:t>地再开发，加大财税金融支持，除由政府按照有关规定统一开</w:t>
      </w:r>
      <w:r>
        <w:rPr>
          <w:spacing w:val="-20"/>
          <w:w w:val="95"/>
        </w:rPr>
        <w:t xml:space="preserve">发改造外，鼓励原土地权利人通过自主、联营等方式进行盘活， </w:t>
      </w:r>
      <w:r>
        <w:rPr>
          <w:spacing w:val="-21"/>
        </w:rPr>
        <w:t>促进土地循环和节约集约利用。加大矿产资源保护力度，科学</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66"/>
      </w:pPr>
      <w:r>
        <w:rPr>
          <w:spacing w:val="-8"/>
        </w:rPr>
        <w:t>划定允许开采区和禁止开采区，合理设置矿权，严格审批和监</w:t>
      </w:r>
      <w:r>
        <w:rPr>
          <w:spacing w:val="-15"/>
        </w:rPr>
        <w:t>管矿产资源勘查开采活动，构筑与我市经济发展相适应和工业</w:t>
      </w:r>
      <w:r>
        <w:rPr>
          <w:spacing w:val="-21"/>
        </w:rPr>
        <w:t xml:space="preserve">战略布局相协调的矿产资源开发利用区域布局。巩固国家节水型城市创建成果，健全年度取用水总量和强度控制指标体系， </w:t>
      </w:r>
      <w:r>
        <w:t>加强公共领域节水。</w:t>
      </w:r>
    </w:p>
    <w:p>
      <w:pPr>
        <w:pStyle w:val="3"/>
        <w:tabs>
          <w:tab w:val="left" w:pos="1279"/>
        </w:tabs>
        <w:spacing w:before="55"/>
        <w:ind w:left="0" w:right="80"/>
        <w:jc w:val="center"/>
        <w:rPr>
          <w:rFonts w:hint="eastAsia" w:ascii="宋体" w:eastAsia="宋体"/>
        </w:rPr>
      </w:pPr>
      <w:bookmarkStart w:id="45" w:name="第四节  加快推动绿色低碳发展"/>
      <w:bookmarkEnd w:id="45"/>
      <w:r>
        <w:rPr>
          <w:rFonts w:hint="eastAsia" w:ascii="宋体" w:eastAsia="宋体"/>
        </w:rPr>
        <w:t>第四节</w:t>
      </w:r>
      <w:r>
        <w:rPr>
          <w:rFonts w:hint="eastAsia" w:ascii="宋体" w:eastAsia="宋体"/>
        </w:rPr>
        <w:tab/>
      </w:r>
      <w:r>
        <w:rPr>
          <w:rFonts w:hint="eastAsia" w:ascii="宋体" w:eastAsia="宋体"/>
        </w:rPr>
        <w:t>加快推动绿色低碳发展</w:t>
      </w:r>
    </w:p>
    <w:p>
      <w:pPr>
        <w:pStyle w:val="3"/>
        <w:spacing w:before="149" w:line="328" w:lineRule="auto"/>
        <w:ind w:right="242" w:firstLine="638"/>
      </w:pPr>
      <w:r>
        <w:rPr>
          <w:spacing w:val="-9"/>
        </w:rPr>
        <w:t>落实国土空间开发保护制度，以空间规划为基础、以用途</w:t>
      </w:r>
      <w:r>
        <w:rPr>
          <w:spacing w:val="-20"/>
          <w:w w:val="95"/>
        </w:rPr>
        <w:t xml:space="preserve">管制为手段，科学合理优化空间布局，守住自然生态安全边界。 </w:t>
      </w:r>
      <w:r>
        <w:rPr>
          <w:spacing w:val="-21"/>
        </w:rPr>
        <w:t>健全绿色发展考核评价制度，落实绿色发展责任。做好矿业领</w:t>
      </w:r>
      <w:r>
        <w:rPr>
          <w:spacing w:val="-18"/>
        </w:rPr>
        <w:t>域生态文明建设，加快矿业转型升级和绿色发展，大力实施绿</w:t>
      </w:r>
      <w:r>
        <w:rPr>
          <w:spacing w:val="-17"/>
        </w:rPr>
        <w:t>色矿山建设，全力打造集约高效、环境友好、矿地和谐的国家</w:t>
      </w:r>
      <w:r>
        <w:rPr>
          <w:spacing w:val="-18"/>
        </w:rPr>
        <w:t>绿色矿业发展示范区。完善高耗能行业差别化政策，实施煤炭</w:t>
      </w:r>
      <w:r>
        <w:rPr>
          <w:spacing w:val="-21"/>
          <w:w w:val="95"/>
        </w:rPr>
        <w:t xml:space="preserve">总量控制、清洁能源倍增行动，积极推进能源生产和消费革命。 </w:t>
      </w:r>
      <w:r>
        <w:rPr>
          <w:spacing w:val="-19"/>
        </w:rPr>
        <w:t>支持绿色技术创新，发展壮大环保产业，加快重点行业和重点</w:t>
      </w:r>
      <w:r>
        <w:rPr>
          <w:spacing w:val="-17"/>
        </w:rPr>
        <w:t>领域绿色化改造。引导企业进行生态技术改造和清洁生产，深</w:t>
      </w:r>
      <w:r>
        <w:rPr>
          <w:spacing w:val="-19"/>
        </w:rPr>
        <w:t>入开展清洁生产试点示范。推广“无废城市”建设，实现垃圾</w:t>
      </w:r>
      <w:r>
        <w:rPr>
          <w:spacing w:val="-18"/>
        </w:rPr>
        <w:t>分类处置全覆盖。统筹推动产业结构、能源结构、交通结构等</w:t>
      </w:r>
      <w:r>
        <w:rPr>
          <w:spacing w:val="-14"/>
        </w:rPr>
        <w:t>调整，开展绿色生活创建行动，促进低碳生产、低碳建筑、低碳生活。实施碳排放控制，重点针对火电、水泥、焦化、玻璃</w:t>
      </w:r>
      <w:r>
        <w:rPr>
          <w:spacing w:val="-8"/>
          <w:w w:val="99"/>
        </w:rPr>
        <w:t>等行业开展降碳治理，全面推动市场化“碳交易”，推进碳达</w:t>
      </w:r>
      <w:r>
        <w:rPr>
          <w:spacing w:val="6"/>
        </w:rPr>
        <w:t>峰和环境质量达标协同管理，以低碳环保引领推动高质量发</w:t>
      </w:r>
      <w:r>
        <w:rPr>
          <w:spacing w:val="-14"/>
        </w:rPr>
        <w:t>展。提升天然气、空气能、风能、地热能及其他清洁能源使用比例，大力推广新能源汽车。</w:t>
      </w:r>
    </w:p>
    <w:p>
      <w:pPr>
        <w:spacing w:after="0" w:line="328" w:lineRule="auto"/>
        <w:sectPr>
          <w:pgSz w:w="11910" w:h="16840"/>
          <w:pgMar w:top="1580" w:right="1300" w:bottom="1540" w:left="1380" w:header="0" w:footer="1346" w:gutter="0"/>
          <w:cols w:space="720" w:num="1"/>
        </w:sectPr>
      </w:pPr>
    </w:p>
    <w:p>
      <w:pPr>
        <w:pStyle w:val="3"/>
        <w:spacing w:before="8" w:after="1"/>
        <w:ind w:left="0"/>
        <w:rPr>
          <w:sz w:val="16"/>
        </w:rPr>
      </w:pPr>
    </w:p>
    <w:p>
      <w:pPr>
        <w:pStyle w:val="3"/>
        <w:ind w:left="307"/>
        <w:rPr>
          <w:sz w:val="20"/>
        </w:rPr>
      </w:pPr>
      <w:r>
        <w:rPr>
          <w:sz w:val="20"/>
        </w:rPr>
        <mc:AlternateContent>
          <mc:Choice Requires="wps">
            <w:drawing>
              <wp:inline distT="0" distB="0" distL="114300" distR="114300">
                <wp:extent cx="5411470" cy="1530350"/>
                <wp:effectExtent l="4445" t="4445" r="13335" b="8255"/>
                <wp:docPr id="36" name="文本框 24"/>
                <wp:cNvGraphicFramePr/>
                <a:graphic xmlns:a="http://schemas.openxmlformats.org/drawingml/2006/main">
                  <a:graphicData uri="http://schemas.microsoft.com/office/word/2010/wordprocessingShape">
                    <wps:wsp>
                      <wps:cNvSpPr txBox="true"/>
                      <wps:spPr>
                        <a:xfrm>
                          <a:off x="0" y="0"/>
                          <a:ext cx="5411470" cy="1530350"/>
                        </a:xfrm>
                        <a:prstGeom prst="rect">
                          <a:avLst/>
                        </a:prstGeom>
                        <a:noFill/>
                        <a:ln w="6096" cap="flat" cmpd="sng">
                          <a:solidFill>
                            <a:srgbClr val="000000"/>
                          </a:solidFill>
                          <a:prstDash val="solid"/>
                          <a:miter/>
                          <a:headEnd type="none" w="med" len="med"/>
                          <a:tailEnd type="none" w="med" len="med"/>
                        </a:ln>
                      </wps:spPr>
                      <wps:txbx>
                        <w:txbxContent>
                          <w:p>
                            <w:pPr>
                              <w:spacing w:before="40"/>
                              <w:ind w:left="2395" w:right="0" w:firstLine="0"/>
                              <w:jc w:val="both"/>
                              <w:rPr>
                                <w:b/>
                                <w:sz w:val="28"/>
                              </w:rPr>
                            </w:pPr>
                            <w:r>
                              <w:rPr>
                                <w:b/>
                                <w:spacing w:val="-25"/>
                                <w:sz w:val="28"/>
                              </w:rPr>
                              <w:t xml:space="preserve">专栏 </w:t>
                            </w:r>
                            <w:r>
                              <w:rPr>
                                <w:rFonts w:ascii="Times New Roman" w:eastAsia="Times New Roman"/>
                                <w:b/>
                                <w:sz w:val="28"/>
                              </w:rPr>
                              <w:t>14</w:t>
                            </w:r>
                            <w:r>
                              <w:rPr>
                                <w:rFonts w:ascii="Times New Roman" w:eastAsia="Times New Roman"/>
                                <w:b/>
                                <w:spacing w:val="69"/>
                                <w:sz w:val="28"/>
                              </w:rPr>
                              <w:t xml:space="preserve"> </w:t>
                            </w:r>
                            <w:r>
                              <w:rPr>
                                <w:b/>
                                <w:sz w:val="28"/>
                              </w:rPr>
                              <w:t>生态环境类重点项目</w:t>
                            </w:r>
                          </w:p>
                          <w:p>
                            <w:pPr>
                              <w:spacing w:before="42" w:line="266" w:lineRule="auto"/>
                              <w:ind w:left="103" w:right="100" w:firstLine="0"/>
                              <w:jc w:val="both"/>
                              <w:rPr>
                                <w:sz w:val="28"/>
                              </w:rPr>
                            </w:pPr>
                            <w:r>
                              <w:rPr>
                                <w:spacing w:val="-8"/>
                                <w:sz w:val="28"/>
                              </w:rPr>
                              <w:t>郭河和墨子湖中水回用及生态环境治理工程、北沙河小魏河小冯河生态湿地治理项目、垃圾填埋场扩容项目</w:t>
                            </w:r>
                            <w:r>
                              <w:rPr>
                                <w:sz w:val="28"/>
                              </w:rPr>
                              <w:t>（</w:t>
                            </w:r>
                            <w:r>
                              <w:rPr>
                                <w:spacing w:val="-3"/>
                                <w:sz w:val="28"/>
                              </w:rPr>
                              <w:t>飞灰填埋场建设</w:t>
                            </w:r>
                            <w:r>
                              <w:rPr>
                                <w:spacing w:val="-22"/>
                                <w:sz w:val="28"/>
                              </w:rPr>
                              <w:t>）</w:t>
                            </w:r>
                            <w:r>
                              <w:rPr>
                                <w:spacing w:val="-9"/>
                                <w:sz w:val="28"/>
                              </w:rPr>
                              <w:t>、第三污水处理厂配套管网提升改造工程、第四污水处理厂建设项目、城区一</w:t>
                            </w:r>
                            <w:r>
                              <w:rPr>
                                <w:spacing w:val="-10"/>
                                <w:sz w:val="28"/>
                              </w:rPr>
                              <w:t>二三污技改项目、华电</w:t>
                            </w:r>
                            <w:r>
                              <w:rPr>
                                <w:spacing w:val="-3"/>
                                <w:sz w:val="28"/>
                              </w:rPr>
                              <w:t>（</w:t>
                            </w:r>
                            <w:r>
                              <w:rPr>
                                <w:sz w:val="28"/>
                              </w:rPr>
                              <w:t>滕州</w:t>
                            </w:r>
                            <w:r>
                              <w:rPr>
                                <w:spacing w:val="-34"/>
                                <w:sz w:val="28"/>
                              </w:rPr>
                              <w:t>）</w:t>
                            </w:r>
                            <w:r>
                              <w:rPr>
                                <w:spacing w:val="-3"/>
                                <w:sz w:val="28"/>
                              </w:rPr>
                              <w:t>新源热电有限公司深度优化用水改造</w:t>
                            </w:r>
                          </w:p>
                          <w:p>
                            <w:pPr>
                              <w:spacing w:before="8"/>
                              <w:ind w:left="103" w:right="0" w:firstLine="0"/>
                              <w:jc w:val="left"/>
                              <w:rPr>
                                <w:sz w:val="28"/>
                              </w:rPr>
                            </w:pPr>
                            <w:r>
                              <w:rPr>
                                <w:sz w:val="28"/>
                              </w:rPr>
                              <w:t>项目、鲍沟中国玻璃城氟化物处理站项目、东郭镇水质净化项目</w:t>
                            </w:r>
                          </w:p>
                        </w:txbxContent>
                      </wps:txbx>
                      <wps:bodyPr lIns="0" tIns="0" rIns="0" bIns="0" upright="true"/>
                    </wps:wsp>
                  </a:graphicData>
                </a:graphic>
              </wp:inline>
            </w:drawing>
          </mc:Choice>
          <mc:Fallback>
            <w:pict>
              <v:shape id="文本框 24" o:spid="_x0000_s1026" o:spt="202" type="#_x0000_t202" style="height:120.5pt;width:426.1pt;" filled="f" stroked="t" coordsize="21600,21600" o:gfxdata="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Pzfxq/UAAAABQEAAA8AAAAAAAAA&#10;AQAgAAAAOAAAAGRycy9kb3ducmV2LnhtbFBLAQIUABQAAAAIAIdO4kCT0py3/wEAAOwDAAAOAAAA&#10;AAAAAAEAIAAAADkBAABkcnMvZTJvRG9jLnhtbFBLBQYAAAAABgAGAFkBAACqBQAAAAA=&#10;">
                <v:fill on="f" focussize="0,0"/>
                <v:stroke weight="0.48pt" color="#000000" joinstyle="miter"/>
                <v:imagedata o:title=""/>
                <o:lock v:ext="edit" aspectratio="f"/>
                <v:textbox inset="0mm,0mm,0mm,0mm">
                  <w:txbxContent>
                    <w:p>
                      <w:pPr>
                        <w:spacing w:before="40"/>
                        <w:ind w:left="2395" w:right="0" w:firstLine="0"/>
                        <w:jc w:val="both"/>
                        <w:rPr>
                          <w:b/>
                          <w:sz w:val="28"/>
                        </w:rPr>
                      </w:pPr>
                      <w:r>
                        <w:rPr>
                          <w:b/>
                          <w:spacing w:val="-25"/>
                          <w:sz w:val="28"/>
                        </w:rPr>
                        <w:t xml:space="preserve">专栏 </w:t>
                      </w:r>
                      <w:r>
                        <w:rPr>
                          <w:rFonts w:ascii="Times New Roman" w:eastAsia="Times New Roman"/>
                          <w:b/>
                          <w:sz w:val="28"/>
                        </w:rPr>
                        <w:t>14</w:t>
                      </w:r>
                      <w:r>
                        <w:rPr>
                          <w:rFonts w:ascii="Times New Roman" w:eastAsia="Times New Roman"/>
                          <w:b/>
                          <w:spacing w:val="69"/>
                          <w:sz w:val="28"/>
                        </w:rPr>
                        <w:t xml:space="preserve"> </w:t>
                      </w:r>
                      <w:r>
                        <w:rPr>
                          <w:b/>
                          <w:sz w:val="28"/>
                        </w:rPr>
                        <w:t>生态环境类重点项目</w:t>
                      </w:r>
                    </w:p>
                    <w:p>
                      <w:pPr>
                        <w:spacing w:before="42" w:line="266" w:lineRule="auto"/>
                        <w:ind w:left="103" w:right="100" w:firstLine="0"/>
                        <w:jc w:val="both"/>
                        <w:rPr>
                          <w:sz w:val="28"/>
                        </w:rPr>
                      </w:pPr>
                      <w:r>
                        <w:rPr>
                          <w:spacing w:val="-8"/>
                          <w:sz w:val="28"/>
                        </w:rPr>
                        <w:t>郭河和墨子湖中水回用及生态环境治理工程、北沙河小魏河小冯河生态湿地治理项目、垃圾填埋场扩容项目</w:t>
                      </w:r>
                      <w:r>
                        <w:rPr>
                          <w:sz w:val="28"/>
                        </w:rPr>
                        <w:t>（</w:t>
                      </w:r>
                      <w:r>
                        <w:rPr>
                          <w:spacing w:val="-3"/>
                          <w:sz w:val="28"/>
                        </w:rPr>
                        <w:t>飞灰填埋场建设</w:t>
                      </w:r>
                      <w:r>
                        <w:rPr>
                          <w:spacing w:val="-22"/>
                          <w:sz w:val="28"/>
                        </w:rPr>
                        <w:t>）</w:t>
                      </w:r>
                      <w:r>
                        <w:rPr>
                          <w:spacing w:val="-9"/>
                          <w:sz w:val="28"/>
                        </w:rPr>
                        <w:t>、第三污水处理厂配套管网提升改造工程、第四污水处理厂建设项目、城区一</w:t>
                      </w:r>
                      <w:r>
                        <w:rPr>
                          <w:spacing w:val="-10"/>
                          <w:sz w:val="28"/>
                        </w:rPr>
                        <w:t>二三污技改项目、华电</w:t>
                      </w:r>
                      <w:r>
                        <w:rPr>
                          <w:spacing w:val="-3"/>
                          <w:sz w:val="28"/>
                        </w:rPr>
                        <w:t>（</w:t>
                      </w:r>
                      <w:r>
                        <w:rPr>
                          <w:sz w:val="28"/>
                        </w:rPr>
                        <w:t>滕州</w:t>
                      </w:r>
                      <w:r>
                        <w:rPr>
                          <w:spacing w:val="-34"/>
                          <w:sz w:val="28"/>
                        </w:rPr>
                        <w:t>）</w:t>
                      </w:r>
                      <w:r>
                        <w:rPr>
                          <w:spacing w:val="-3"/>
                          <w:sz w:val="28"/>
                        </w:rPr>
                        <w:t>新源热电有限公司深度优化用水改造</w:t>
                      </w:r>
                    </w:p>
                    <w:p>
                      <w:pPr>
                        <w:spacing w:before="8"/>
                        <w:ind w:left="103" w:right="0" w:firstLine="0"/>
                        <w:jc w:val="left"/>
                        <w:rPr>
                          <w:sz w:val="28"/>
                        </w:rPr>
                      </w:pPr>
                      <w:r>
                        <w:rPr>
                          <w:sz w:val="28"/>
                        </w:rPr>
                        <w:t>项目、鲍沟中国玻璃城氟化物处理站项目、东郭镇水质净化项目</w:t>
                      </w:r>
                    </w:p>
                  </w:txbxContent>
                </v:textbox>
                <w10:wrap type="none"/>
                <w10:anchorlock/>
              </v:shape>
            </w:pict>
          </mc:Fallback>
        </mc:AlternateContent>
      </w:r>
    </w:p>
    <w:p>
      <w:pPr>
        <w:pStyle w:val="3"/>
        <w:spacing w:before="3"/>
        <w:ind w:left="0"/>
        <w:rPr>
          <w:sz w:val="15"/>
        </w:rPr>
      </w:pPr>
    </w:p>
    <w:p>
      <w:pPr>
        <w:pStyle w:val="3"/>
        <w:tabs>
          <w:tab w:val="left" w:pos="1281"/>
        </w:tabs>
        <w:spacing w:before="54"/>
        <w:ind w:left="0" w:right="80"/>
        <w:jc w:val="center"/>
        <w:rPr>
          <w:rFonts w:hint="eastAsia" w:ascii="黑体" w:eastAsia="黑体"/>
        </w:rPr>
      </w:pPr>
      <w:bookmarkStart w:id="46" w:name="第十章  提高公共服务水平，推动社会事业迈上新台阶"/>
      <w:bookmarkEnd w:id="46"/>
      <w:r>
        <w:rPr>
          <w:rFonts w:hint="eastAsia" w:ascii="黑体" w:eastAsia="黑体"/>
        </w:rPr>
        <w:t>第十章</w:t>
      </w:r>
      <w:r>
        <w:rPr>
          <w:rFonts w:hint="eastAsia" w:ascii="黑体" w:eastAsia="黑体"/>
        </w:rPr>
        <w:tab/>
      </w:r>
      <w:r>
        <w:rPr>
          <w:rFonts w:hint="eastAsia" w:ascii="黑体" w:eastAsia="黑体"/>
        </w:rPr>
        <w:t>提高公共服务水平，推动社会事业迈上新台阶</w:t>
      </w:r>
    </w:p>
    <w:p>
      <w:pPr>
        <w:pStyle w:val="3"/>
        <w:spacing w:before="152" w:line="326" w:lineRule="auto"/>
        <w:ind w:right="399" w:firstLine="638"/>
        <w:jc w:val="both"/>
      </w:pPr>
      <w:r>
        <w:rPr>
          <w:spacing w:val="-9"/>
        </w:rPr>
        <w:t>始终坚持以人民为中心的发展思想，在发展中保障和改善</w:t>
      </w:r>
      <w:r>
        <w:rPr>
          <w:spacing w:val="-13"/>
          <w:w w:val="95"/>
        </w:rPr>
        <w:t xml:space="preserve">民生，着力解决人民群众所需所急所盼，使人民获得感、幸福 </w:t>
      </w:r>
      <w:r>
        <w:rPr>
          <w:spacing w:val="-13"/>
        </w:rPr>
        <w:t>感、安全感更加充实、更有保障、更可持续。</w:t>
      </w:r>
    </w:p>
    <w:p>
      <w:pPr>
        <w:pStyle w:val="3"/>
        <w:tabs>
          <w:tab w:val="left" w:pos="1279"/>
        </w:tabs>
        <w:spacing w:before="70"/>
        <w:ind w:left="0" w:right="80"/>
        <w:jc w:val="center"/>
        <w:rPr>
          <w:rFonts w:hint="eastAsia" w:ascii="宋体" w:eastAsia="宋体"/>
        </w:rPr>
      </w:pPr>
      <w:bookmarkStart w:id="47" w:name="第一节  推进教育均衡优质发展"/>
      <w:bookmarkEnd w:id="47"/>
      <w:r>
        <w:rPr>
          <w:rFonts w:hint="eastAsia" w:ascii="宋体" w:eastAsia="宋体"/>
        </w:rPr>
        <w:t>第一节</w:t>
      </w:r>
      <w:r>
        <w:rPr>
          <w:rFonts w:hint="eastAsia" w:ascii="宋体" w:eastAsia="宋体"/>
        </w:rPr>
        <w:tab/>
      </w:r>
      <w:r>
        <w:rPr>
          <w:rFonts w:hint="eastAsia" w:ascii="宋体" w:eastAsia="宋体"/>
        </w:rPr>
        <w:t>推进教育均衡优质发展</w:t>
      </w:r>
    </w:p>
    <w:p>
      <w:pPr>
        <w:pStyle w:val="3"/>
        <w:spacing w:before="149" w:line="328" w:lineRule="auto"/>
        <w:ind w:right="399" w:firstLine="638"/>
        <w:jc w:val="both"/>
      </w:pPr>
      <w:r>
        <w:rPr>
          <w:spacing w:val="-10"/>
        </w:rPr>
        <w:t>全面贯彻党的教育方针，落实立德树人根本任务，促进学</w:t>
      </w:r>
      <w:r>
        <w:rPr>
          <w:spacing w:val="-16"/>
        </w:rPr>
        <w:t>生德智体美劳全面发展，全力办好人民满意教育，打造“学在</w:t>
      </w:r>
      <w:r>
        <w:t>滕州”知名品牌。</w:t>
      </w:r>
    </w:p>
    <w:p>
      <w:pPr>
        <w:pStyle w:val="3"/>
        <w:spacing w:line="328" w:lineRule="auto"/>
        <w:ind w:right="266" w:firstLine="638"/>
      </w:pPr>
      <w:r>
        <w:rPr>
          <w:b/>
          <w:spacing w:val="-5"/>
        </w:rPr>
        <w:t>全面提升教育承载力。</w:t>
      </w:r>
      <w:r>
        <w:rPr>
          <w:spacing w:val="-11"/>
        </w:rPr>
        <w:t>建立政府主导、社会参与、公办民</w:t>
      </w:r>
      <w:r>
        <w:rPr>
          <w:spacing w:val="-16"/>
        </w:rPr>
        <w:t>办并举的办园体制，提升公办幼儿园办园条件，新建、改扩建</w:t>
      </w:r>
      <w:r>
        <w:rPr>
          <w:spacing w:val="-27"/>
        </w:rPr>
        <w:t xml:space="preserve">公办幼儿园 </w:t>
      </w:r>
      <w:r>
        <w:t>98</w:t>
      </w:r>
      <w:r>
        <w:rPr>
          <w:spacing w:val="-9"/>
        </w:rPr>
        <w:t xml:space="preserve"> 所，引导更多的民办园提供普惠性服务。按照</w:t>
      </w:r>
      <w:r>
        <w:rPr>
          <w:spacing w:val="-16"/>
        </w:rPr>
        <w:t>义务教育学校建设标准，结合城乡适龄人口增长需要，加快推</w:t>
      </w:r>
      <w:r>
        <w:rPr>
          <w:spacing w:val="-21"/>
        </w:rPr>
        <w:t>进市实验小学荆河路校区等扩建和北辛街道北刘学校、荆河街</w:t>
      </w:r>
      <w:r>
        <w:rPr>
          <w:spacing w:val="-27"/>
        </w:rPr>
        <w:t xml:space="preserve">道三里河中学等新建 </w:t>
      </w:r>
      <w:r>
        <w:t>30</w:t>
      </w:r>
      <w:r>
        <w:rPr>
          <w:spacing w:val="-9"/>
        </w:rPr>
        <w:t xml:space="preserve"> 处项目，巩固解决“大班额”成果， </w:t>
      </w:r>
      <w:r>
        <w:rPr>
          <w:spacing w:val="-16"/>
        </w:rPr>
        <w:t xml:space="preserve">打造城乡一体化办学体系。推动普通高中优质特色发展，加快推进市第一中学、第二中学扩建，高中学校基本实现寄宿制， </w:t>
      </w:r>
      <w:r>
        <w:rPr>
          <w:spacing w:val="-9"/>
        </w:rPr>
        <w:t>支持示范性民办教育发展，规范校外培训机构。完善职业</w:t>
      </w:r>
      <w:r>
        <w:t>（技工</w:t>
      </w:r>
      <w:r>
        <w:rPr>
          <w:spacing w:val="-46"/>
        </w:rPr>
        <w:t>）</w:t>
      </w:r>
      <w:r>
        <w:rPr>
          <w:spacing w:val="-10"/>
        </w:rPr>
        <w:t>教育体系，新建山东省智能建造职教集团、枣庄医养健康</w:t>
      </w:r>
      <w:r>
        <w:rPr>
          <w:spacing w:val="-26"/>
        </w:rPr>
        <w:t xml:space="preserve">职教集团，培育 </w:t>
      </w:r>
      <w:r>
        <w:t>5</w:t>
      </w:r>
      <w:r>
        <w:rPr>
          <w:spacing w:val="-21"/>
        </w:rPr>
        <w:t xml:space="preserve"> 个产教融合型企业，建设 </w:t>
      </w:r>
      <w:r>
        <w:t>1</w:t>
      </w:r>
      <w:r>
        <w:rPr>
          <w:spacing w:val="-12"/>
        </w:rPr>
        <w:t xml:space="preserve"> 个共享性的大型</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7"/>
        <w:jc w:val="both"/>
      </w:pPr>
      <w:r>
        <w:rPr>
          <w:spacing w:val="-22"/>
          <w:w w:val="95"/>
        </w:rPr>
        <w:t>智能</w:t>
      </w:r>
      <w:r>
        <w:rPr>
          <w:w w:val="95"/>
        </w:rPr>
        <w:t>（仿真</w:t>
      </w:r>
      <w:r>
        <w:rPr>
          <w:spacing w:val="-46"/>
          <w:w w:val="95"/>
        </w:rPr>
        <w:t>）</w:t>
      </w:r>
      <w:r>
        <w:rPr>
          <w:spacing w:val="-7"/>
          <w:w w:val="95"/>
        </w:rPr>
        <w:t xml:space="preserve">实习实训基地，基本形成产教深度融合的校企命 </w:t>
      </w:r>
      <w:r>
        <w:rPr>
          <w:spacing w:val="-13"/>
        </w:rPr>
        <w:t>运共同体。落实特殊教育学校基本办学标准，确保特殊儿童接受良好的义务教育。</w:t>
      </w:r>
    </w:p>
    <w:p>
      <w:pPr>
        <w:pStyle w:val="3"/>
        <w:spacing w:line="328" w:lineRule="auto"/>
        <w:ind w:right="236" w:firstLine="638"/>
      </w:pPr>
      <w:r>
        <w:rPr>
          <w:b/>
          <w:spacing w:val="-6"/>
          <w:w w:val="95"/>
        </w:rPr>
        <w:t>培育高素质师资队伍。</w:t>
      </w:r>
      <w:r>
        <w:rPr>
          <w:spacing w:val="-19"/>
          <w:w w:val="95"/>
        </w:rPr>
        <w:t xml:space="preserve">深化“名师、名校、名校长”工程， </w:t>
      </w:r>
      <w:r>
        <w:rPr>
          <w:spacing w:val="6"/>
        </w:rPr>
        <w:t>打造高素质专业化创新型教师队伍。开展形式多样的师德教</w:t>
      </w:r>
      <w:r>
        <w:rPr>
          <w:spacing w:val="-13"/>
        </w:rPr>
        <w:t>育，树立高尚师德典型，促进形成重德养德的良好风气。完善市、镇街、学校分层分类培训体系，健全教师全员培训制度。</w:t>
      </w:r>
      <w:r>
        <w:rPr>
          <w:spacing w:val="-17"/>
        </w:rPr>
        <w:t>建立教师补充长效机制，按照班额、生源等情况，在核定的总</w:t>
      </w:r>
      <w:r>
        <w:rPr>
          <w:spacing w:val="-13"/>
        </w:rPr>
        <w:t>量内，统筹调配各校编制和岗位数量。推动教育家办学，实现</w:t>
      </w:r>
      <w:r>
        <w:rPr>
          <w:spacing w:val="-18"/>
        </w:rPr>
        <w:t>县域内义务教育学校校长、教师常规化交流轮岗。依法保障教</w:t>
      </w:r>
      <w:r>
        <w:rPr>
          <w:spacing w:val="-15"/>
        </w:rPr>
        <w:t>师权益，不断改善教师，特别是农村教师工作环境。提升校长</w:t>
      </w:r>
      <w:r>
        <w:rPr>
          <w:spacing w:val="-17"/>
        </w:rPr>
        <w:t>实施素质教育能力，完善选任机制与管理办法，推行校长职级</w:t>
      </w:r>
      <w:r>
        <w:rPr>
          <w:spacing w:val="-13"/>
        </w:rPr>
        <w:t>制。健全职业院校和企业人才双向流动机制，更加重视教师对教育教学、科研创新和社会贡献的评价。</w:t>
      </w:r>
    </w:p>
    <w:p>
      <w:pPr>
        <w:spacing w:before="0" w:line="392" w:lineRule="exact"/>
        <w:ind w:left="960" w:right="0" w:firstLine="0"/>
        <w:jc w:val="left"/>
        <w:rPr>
          <w:sz w:val="32"/>
        </w:rPr>
      </w:pPr>
      <w:r>
        <w:rPr>
          <w:b/>
          <w:spacing w:val="-8"/>
          <w:w w:val="95"/>
          <w:sz w:val="32"/>
        </w:rPr>
        <w:t>实施特色优质教育。</w:t>
      </w:r>
      <w:r>
        <w:rPr>
          <w:spacing w:val="-6"/>
          <w:w w:val="95"/>
          <w:sz w:val="32"/>
        </w:rPr>
        <w:t>全面落实立德树人根本任务，健全学</w:t>
      </w:r>
    </w:p>
    <w:p>
      <w:pPr>
        <w:pStyle w:val="3"/>
        <w:spacing w:before="144" w:line="328" w:lineRule="auto"/>
        <w:ind w:right="266"/>
      </w:pPr>
      <w:r>
        <w:rPr>
          <w:spacing w:val="-9"/>
        </w:rPr>
        <w:t>校家庭社会协同育人机制，促进学生德智体美劳全面发展。深</w:t>
      </w:r>
      <w:r>
        <w:rPr>
          <w:spacing w:val="-10"/>
        </w:rPr>
        <w:t>化教育教学研究，探索基础教育小班教学、选课走班、跳级、</w:t>
      </w:r>
      <w:r>
        <w:rPr>
          <w:spacing w:val="-11"/>
        </w:rPr>
        <w:t>特殊培养等方式，完善常态化教育质量监测制度。完善德育工</w:t>
      </w:r>
      <w:r>
        <w:rPr>
          <w:spacing w:val="-14"/>
        </w:rPr>
        <w:t>作体系，强化学生良好行为习惯和法治等意识养成。严格执行</w:t>
      </w:r>
      <w:r>
        <w:rPr>
          <w:spacing w:val="-18"/>
        </w:rPr>
        <w:t>学生体质健康合格标准，广泛开展校园足球等体育运动。实施学校美育提升行动，设立学校艺术特色课程。制定劳动教育实</w:t>
      </w:r>
      <w:r>
        <w:rPr>
          <w:spacing w:val="-15"/>
        </w:rPr>
        <w:t>施意见，加强学生生活实践、劳动技术和职业体验教育。深化职普融通、产教融合、育训兼融、校企“订单式”培养、工学</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jc w:val="both"/>
      </w:pPr>
      <w:r>
        <w:rPr>
          <w:spacing w:val="-10"/>
          <w:w w:val="95"/>
        </w:rPr>
        <w:t xml:space="preserve">交替培养的现代学徒制，真正实现校企一体化育人。加快数字 </w:t>
      </w:r>
      <w:r>
        <w:rPr>
          <w:spacing w:val="-21"/>
          <w:w w:val="95"/>
        </w:rPr>
        <w:t xml:space="preserve">校园建设，加快发展“互联网+教育”，完善终身学习体系，建 </w:t>
      </w:r>
      <w:r>
        <w:rPr>
          <w:spacing w:val="-21"/>
        </w:rPr>
        <w:t>立终身职业技能培训体系，建设学习型社会。</w:t>
      </w:r>
    </w:p>
    <w:p>
      <w:pPr>
        <w:pStyle w:val="3"/>
        <w:spacing w:line="328" w:lineRule="auto"/>
        <w:ind w:right="236" w:firstLine="638"/>
      </w:pPr>
      <w:r>
        <mc:AlternateContent>
          <mc:Choice Requires="wps">
            <w:drawing>
              <wp:anchor distT="0" distB="0" distL="114300" distR="114300" simplePos="0" relativeHeight="249892864" behindDoc="1" locked="0" layoutInCell="1" allowOverlap="1">
                <wp:simplePos x="0" y="0"/>
                <wp:positionH relativeFrom="page">
                  <wp:posOffset>1073785</wp:posOffset>
                </wp:positionH>
                <wp:positionV relativeFrom="paragraph">
                  <wp:posOffset>3523615</wp:posOffset>
                </wp:positionV>
                <wp:extent cx="5411470" cy="3816350"/>
                <wp:effectExtent l="4445" t="4445" r="13335" b="8255"/>
                <wp:wrapNone/>
                <wp:docPr id="20" name="文本框 25"/>
                <wp:cNvGraphicFramePr/>
                <a:graphic xmlns:a="http://schemas.openxmlformats.org/drawingml/2006/main">
                  <a:graphicData uri="http://schemas.microsoft.com/office/word/2010/wordprocessingShape">
                    <wps:wsp>
                      <wps:cNvSpPr txBox="true"/>
                      <wps:spPr>
                        <a:xfrm>
                          <a:off x="0" y="0"/>
                          <a:ext cx="5411470" cy="3816350"/>
                        </a:xfrm>
                        <a:prstGeom prst="rect">
                          <a:avLst/>
                        </a:prstGeom>
                        <a:noFill/>
                        <a:ln w="6096" cap="flat" cmpd="sng">
                          <a:solidFill>
                            <a:srgbClr val="000000"/>
                          </a:solidFill>
                          <a:prstDash val="solid"/>
                          <a:miter/>
                          <a:headEnd type="none" w="med" len="med"/>
                          <a:tailEnd type="none" w="med" len="med"/>
                        </a:ln>
                      </wps:spPr>
                      <wps:txbx>
                        <w:txbxContent>
                          <w:p>
                            <w:pPr>
                              <w:tabs>
                                <w:tab w:val="left" w:pos="3727"/>
                              </w:tabs>
                              <w:spacing w:before="41"/>
                              <w:ind w:left="2536" w:right="0" w:firstLine="0"/>
                              <w:jc w:val="left"/>
                              <w:rPr>
                                <w:b/>
                                <w:sz w:val="28"/>
                              </w:rPr>
                            </w:pPr>
                            <w:r>
                              <w:rPr>
                                <w:b/>
                                <w:sz w:val="28"/>
                              </w:rPr>
                              <w:t>专栏</w:t>
                            </w:r>
                            <w:r>
                              <w:rPr>
                                <w:b/>
                                <w:spacing w:val="-72"/>
                                <w:sz w:val="28"/>
                              </w:rPr>
                              <w:t xml:space="preserve"> </w:t>
                            </w:r>
                            <w:r>
                              <w:rPr>
                                <w:rFonts w:ascii="Times New Roman" w:eastAsia="Times New Roman"/>
                                <w:b/>
                                <w:sz w:val="28"/>
                              </w:rPr>
                              <w:t>15</w:t>
                            </w:r>
                            <w:r>
                              <w:rPr>
                                <w:rFonts w:ascii="Times New Roman" w:eastAsia="Times New Roman"/>
                                <w:b/>
                                <w:sz w:val="28"/>
                              </w:rPr>
                              <w:tab/>
                            </w:r>
                            <w:r>
                              <w:rPr>
                                <w:b/>
                                <w:sz w:val="28"/>
                              </w:rPr>
                              <w:t>教育领域重点项目</w:t>
                            </w:r>
                          </w:p>
                          <w:p>
                            <w:pPr>
                              <w:spacing w:before="42" w:line="266" w:lineRule="auto"/>
                              <w:ind w:left="103" w:right="7" w:firstLine="0"/>
                              <w:jc w:val="left"/>
                              <w:rPr>
                                <w:sz w:val="28"/>
                              </w:rPr>
                            </w:pPr>
                            <w:r>
                              <w:rPr>
                                <w:spacing w:val="-10"/>
                                <w:sz w:val="28"/>
                              </w:rPr>
                              <w:t>市第一中学扩建、市第二中学扩建、山东辅华实验学校新建、实验小</w:t>
                            </w:r>
                            <w:r>
                              <w:rPr>
                                <w:spacing w:val="-3"/>
                                <w:sz w:val="28"/>
                              </w:rPr>
                              <w:t>学荆河路校区扩建、荆泉学校改建、北辛街道北辛路学校二期新建、</w:t>
                            </w:r>
                            <w:r>
                              <w:rPr>
                                <w:spacing w:val="-10"/>
                                <w:sz w:val="28"/>
                              </w:rPr>
                              <w:t>北辛街道北刘学校新建、北辛街道周楼小学新建、北辛街道福祥路学</w:t>
                            </w:r>
                            <w:r>
                              <w:rPr>
                                <w:spacing w:val="-11"/>
                                <w:sz w:val="28"/>
                              </w:rPr>
                              <w:t>校新建、北辛街道崇文学校扩建、北辛街道中心幼儿园新建、北辛街道孙庄小学新建、东沙河街道千庄小学新建、滕西中学二期新建、荆</w:t>
                            </w:r>
                            <w:r>
                              <w:rPr>
                                <w:spacing w:val="-12"/>
                                <w:sz w:val="28"/>
                              </w:rPr>
                              <w:t>河街道鲁寨小学新建、荆河街道三里河中学新建、龙泉街道大庙小学</w:t>
                            </w:r>
                            <w:r>
                              <w:rPr>
                                <w:spacing w:val="-11"/>
                                <w:sz w:val="28"/>
                              </w:rPr>
                              <w:t>新建、龙泉街道七彩小学新建、龙泉街道安康中学新建、龙泉街道东城小学重建、龙泉街道善文小学新建、龙泉街道董村学校新建、樱花苑幼儿园新建、善南街道贾庄小学扩建、善南街道荆善小学新建、高</w:t>
                            </w:r>
                            <w:r>
                              <w:rPr>
                                <w:spacing w:val="-3"/>
                                <w:sz w:val="28"/>
                              </w:rPr>
                              <w:t>铁新区荆沟小学新建、鲍沟镇中心小学扩建、滨湖镇望重学校扩建、</w:t>
                            </w:r>
                            <w:r>
                              <w:rPr>
                                <w:spacing w:val="-10"/>
                                <w:sz w:val="28"/>
                              </w:rPr>
                              <w:t>柴胡店中学改建、东郭中学新建、大坞镇中心小学扩建、官桥镇中心</w:t>
                            </w:r>
                            <w:r>
                              <w:rPr>
                                <w:spacing w:val="-4"/>
                                <w:sz w:val="28"/>
                              </w:rPr>
                              <w:t>小学迎贤苑校区新建</w:t>
                            </w:r>
                            <w:r>
                              <w:rPr>
                                <w:color w:val="1F487C"/>
                                <w:spacing w:val="-49"/>
                                <w:sz w:val="28"/>
                              </w:rPr>
                              <w:t>、</w:t>
                            </w:r>
                            <w:r>
                              <w:rPr>
                                <w:spacing w:val="-8"/>
                                <w:sz w:val="28"/>
                              </w:rPr>
                              <w:t>界河镇后枣小学改建、级索镇中心小学新校区</w:t>
                            </w:r>
                            <w:r>
                              <w:rPr>
                                <w:spacing w:val="-3"/>
                                <w:sz w:val="28"/>
                              </w:rPr>
                              <w:t>新建、姜屯镇中心小学扩建、官桥镇北辛小学重建、姜屯中学扩建、界河中学扩建、西岗镇中心小学新校区新建</w:t>
                            </w:r>
                          </w:p>
                        </w:txbxContent>
                      </wps:txbx>
                      <wps:bodyPr lIns="0" tIns="0" rIns="0" bIns="0" upright="true"/>
                    </wps:wsp>
                  </a:graphicData>
                </a:graphic>
              </wp:anchor>
            </w:drawing>
          </mc:Choice>
          <mc:Fallback>
            <w:pict>
              <v:shape id="文本框 25" o:spid="_x0000_s1026" o:spt="202" type="#_x0000_t202" style="position:absolute;left:0pt;margin-left:84.55pt;margin-top:277.45pt;height:300.5pt;width:426.1pt;mso-position-horizontal-relative:page;z-index:-253423616;mso-width-relative:page;mso-height-relative:page;" filled="f" stroked="t" coordsize="21600,21600" o:gfxdata="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WAAAAZHJzL1BLAQIUABQAAAAIAIdO4kAd6S1Q2AAAAA0BAAAPAAAA&#10;AAAAAAEAIAAAADgAAABkcnMvZG93bnJldi54bWxQSwECFAAUAAAACACHTuJAB5+NCv8BAADsAwAA&#10;DgAAAAAAAAABACAAAAA9AQAAZHJzL2Uyb0RvYy54bWxQSwUGAAAAAAYABgBZAQAArgUAAAAA&#10;">
                <v:fill on="f" focussize="0,0"/>
                <v:stroke weight="0.48pt" color="#000000" joinstyle="miter"/>
                <v:imagedata o:title=""/>
                <o:lock v:ext="edit" aspectratio="f"/>
                <v:textbox inset="0mm,0mm,0mm,0mm">
                  <w:txbxContent>
                    <w:p>
                      <w:pPr>
                        <w:tabs>
                          <w:tab w:val="left" w:pos="3727"/>
                        </w:tabs>
                        <w:spacing w:before="41"/>
                        <w:ind w:left="2536" w:right="0" w:firstLine="0"/>
                        <w:jc w:val="left"/>
                        <w:rPr>
                          <w:b/>
                          <w:sz w:val="28"/>
                        </w:rPr>
                      </w:pPr>
                      <w:r>
                        <w:rPr>
                          <w:b/>
                          <w:sz w:val="28"/>
                        </w:rPr>
                        <w:t>专栏</w:t>
                      </w:r>
                      <w:r>
                        <w:rPr>
                          <w:b/>
                          <w:spacing w:val="-72"/>
                          <w:sz w:val="28"/>
                        </w:rPr>
                        <w:t xml:space="preserve"> </w:t>
                      </w:r>
                      <w:r>
                        <w:rPr>
                          <w:rFonts w:ascii="Times New Roman" w:eastAsia="Times New Roman"/>
                          <w:b/>
                          <w:sz w:val="28"/>
                        </w:rPr>
                        <w:t>15</w:t>
                      </w:r>
                      <w:r>
                        <w:rPr>
                          <w:rFonts w:ascii="Times New Roman" w:eastAsia="Times New Roman"/>
                          <w:b/>
                          <w:sz w:val="28"/>
                        </w:rPr>
                        <w:tab/>
                      </w:r>
                      <w:r>
                        <w:rPr>
                          <w:b/>
                          <w:sz w:val="28"/>
                        </w:rPr>
                        <w:t>教育领域重点项目</w:t>
                      </w:r>
                    </w:p>
                    <w:p>
                      <w:pPr>
                        <w:spacing w:before="42" w:line="266" w:lineRule="auto"/>
                        <w:ind w:left="103" w:right="7" w:firstLine="0"/>
                        <w:jc w:val="left"/>
                        <w:rPr>
                          <w:sz w:val="28"/>
                        </w:rPr>
                      </w:pPr>
                      <w:r>
                        <w:rPr>
                          <w:spacing w:val="-10"/>
                          <w:sz w:val="28"/>
                        </w:rPr>
                        <w:t>市第一中学扩建、市第二中学扩建、山东辅华实验学校新建、实验小</w:t>
                      </w:r>
                      <w:r>
                        <w:rPr>
                          <w:spacing w:val="-3"/>
                          <w:sz w:val="28"/>
                        </w:rPr>
                        <w:t>学荆河路校区扩建、荆泉学校改建、北辛街道北辛路学校二期新建、</w:t>
                      </w:r>
                      <w:r>
                        <w:rPr>
                          <w:spacing w:val="-10"/>
                          <w:sz w:val="28"/>
                        </w:rPr>
                        <w:t>北辛街道北刘学校新建、北辛街道周楼小学新建、北辛街道福祥路学</w:t>
                      </w:r>
                      <w:r>
                        <w:rPr>
                          <w:spacing w:val="-11"/>
                          <w:sz w:val="28"/>
                        </w:rPr>
                        <w:t>校新建、北辛街道崇文学校扩建、北辛街道中心幼儿园新建、北辛街道孙庄小学新建、东沙河街道千庄小学新建、滕西中学二期新建、荆</w:t>
                      </w:r>
                      <w:r>
                        <w:rPr>
                          <w:spacing w:val="-12"/>
                          <w:sz w:val="28"/>
                        </w:rPr>
                        <w:t>河街道鲁寨小学新建、荆河街道三里河中学新建、龙泉街道大庙小学</w:t>
                      </w:r>
                      <w:r>
                        <w:rPr>
                          <w:spacing w:val="-11"/>
                          <w:sz w:val="28"/>
                        </w:rPr>
                        <w:t>新建、龙泉街道七彩小学新建、龙泉街道安康中学新建、龙泉街道东城小学重建、龙泉街道善文小学新建、龙泉街道董村学校新建、樱花苑幼儿园新建、善南街道贾庄小学扩建、善南街道荆善小学新建、高</w:t>
                      </w:r>
                      <w:r>
                        <w:rPr>
                          <w:spacing w:val="-3"/>
                          <w:sz w:val="28"/>
                        </w:rPr>
                        <w:t>铁新区荆沟小学新建、鲍沟镇中心小学扩建、滨湖镇望重学校扩建、</w:t>
                      </w:r>
                      <w:r>
                        <w:rPr>
                          <w:spacing w:val="-10"/>
                          <w:sz w:val="28"/>
                        </w:rPr>
                        <w:t>柴胡店中学改建、东郭中学新建、大坞镇中心小学扩建、官桥镇中心</w:t>
                      </w:r>
                      <w:r>
                        <w:rPr>
                          <w:spacing w:val="-4"/>
                          <w:sz w:val="28"/>
                        </w:rPr>
                        <w:t>小学迎贤苑校区新建</w:t>
                      </w:r>
                      <w:r>
                        <w:rPr>
                          <w:color w:val="1F487C"/>
                          <w:spacing w:val="-49"/>
                          <w:sz w:val="28"/>
                        </w:rPr>
                        <w:t>、</w:t>
                      </w:r>
                      <w:r>
                        <w:rPr>
                          <w:spacing w:val="-8"/>
                          <w:sz w:val="28"/>
                        </w:rPr>
                        <w:t>界河镇后枣小学改建、级索镇中心小学新校区</w:t>
                      </w:r>
                      <w:r>
                        <w:rPr>
                          <w:spacing w:val="-3"/>
                          <w:sz w:val="28"/>
                        </w:rPr>
                        <w:t>新建、姜屯镇中心小学扩建、官桥镇北辛小学重建、姜屯中学扩建、界河中学扩建、西岗镇中心小学新校区新建</w:t>
                      </w:r>
                    </w:p>
                  </w:txbxContent>
                </v:textbox>
              </v:shape>
            </w:pict>
          </mc:Fallback>
        </mc:AlternateContent>
      </w:r>
      <w:r>
        <w:rPr>
          <w:b/>
          <w:spacing w:val="-4"/>
        </w:rPr>
        <w:t>深化教育教学改革。</w:t>
      </w:r>
      <w:r>
        <w:rPr>
          <w:spacing w:val="-11"/>
        </w:rPr>
        <w:t>推进基础教育“集团化”发展，增加</w:t>
      </w:r>
      <w:r>
        <w:rPr>
          <w:spacing w:val="-15"/>
        </w:rPr>
        <w:t>优质学位供给。建设现代学校制度，完善法人治理结构，扩大</w:t>
      </w:r>
      <w:r>
        <w:rPr>
          <w:spacing w:val="-16"/>
        </w:rPr>
        <w:t>学校在招生、教师评聘、薪酬分配、学科专业设置等方面的自</w:t>
      </w:r>
      <w:r>
        <w:rPr>
          <w:spacing w:val="-14"/>
        </w:rPr>
        <w:t>主权，提高办学者的管理能力、校长的治校能力和教师的专业</w:t>
      </w:r>
      <w:r>
        <w:rPr>
          <w:spacing w:val="-19"/>
          <w:w w:val="99"/>
        </w:rPr>
        <w:t>能力。围绕“扩容、提质、强服务”，推进职业教育综合改革。</w:t>
      </w:r>
      <w:r>
        <w:rPr>
          <w:spacing w:val="-20"/>
        </w:rPr>
        <w:t>完善控辍保学部门协调机制，落实各级政府、学校和父母或其他监护人控辍保学责任。保障特殊群体受教育权利，将进城务</w:t>
      </w:r>
      <w:r>
        <w:rPr>
          <w:spacing w:val="-23"/>
        </w:rPr>
        <w:t>工人员随迁子女义务教育纳入城镇发展规划，加强对留守儿童</w:t>
      </w:r>
      <w:r>
        <w:rPr>
          <w:spacing w:val="-18"/>
        </w:rPr>
        <w:t>的关爱保护。扎实推进中小学教师职称改革，统一中小学教师职称序列，推进评聘结合，提高中小学副高级岗位结构比例。</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tabs>
          <w:tab w:val="left" w:pos="1279"/>
        </w:tabs>
        <w:spacing w:before="54"/>
        <w:ind w:left="0" w:right="80"/>
        <w:jc w:val="center"/>
        <w:rPr>
          <w:rFonts w:hint="eastAsia" w:ascii="宋体" w:eastAsia="宋体"/>
        </w:rPr>
      </w:pPr>
      <w:bookmarkStart w:id="48" w:name="第二节  推动文化事业繁荣发展"/>
      <w:bookmarkEnd w:id="48"/>
      <w:r>
        <w:rPr>
          <w:rFonts w:hint="eastAsia" w:ascii="宋体" w:eastAsia="宋体"/>
        </w:rPr>
        <w:t>第二节</w:t>
      </w:r>
      <w:r>
        <w:rPr>
          <w:rFonts w:hint="eastAsia" w:ascii="宋体" w:eastAsia="宋体"/>
        </w:rPr>
        <w:tab/>
      </w:r>
      <w:r>
        <w:rPr>
          <w:rFonts w:hint="eastAsia" w:ascii="宋体" w:eastAsia="宋体"/>
        </w:rPr>
        <w:t>推动文化事业繁荣发展</w:t>
      </w:r>
    </w:p>
    <w:p>
      <w:pPr>
        <w:pStyle w:val="3"/>
        <w:spacing w:before="152" w:line="326" w:lineRule="auto"/>
        <w:ind w:right="399" w:firstLine="638"/>
        <w:jc w:val="both"/>
      </w:pPr>
      <w:r>
        <w:rPr>
          <w:spacing w:val="6"/>
          <w:w w:val="95"/>
        </w:rPr>
        <w:t xml:space="preserve">深入挖掘传承滕州历史文化，持续激发文化创新创造活 </w:t>
      </w:r>
      <w:r>
        <w:rPr>
          <w:spacing w:val="-13"/>
          <w:w w:val="95"/>
        </w:rPr>
        <w:t xml:space="preserve">力，扎实推进文化建设，努力提升文化软实力，推动文化事业 </w:t>
      </w:r>
      <w:r>
        <w:rPr>
          <w:spacing w:val="-13"/>
        </w:rPr>
        <w:t>全面繁荣。</w:t>
      </w:r>
    </w:p>
    <w:p>
      <w:pPr>
        <w:pStyle w:val="3"/>
        <w:spacing w:before="7" w:line="328" w:lineRule="auto"/>
        <w:ind w:right="266" w:firstLine="638"/>
      </w:pPr>
      <w:r>
        <w:rPr>
          <w:b/>
          <w:spacing w:val="9"/>
        </w:rPr>
        <w:t>践行社会主义核心价值观。</w:t>
      </w:r>
      <w:r>
        <w:rPr>
          <w:spacing w:val="6"/>
        </w:rPr>
        <w:t>大力弘扬社会主义核心价值</w:t>
      </w:r>
      <w:r>
        <w:rPr>
          <w:spacing w:val="-12"/>
        </w:rPr>
        <w:t>观，实施新时代公民道德建设实施纲要和爱国主义教育实施纲要，激发广大党员干部群众爱国、爱党、爱家乡的热情，筑牢</w:t>
      </w:r>
      <w:r>
        <w:rPr>
          <w:spacing w:val="-17"/>
        </w:rPr>
        <w:t>团结奋斗的思想基础，形成昂扬奋进的主旋律和时代精神，为</w:t>
      </w:r>
      <w:r>
        <w:rPr>
          <w:spacing w:val="-20"/>
        </w:rPr>
        <w:t xml:space="preserve">推动高质量发展凝聚强大精神动力。推动网络意识形态正向引导，积极弘扬主旋律、传播正能量。加强社会诚信体系建设， </w:t>
      </w:r>
      <w:r>
        <w:t>推动诚信精神和诚信原则转化为社会规范。</w:t>
      </w:r>
    </w:p>
    <w:p>
      <w:pPr>
        <w:spacing w:before="0" w:line="397" w:lineRule="exact"/>
        <w:ind w:left="960" w:right="0" w:firstLine="0"/>
        <w:jc w:val="left"/>
        <w:rPr>
          <w:sz w:val="32"/>
        </w:rPr>
      </w:pPr>
      <w:r>
        <w:rPr>
          <w:b/>
          <w:sz w:val="32"/>
        </w:rPr>
        <w:t>继承和弘扬优秀传统文化。</w:t>
      </w:r>
      <w:r>
        <w:rPr>
          <w:sz w:val="32"/>
        </w:rPr>
        <w:t>加强对墨子、鲁班等地域文化</w:t>
      </w:r>
    </w:p>
    <w:p>
      <w:pPr>
        <w:pStyle w:val="3"/>
        <w:spacing w:before="149" w:line="328" w:lineRule="auto"/>
        <w:ind w:right="242"/>
      </w:pPr>
      <w:r>
        <w:rPr>
          <w:spacing w:val="-12"/>
        </w:rPr>
        <w:t>资源的挖掘阐发、系统研究和总体规划，广泛开展优秀传统文</w:t>
      </w:r>
      <w:r>
        <w:rPr>
          <w:spacing w:val="-16"/>
        </w:rPr>
        <w:t>化宣传普及活动，构建优秀传统文化传承发展体系。成立鲁中</w:t>
      </w:r>
      <w:r>
        <w:rPr>
          <w:spacing w:val="-8"/>
          <w:w w:val="99"/>
        </w:rPr>
        <w:t>南文物保护修复中心，实施“文物安全天网工程”，加大对薛</w:t>
      </w:r>
      <w:r>
        <w:rPr>
          <w:spacing w:val="-8"/>
        </w:rPr>
        <w:t>国故城、官桥村南墓群及莲青山皇陵旧址等文物的保护修复。</w:t>
      </w:r>
      <w:r>
        <w:rPr>
          <w:spacing w:val="-22"/>
          <w:w w:val="95"/>
        </w:rPr>
        <w:t xml:space="preserve">实施传统工艺振兴计划，精选木雕、剪纸、木版年画、松枝鸟、 </w:t>
      </w:r>
      <w:r>
        <w:rPr>
          <w:spacing w:val="-20"/>
          <w:w w:val="95"/>
        </w:rPr>
        <w:t xml:space="preserve">土陶、紫金石砚台等一批非遗项目产品，进行市场化开发运作。 </w:t>
      </w:r>
      <w:r>
        <w:rPr>
          <w:spacing w:val="-20"/>
        </w:rPr>
        <w:t>搭建非遗交流学习平台，广泛组织非遗项目进校园、进企业等</w:t>
      </w:r>
      <w:r>
        <w:rPr>
          <w:spacing w:val="-18"/>
        </w:rPr>
        <w:t>公益性非遗活动，办好滕州非遗名家大讲堂，全力支持官桥镇创建优秀传统文化示范镇。</w:t>
      </w:r>
    </w:p>
    <w:p>
      <w:pPr>
        <w:spacing w:before="0" w:line="395" w:lineRule="exact"/>
        <w:ind w:left="0" w:right="397" w:firstLine="0"/>
        <w:jc w:val="right"/>
        <w:rPr>
          <w:sz w:val="32"/>
        </w:rPr>
      </w:pPr>
      <w:r>
        <w:rPr>
          <w:b/>
          <w:spacing w:val="-14"/>
          <w:w w:val="95"/>
          <w:sz w:val="32"/>
        </w:rPr>
        <w:t>提升公共文化服务效能。</w:t>
      </w:r>
      <w:r>
        <w:rPr>
          <w:w w:val="95"/>
          <w:sz w:val="32"/>
        </w:rPr>
        <w:t>加快建设市公共服务设施综合馆</w:t>
      </w:r>
    </w:p>
    <w:p>
      <w:pPr>
        <w:pStyle w:val="3"/>
        <w:spacing w:before="152"/>
        <w:ind w:left="0" w:right="399"/>
        <w:jc w:val="right"/>
      </w:pPr>
      <w:r>
        <w:rPr>
          <w:spacing w:val="-12"/>
          <w:w w:val="95"/>
        </w:rPr>
        <w:t>配套设施，全面打造柳琴戏传承体验示范广场。深入实施文化</w:t>
      </w:r>
    </w:p>
    <w:p>
      <w:pPr>
        <w:spacing w:after="0"/>
        <w:jc w:val="right"/>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38"/>
      </w:pPr>
      <w:r>
        <w:rPr>
          <w:spacing w:val="-19"/>
        </w:rPr>
        <w:t>馆、图书馆总分馆建设，加快实现各镇街文化馆、图书馆分馆、</w:t>
      </w:r>
      <w:r>
        <w:rPr>
          <w:spacing w:val="-18"/>
        </w:rPr>
        <w:t xml:space="preserve">社区书吧全覆盖。加快墨子文化城建设，实施龙泉广场整体区域改造提升，打造多种文化元素融合发展的城市文化会客厅。积极倡导全民阅读，开展全民阅读“七进”活动和滕州书展， </w:t>
      </w:r>
      <w:r>
        <w:rPr>
          <w:spacing w:val="-12"/>
          <w:w w:val="99"/>
        </w:rPr>
        <w:t>做大做强“国学大讲堂”“善国讲坛”等阅读品牌，打造书香</w:t>
      </w:r>
      <w:r>
        <w:rPr>
          <w:spacing w:val="-18"/>
          <w:w w:val="99"/>
        </w:rPr>
        <w:t>滕州。建设镇街、村居文化骨干队伍，实施“戏曲进乡村</w:t>
      </w:r>
      <w:r>
        <w:rPr>
          <w:spacing w:val="-74"/>
          <w:w w:val="99"/>
        </w:rPr>
        <w:t>”“一</w:t>
      </w:r>
      <w:r>
        <w:rPr>
          <w:spacing w:val="-31"/>
        </w:rPr>
        <w:t>村一月一场电影”文化惠民工程。支持柳琴剧团创作反映新时代优秀精品剧目，开展“六进”巡演活动。</w:t>
      </w:r>
    </w:p>
    <w:p>
      <w:pPr>
        <w:pStyle w:val="3"/>
        <w:tabs>
          <w:tab w:val="left" w:pos="1279"/>
        </w:tabs>
        <w:spacing w:before="50"/>
        <w:ind w:left="0" w:right="80"/>
        <w:jc w:val="center"/>
        <w:rPr>
          <w:rFonts w:hint="eastAsia" w:ascii="宋体" w:eastAsia="宋体"/>
        </w:rPr>
      </w:pPr>
      <w:bookmarkStart w:id="49" w:name="第三节  打造更高水平健康滕州"/>
      <w:bookmarkEnd w:id="49"/>
      <w:r>
        <w:rPr>
          <w:rFonts w:hint="eastAsia" w:ascii="宋体" w:eastAsia="宋体"/>
        </w:rPr>
        <w:t>第三节</w:t>
      </w:r>
      <w:r>
        <w:rPr>
          <w:rFonts w:hint="eastAsia" w:ascii="宋体" w:eastAsia="宋体"/>
        </w:rPr>
        <w:tab/>
      </w:r>
      <w:r>
        <w:rPr>
          <w:rFonts w:hint="eastAsia" w:ascii="宋体" w:eastAsia="宋体"/>
        </w:rPr>
        <w:t>打造更高水平健康滕州</w:t>
      </w:r>
    </w:p>
    <w:p>
      <w:pPr>
        <w:pStyle w:val="3"/>
        <w:spacing w:before="149" w:line="328" w:lineRule="auto"/>
        <w:ind w:right="399" w:firstLine="638"/>
        <w:jc w:val="both"/>
      </w:pPr>
      <w:r>
        <w:rPr>
          <w:spacing w:val="-10"/>
        </w:rPr>
        <w:t>深入开展爱国卫生运动，优化医疗卫生资源配置，健全疾</w:t>
      </w:r>
      <w:r>
        <w:rPr>
          <w:spacing w:val="-15"/>
          <w:w w:val="95"/>
        </w:rPr>
        <w:t xml:space="preserve">病防控体系，全面提升医疗卫生服务水平，确保通过国家卫生 </w:t>
      </w:r>
      <w:r>
        <w:rPr>
          <w:spacing w:val="-15"/>
        </w:rPr>
        <w:t>城市复审。</w:t>
      </w:r>
    </w:p>
    <w:p>
      <w:pPr>
        <w:pStyle w:val="3"/>
        <w:spacing w:line="328" w:lineRule="auto"/>
        <w:ind w:right="266" w:firstLine="638"/>
      </w:pPr>
      <w:r>
        <w:rPr>
          <w:b/>
          <w:spacing w:val="-14"/>
        </w:rPr>
        <w:t>全面提升医疗卫生水平。</w:t>
      </w:r>
      <w:r>
        <w:t>实施全国紧密型县域医共体试点</w:t>
      </w:r>
      <w:r>
        <w:rPr>
          <w:spacing w:val="-12"/>
        </w:rPr>
        <w:t>建设，加快市医养健康中心暨市中心人民医院新院区、市工人</w:t>
      </w:r>
      <w:r>
        <w:rPr>
          <w:spacing w:val="-15"/>
        </w:rPr>
        <w:t>医院迁建项目、市精神卫生中心迁建项目建设，高标准规划建</w:t>
      </w:r>
      <w:r>
        <w:rPr>
          <w:spacing w:val="-18"/>
        </w:rPr>
        <w:t>设城市社区卫生服务中心，积极推进村卫生室标准化建设，全</w:t>
      </w:r>
      <w:r>
        <w:rPr>
          <w:spacing w:val="-20"/>
        </w:rPr>
        <w:t>力推动中医药传承创新发展，建设分级诊疗体系，完善远程医</w:t>
      </w:r>
      <w:r>
        <w:rPr>
          <w:spacing w:val="-15"/>
        </w:rPr>
        <w:t>疗系统，打造区域医疗高地。建立人才引进激励机制，落实公立医院用人自主权，加大人才引进培育力度，形成结构合理、</w:t>
      </w:r>
      <w:r>
        <w:rPr>
          <w:spacing w:val="-9"/>
        </w:rPr>
        <w:t>比例协调的卫生人才梯队。深化基层卫生职称制度改革，推进</w:t>
      </w:r>
      <w:r>
        <w:rPr>
          <w:spacing w:val="-14"/>
        </w:rPr>
        <w:t>全科医生、家庭医生签约工作，提升健康教育、慢病管理服务</w:t>
      </w:r>
      <w:r>
        <w:rPr>
          <w:spacing w:val="-15"/>
        </w:rPr>
        <w:t>质量。配合省、市建成统一权威、互联互通的全民健康信息平</w:t>
      </w:r>
      <w:r>
        <w:rPr>
          <w:spacing w:val="-13"/>
        </w:rPr>
        <w:t>台，加强居民健康状况等重要数据精准统计和预测评价，完善</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jc w:val="right"/>
      </w:pPr>
      <w:r>
        <w:rPr>
          <w:spacing w:val="-7"/>
          <w:w w:val="95"/>
        </w:rPr>
        <w:t>健康相关敏感信息预警机制，实现健康医疗“一卡通用”。到</w:t>
      </w:r>
      <w:r>
        <w:rPr>
          <w:spacing w:val="-7"/>
        </w:rPr>
        <w:t>2025</w:t>
      </w:r>
      <w:r>
        <w:rPr>
          <w:spacing w:val="-14"/>
        </w:rPr>
        <w:t xml:space="preserve"> 年，每千常住人口医疗卫生机构床位数控制在 </w:t>
      </w:r>
      <w:r>
        <w:t>5.5</w:t>
      </w:r>
      <w:r>
        <w:rPr>
          <w:spacing w:val="-29"/>
        </w:rPr>
        <w:t xml:space="preserve"> 张。</w:t>
      </w:r>
      <w:r>
        <w:rPr>
          <w:b/>
          <w:spacing w:val="-33"/>
          <w:w w:val="95"/>
        </w:rPr>
        <w:t>完善疾病预防控制体系。</w:t>
      </w:r>
      <w:r>
        <w:rPr>
          <w:spacing w:val="-7"/>
          <w:w w:val="95"/>
        </w:rPr>
        <w:t>加快疾控中心标准化建设，建成</w:t>
      </w:r>
    </w:p>
    <w:p>
      <w:pPr>
        <w:pStyle w:val="3"/>
        <w:spacing w:line="328" w:lineRule="auto"/>
        <w:ind w:right="399"/>
        <w:jc w:val="both"/>
      </w:pPr>
      <w:r>
        <mc:AlternateContent>
          <mc:Choice Requires="wps">
            <w:drawing>
              <wp:anchor distT="0" distB="0" distL="114300" distR="114300" simplePos="0" relativeHeight="249893888" behindDoc="1" locked="0" layoutInCell="1" allowOverlap="1">
                <wp:simplePos x="0" y="0"/>
                <wp:positionH relativeFrom="page">
                  <wp:posOffset>1073785</wp:posOffset>
                </wp:positionH>
                <wp:positionV relativeFrom="paragraph">
                  <wp:posOffset>3173730</wp:posOffset>
                </wp:positionV>
                <wp:extent cx="5411470" cy="1530350"/>
                <wp:effectExtent l="4445" t="4445" r="13335" b="8255"/>
                <wp:wrapNone/>
                <wp:docPr id="22" name="文本框 26"/>
                <wp:cNvGraphicFramePr/>
                <a:graphic xmlns:a="http://schemas.openxmlformats.org/drawingml/2006/main">
                  <a:graphicData uri="http://schemas.microsoft.com/office/word/2010/wordprocessingShape">
                    <wps:wsp>
                      <wps:cNvSpPr txBox="true"/>
                      <wps:spPr>
                        <a:xfrm>
                          <a:off x="0" y="0"/>
                          <a:ext cx="5411470" cy="1530350"/>
                        </a:xfrm>
                        <a:prstGeom prst="rect">
                          <a:avLst/>
                        </a:prstGeom>
                        <a:noFill/>
                        <a:ln w="6096" cap="flat" cmpd="sng">
                          <a:solidFill>
                            <a:srgbClr val="000000"/>
                          </a:solidFill>
                          <a:prstDash val="solid"/>
                          <a:miter/>
                          <a:headEnd type="none" w="med" len="med"/>
                          <a:tailEnd type="none" w="med" len="med"/>
                        </a:ln>
                      </wps:spPr>
                      <wps:txbx>
                        <w:txbxContent>
                          <w:p>
                            <w:pPr>
                              <w:tabs>
                                <w:tab w:val="left" w:pos="3587"/>
                              </w:tabs>
                              <w:spacing w:before="40"/>
                              <w:ind w:left="2395" w:right="0" w:firstLine="0"/>
                              <w:jc w:val="left"/>
                              <w:rPr>
                                <w:b/>
                                <w:sz w:val="28"/>
                              </w:rPr>
                            </w:pPr>
                            <w:r>
                              <w:rPr>
                                <w:b/>
                                <w:sz w:val="28"/>
                              </w:rPr>
                              <w:t>专栏</w:t>
                            </w:r>
                            <w:r>
                              <w:rPr>
                                <w:b/>
                                <w:spacing w:val="-72"/>
                                <w:sz w:val="28"/>
                              </w:rPr>
                              <w:t xml:space="preserve"> </w:t>
                            </w:r>
                            <w:r>
                              <w:rPr>
                                <w:rFonts w:ascii="Times New Roman" w:eastAsia="Times New Roman"/>
                                <w:b/>
                                <w:sz w:val="28"/>
                              </w:rPr>
                              <w:t>16</w:t>
                            </w:r>
                            <w:r>
                              <w:rPr>
                                <w:rFonts w:ascii="Times New Roman" w:eastAsia="Times New Roman"/>
                                <w:b/>
                                <w:sz w:val="28"/>
                              </w:rPr>
                              <w:tab/>
                            </w:r>
                            <w:r>
                              <w:rPr>
                                <w:b/>
                                <w:sz w:val="28"/>
                              </w:rPr>
                              <w:t>医疗健康类重点项目</w:t>
                            </w:r>
                          </w:p>
                          <w:p>
                            <w:pPr>
                              <w:spacing w:before="42" w:line="266" w:lineRule="auto"/>
                              <w:ind w:left="103" w:right="7" w:firstLine="0"/>
                              <w:jc w:val="left"/>
                              <w:rPr>
                                <w:sz w:val="28"/>
                              </w:rPr>
                            </w:pPr>
                            <w:r>
                              <w:rPr>
                                <w:spacing w:val="-9"/>
                                <w:sz w:val="28"/>
                              </w:rPr>
                              <w:t>市中心人民医院新院区建设项目、市工人医院迁建项目、市精神卫生</w:t>
                            </w:r>
                            <w:r>
                              <w:rPr>
                                <w:spacing w:val="-11"/>
                                <w:sz w:val="28"/>
                              </w:rPr>
                              <w:t>中心迁建项目、市疾控中心升级改扩建项目、东郭中心卫生院迁建项</w:t>
                            </w:r>
                            <w:r>
                              <w:rPr>
                                <w:spacing w:val="-3"/>
                                <w:sz w:val="28"/>
                              </w:rPr>
                              <w:t>目、城市社区卫生服务中心建设项目、枣庄市胸科医院改扩建项目、</w:t>
                            </w:r>
                            <w:r>
                              <w:rPr>
                                <w:spacing w:val="-9"/>
                                <w:sz w:val="28"/>
                              </w:rPr>
                              <w:t>市体育中心广场建设项目、东城体育中心建设项目、西城体育中心建</w:t>
                            </w:r>
                          </w:p>
                          <w:p>
                            <w:pPr>
                              <w:spacing w:before="8" w:line="358" w:lineRule="exact"/>
                              <w:ind w:left="103" w:right="0" w:firstLine="0"/>
                              <w:jc w:val="left"/>
                              <w:rPr>
                                <w:sz w:val="28"/>
                              </w:rPr>
                            </w:pPr>
                            <w:r>
                              <w:rPr>
                                <w:sz w:val="28"/>
                              </w:rPr>
                              <w:t>设项目</w:t>
                            </w:r>
                          </w:p>
                        </w:txbxContent>
                      </wps:txbx>
                      <wps:bodyPr lIns="0" tIns="0" rIns="0" bIns="0" upright="true"/>
                    </wps:wsp>
                  </a:graphicData>
                </a:graphic>
              </wp:anchor>
            </w:drawing>
          </mc:Choice>
          <mc:Fallback>
            <w:pict>
              <v:shape id="文本框 26" o:spid="_x0000_s1026" o:spt="202" type="#_x0000_t202" style="position:absolute;left:0pt;margin-left:84.55pt;margin-top:249.9pt;height:120.5pt;width:426.1pt;mso-position-horizontal-relative:page;z-index:-253422592;mso-width-relative:page;mso-height-relative:page;" filled="f" stroked="t" coordsize="21600,21600" o:gfxdata="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FgAAAGRycy9QSwECFAAUAAAACACHTuJAa4o3otgAAAAMAQAADwAA&#10;AAAAAAABACAAAAA4AAAAZHJzL2Rvd25yZXYueG1sUEsBAhQAFAAAAAgAh07iQAyPupwAAgAA7AMA&#10;AA4AAAAAAAAAAQAgAAAAPQEAAGRycy9lMm9Eb2MueG1sUEsFBgAAAAAGAAYAWQEAAK8FAAAAAA==&#10;">
                <v:fill on="f" focussize="0,0"/>
                <v:stroke weight="0.48pt" color="#000000" joinstyle="miter"/>
                <v:imagedata o:title=""/>
                <o:lock v:ext="edit" aspectratio="f"/>
                <v:textbox inset="0mm,0mm,0mm,0mm">
                  <w:txbxContent>
                    <w:p>
                      <w:pPr>
                        <w:tabs>
                          <w:tab w:val="left" w:pos="3587"/>
                        </w:tabs>
                        <w:spacing w:before="40"/>
                        <w:ind w:left="2395" w:right="0" w:firstLine="0"/>
                        <w:jc w:val="left"/>
                        <w:rPr>
                          <w:b/>
                          <w:sz w:val="28"/>
                        </w:rPr>
                      </w:pPr>
                      <w:r>
                        <w:rPr>
                          <w:b/>
                          <w:sz w:val="28"/>
                        </w:rPr>
                        <w:t>专栏</w:t>
                      </w:r>
                      <w:r>
                        <w:rPr>
                          <w:b/>
                          <w:spacing w:val="-72"/>
                          <w:sz w:val="28"/>
                        </w:rPr>
                        <w:t xml:space="preserve"> </w:t>
                      </w:r>
                      <w:r>
                        <w:rPr>
                          <w:rFonts w:ascii="Times New Roman" w:eastAsia="Times New Roman"/>
                          <w:b/>
                          <w:sz w:val="28"/>
                        </w:rPr>
                        <w:t>16</w:t>
                      </w:r>
                      <w:r>
                        <w:rPr>
                          <w:rFonts w:ascii="Times New Roman" w:eastAsia="Times New Roman"/>
                          <w:b/>
                          <w:sz w:val="28"/>
                        </w:rPr>
                        <w:tab/>
                      </w:r>
                      <w:r>
                        <w:rPr>
                          <w:b/>
                          <w:sz w:val="28"/>
                        </w:rPr>
                        <w:t>医疗健康类重点项目</w:t>
                      </w:r>
                    </w:p>
                    <w:p>
                      <w:pPr>
                        <w:spacing w:before="42" w:line="266" w:lineRule="auto"/>
                        <w:ind w:left="103" w:right="7" w:firstLine="0"/>
                        <w:jc w:val="left"/>
                        <w:rPr>
                          <w:sz w:val="28"/>
                        </w:rPr>
                      </w:pPr>
                      <w:r>
                        <w:rPr>
                          <w:spacing w:val="-9"/>
                          <w:sz w:val="28"/>
                        </w:rPr>
                        <w:t>市中心人民医院新院区建设项目、市工人医院迁建项目、市精神卫生</w:t>
                      </w:r>
                      <w:r>
                        <w:rPr>
                          <w:spacing w:val="-11"/>
                          <w:sz w:val="28"/>
                        </w:rPr>
                        <w:t>中心迁建项目、市疾控中心升级改扩建项目、东郭中心卫生院迁建项</w:t>
                      </w:r>
                      <w:r>
                        <w:rPr>
                          <w:spacing w:val="-3"/>
                          <w:sz w:val="28"/>
                        </w:rPr>
                        <w:t>目、城市社区卫生服务中心建设项目、枣庄市胸科医院改扩建项目、</w:t>
                      </w:r>
                      <w:r>
                        <w:rPr>
                          <w:spacing w:val="-9"/>
                          <w:sz w:val="28"/>
                        </w:rPr>
                        <w:t>市体育中心广场建设项目、东城体育中心建设项目、西城体育中心建</w:t>
                      </w:r>
                    </w:p>
                    <w:p>
                      <w:pPr>
                        <w:spacing w:before="8" w:line="358" w:lineRule="exact"/>
                        <w:ind w:left="103" w:right="0" w:firstLine="0"/>
                        <w:jc w:val="left"/>
                        <w:rPr>
                          <w:sz w:val="28"/>
                        </w:rPr>
                      </w:pPr>
                      <w:r>
                        <w:rPr>
                          <w:sz w:val="28"/>
                        </w:rPr>
                        <w:t>设项目</w:t>
                      </w:r>
                    </w:p>
                  </w:txbxContent>
                </v:textbox>
              </v:shape>
            </w:pict>
          </mc:Fallback>
        </mc:AlternateContent>
      </w:r>
      <w:r>
        <w:rPr>
          <w:spacing w:val="-10"/>
          <w:w w:val="95"/>
        </w:rPr>
        <w:t xml:space="preserve">生物安全二级实验室，强化监测预警、风险评估、流行病学调 </w:t>
      </w:r>
      <w:r>
        <w:rPr>
          <w:spacing w:val="-13"/>
        </w:rPr>
        <w:t>查、检验检测、应急处置等职能，将预防关口前移，避免小病</w:t>
      </w:r>
      <w:r>
        <w:rPr>
          <w:spacing w:val="-15"/>
          <w:w w:val="95"/>
        </w:rPr>
        <w:t xml:space="preserve">酿成大疫。在市直医疗卫生机构建设相应规模的传染病救治病 </w:t>
      </w:r>
      <w:r>
        <w:rPr>
          <w:spacing w:val="-13"/>
          <w:w w:val="95"/>
        </w:rPr>
        <w:t xml:space="preserve">房、负压病房和重症监护病房，补齐市直医院发热门诊、感染 </w:t>
      </w:r>
      <w:r>
        <w:rPr>
          <w:spacing w:val="-15"/>
          <w:w w:val="95"/>
        </w:rPr>
        <w:t xml:space="preserve">性疾病科、病原微生物检测、急诊急救短板。完善突发公共卫 </w:t>
      </w:r>
      <w:r>
        <w:rPr>
          <w:spacing w:val="-20"/>
          <w:w w:val="95"/>
        </w:rPr>
        <w:t xml:space="preserve">生事件监测预警处置机制和应急指挥体系，健全医疗救治、物 </w:t>
      </w:r>
      <w:r>
        <w:rPr>
          <w:spacing w:val="-17"/>
          <w:w w:val="95"/>
        </w:rPr>
        <w:t xml:space="preserve">资保障体系，定期组织卫生应急演练，实现防治结合、联防联 </w:t>
      </w:r>
      <w:r>
        <w:rPr>
          <w:spacing w:val="-13"/>
        </w:rPr>
        <w:t>控、群防群治。强化职业危害防治监督检查，推进用人单位主体责任落实，强化重点行业、重点职业病危害的监管。</w:t>
      </w:r>
    </w:p>
    <w:p>
      <w:pPr>
        <w:pStyle w:val="3"/>
        <w:ind w:left="0"/>
      </w:pPr>
    </w:p>
    <w:p>
      <w:pPr>
        <w:pStyle w:val="3"/>
        <w:ind w:left="0"/>
      </w:pPr>
    </w:p>
    <w:p>
      <w:pPr>
        <w:pStyle w:val="3"/>
        <w:ind w:left="0"/>
      </w:pPr>
    </w:p>
    <w:p>
      <w:pPr>
        <w:pStyle w:val="3"/>
        <w:ind w:left="0"/>
      </w:pPr>
    </w:p>
    <w:p>
      <w:pPr>
        <w:pStyle w:val="3"/>
        <w:ind w:left="0"/>
      </w:pPr>
    </w:p>
    <w:p>
      <w:pPr>
        <w:pStyle w:val="3"/>
        <w:spacing w:before="10"/>
        <w:ind w:left="0"/>
        <w:rPr>
          <w:sz w:val="33"/>
        </w:rPr>
      </w:pPr>
    </w:p>
    <w:p>
      <w:pPr>
        <w:pStyle w:val="3"/>
        <w:spacing w:line="328" w:lineRule="auto"/>
        <w:ind w:right="397" w:firstLine="638"/>
        <w:jc w:val="both"/>
      </w:pPr>
      <w:r>
        <w:rPr>
          <w:b/>
          <w:spacing w:val="-7"/>
        </w:rPr>
        <w:t>推动体育事业协调发展。</w:t>
      </w:r>
      <w:r>
        <w:rPr>
          <w:spacing w:val="-7"/>
        </w:rPr>
        <w:t>深入实施全民健身计划，优化城</w:t>
      </w:r>
      <w:r>
        <w:rPr>
          <w:spacing w:val="-14"/>
          <w:w w:val="95"/>
        </w:rPr>
        <w:t xml:space="preserve">区体育场所规划布局，加快滕州市体育中心广场、东城和西城 </w:t>
      </w:r>
      <w:r>
        <w:rPr>
          <w:spacing w:val="-18"/>
        </w:rPr>
        <w:t>体育中心等项目建设，提档升级村居体育健身设施。完善现代公共体育服务体系，积极发展体育社团，普及科学健身知识和</w:t>
      </w:r>
      <w:r>
        <w:rPr>
          <w:spacing w:val="-16"/>
        </w:rPr>
        <w:t>健身方法，深入开展健身跑、健步走、球类、广场舞等全民健</w:t>
      </w:r>
      <w:r>
        <w:rPr>
          <w:spacing w:val="-15"/>
          <w:w w:val="95"/>
        </w:rPr>
        <w:t xml:space="preserve">身活动。积极引进有社会影响力的体育竞赛比赛，打造滕州体 </w:t>
      </w:r>
      <w:r>
        <w:rPr>
          <w:spacing w:val="-16"/>
          <w:w w:val="95"/>
        </w:rPr>
        <w:t>育竞赛品牌，拓展体育健身、体育观赛、体育培训、体育旅游</w:t>
      </w:r>
    </w:p>
    <w:p>
      <w:pPr>
        <w:spacing w:after="0" w:line="328" w:lineRule="auto"/>
        <w:jc w:val="both"/>
        <w:sectPr>
          <w:footerReference r:id="rId19" w:type="default"/>
          <w:footerReference r:id="rId20" w:type="even"/>
          <w:pgSz w:w="11910" w:h="16840"/>
          <w:pgMar w:top="1580" w:right="1300" w:bottom="1540" w:left="1380" w:header="0" w:footer="1346" w:gutter="0"/>
          <w:pgNumType w:start="70"/>
          <w:cols w:space="720" w:num="1"/>
        </w:sectPr>
      </w:pPr>
    </w:p>
    <w:p>
      <w:pPr>
        <w:pStyle w:val="3"/>
        <w:spacing w:before="10"/>
        <w:ind w:left="0"/>
        <w:rPr>
          <w:sz w:val="13"/>
        </w:rPr>
      </w:pPr>
    </w:p>
    <w:p>
      <w:pPr>
        <w:pStyle w:val="3"/>
        <w:spacing w:before="54" w:line="328" w:lineRule="auto"/>
        <w:ind w:right="399"/>
        <w:jc w:val="both"/>
      </w:pPr>
      <w:r>
        <w:rPr>
          <w:spacing w:val="-11"/>
          <w:w w:val="95"/>
        </w:rPr>
        <w:t xml:space="preserve">等消费新空间。持续推进体校办学模式改革，实施青少年体育 </w:t>
      </w:r>
      <w:r>
        <w:rPr>
          <w:spacing w:val="-16"/>
          <w:w w:val="95"/>
        </w:rPr>
        <w:t xml:space="preserve">拔尖人才建设工程，全力推进新周期国家体育后备人才基地建 </w:t>
      </w:r>
      <w:r>
        <w:rPr>
          <w:spacing w:val="-16"/>
        </w:rPr>
        <w:t>设，在国家、省、市运动会上争创佳绩。</w:t>
      </w:r>
    </w:p>
    <w:p>
      <w:pPr>
        <w:pStyle w:val="3"/>
        <w:tabs>
          <w:tab w:val="left" w:pos="1598"/>
        </w:tabs>
        <w:spacing w:before="151"/>
        <w:ind w:left="0" w:right="80"/>
        <w:jc w:val="center"/>
        <w:rPr>
          <w:rFonts w:hint="eastAsia" w:ascii="黑体" w:eastAsia="黑体"/>
        </w:rPr>
      </w:pPr>
      <w:bookmarkStart w:id="50" w:name="第十一章  增进民生福祉，健全完善社会保障体系"/>
      <w:bookmarkEnd w:id="50"/>
      <w:r>
        <w:rPr>
          <w:rFonts w:hint="eastAsia" w:ascii="黑体" w:eastAsia="黑体"/>
        </w:rPr>
        <w:t>第十一章</w:t>
      </w:r>
      <w:r>
        <w:rPr>
          <w:rFonts w:hint="eastAsia" w:ascii="黑体" w:eastAsia="黑体"/>
        </w:rPr>
        <w:tab/>
      </w:r>
      <w:r>
        <w:rPr>
          <w:rFonts w:hint="eastAsia" w:ascii="黑体" w:eastAsia="黑体"/>
        </w:rPr>
        <w:t>增进民生福祉，健全完善社会保障体系</w:t>
      </w:r>
    </w:p>
    <w:p>
      <w:pPr>
        <w:pStyle w:val="3"/>
        <w:spacing w:before="152" w:line="326" w:lineRule="auto"/>
        <w:ind w:right="266" w:firstLine="638"/>
      </w:pPr>
      <w:r>
        <w:t>围绕建设全生命周期民生保障体系，加快补齐民生短板弱项，整体提升民生保障水平，满足人民群众高品质生活需求。</w:t>
      </w:r>
    </w:p>
    <w:p>
      <w:pPr>
        <w:pStyle w:val="3"/>
        <w:tabs>
          <w:tab w:val="left" w:pos="1279"/>
        </w:tabs>
        <w:spacing w:before="65"/>
        <w:ind w:left="0" w:right="80"/>
        <w:jc w:val="center"/>
        <w:rPr>
          <w:rFonts w:hint="eastAsia" w:ascii="宋体" w:eastAsia="宋体"/>
        </w:rPr>
      </w:pPr>
      <w:bookmarkStart w:id="51" w:name="第一节  实现更加充分和更高质量就业"/>
      <w:bookmarkEnd w:id="51"/>
      <w:r>
        <w:rPr>
          <w:rFonts w:hint="eastAsia" w:ascii="宋体" w:eastAsia="宋体"/>
        </w:rPr>
        <w:t>第一节</w:t>
      </w:r>
      <w:r>
        <w:rPr>
          <w:rFonts w:hint="eastAsia" w:ascii="宋体" w:eastAsia="宋体"/>
        </w:rPr>
        <w:tab/>
      </w:r>
      <w:r>
        <w:rPr>
          <w:rFonts w:hint="eastAsia" w:ascii="宋体" w:eastAsia="宋体"/>
        </w:rPr>
        <w:t>实现更加充分和更高质量就业</w:t>
      </w:r>
    </w:p>
    <w:p>
      <w:pPr>
        <w:pStyle w:val="3"/>
        <w:spacing w:before="152" w:line="326" w:lineRule="auto"/>
        <w:ind w:right="399" w:firstLine="638"/>
      </w:pPr>
      <w:r>
        <w:rPr>
          <w:spacing w:val="-12"/>
        </w:rPr>
        <w:t>大力发展职业教育和培训，有效提升劳动者技能和收入水平，实现更加充分更高质量就业。</w:t>
      </w:r>
    </w:p>
    <w:p>
      <w:pPr>
        <w:pStyle w:val="3"/>
        <w:spacing w:before="3" w:line="328" w:lineRule="auto"/>
        <w:ind w:right="386" w:firstLine="638"/>
        <w:jc w:val="both"/>
      </w:pPr>
      <w:r>
        <w:rPr>
          <w:b/>
          <w:spacing w:val="-14"/>
        </w:rPr>
        <w:t>坚持实施就业优先战略。</w:t>
      </w:r>
      <w:r>
        <w:t>把稳定和扩大就业作为经济社会</w:t>
      </w:r>
      <w:r>
        <w:rPr>
          <w:spacing w:val="-11"/>
        </w:rPr>
        <w:t>发展优先目标，统筹推进劳动者自主就业、市场调节就业、政</w:t>
      </w:r>
      <w:r>
        <w:rPr>
          <w:spacing w:val="-16"/>
        </w:rPr>
        <w:t>府促进就业和鼓励创业，实现更加充分、更高质量就业。加大</w:t>
      </w:r>
      <w:r>
        <w:rPr>
          <w:spacing w:val="-18"/>
        </w:rPr>
        <w:t>企业稳岗支持力度，巩固民营经济、小微企业就业主渠道，加</w:t>
      </w:r>
      <w:r>
        <w:rPr>
          <w:spacing w:val="-20"/>
        </w:rPr>
        <w:t>大对就业容量大的服务业、劳动密集型产业、灵活就业和新就</w:t>
      </w:r>
      <w:r>
        <w:rPr>
          <w:spacing w:val="-18"/>
        </w:rPr>
        <w:t>业形态的支持，完善创业带动就业保障制度，推动创业载体升</w:t>
      </w:r>
      <w:r>
        <w:rPr>
          <w:spacing w:val="-14"/>
        </w:rPr>
        <w:t>级，加快建设省级创业创新示范综合体。发展壮大人力资源服</w:t>
      </w:r>
      <w:r>
        <w:rPr>
          <w:spacing w:val="-15"/>
        </w:rPr>
        <w:t>务业，加快新人力资源市场建设，推动线下实体和线上服务深度融合，提高公共就业服务能力。加强职业技能培训，全面提</w:t>
      </w:r>
      <w:r>
        <w:rPr>
          <w:spacing w:val="6"/>
          <w:w w:val="95"/>
        </w:rPr>
        <w:t xml:space="preserve">升重点群体职业技能水平和就业创业能力。统筹城乡就业政 </w:t>
      </w:r>
      <w:r>
        <w:rPr>
          <w:spacing w:val="-12"/>
        </w:rPr>
        <w:t>策，积极引导农村劳动力就业，扩大职业农民就业规模。坚持</w:t>
      </w:r>
      <w:r>
        <w:rPr>
          <w:spacing w:val="-15"/>
          <w:w w:val="95"/>
        </w:rPr>
        <w:t xml:space="preserve">“两个同步”方针，完善收入分配制度，健全工资合理增长机 </w:t>
      </w:r>
      <w:r>
        <w:rPr>
          <w:spacing w:val="-12"/>
        </w:rPr>
        <w:t>制，扩大中等收入群体，增加低收入群体收入。</w:t>
      </w:r>
    </w:p>
    <w:p>
      <w:pPr>
        <w:spacing w:before="0" w:line="390" w:lineRule="exact"/>
        <w:ind w:left="960" w:right="0" w:firstLine="0"/>
        <w:jc w:val="left"/>
        <w:rPr>
          <w:sz w:val="32"/>
        </w:rPr>
      </w:pPr>
      <w:r>
        <w:rPr>
          <w:b/>
          <w:sz w:val="32"/>
        </w:rPr>
        <w:t>构建和谐稳定劳动关系。</w:t>
      </w:r>
      <w:r>
        <w:rPr>
          <w:sz w:val="32"/>
        </w:rPr>
        <w:t>加强普法教育，依法规范企业用</w:t>
      </w:r>
    </w:p>
    <w:p>
      <w:pPr>
        <w:spacing w:after="0" w:line="390" w:lineRule="exact"/>
        <w:jc w:val="left"/>
        <w:rPr>
          <w:sz w:val="32"/>
        </w:rPr>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104"/>
      </w:pPr>
      <w:r>
        <w:rPr>
          <w:spacing w:val="-12"/>
        </w:rPr>
        <w:t>工，进一步扩大劳动合同制度覆盖范围，特别是在餐饮、建筑</w:t>
      </w:r>
      <w:r>
        <w:rPr>
          <w:spacing w:val="-18"/>
        </w:rPr>
        <w:t>等行业全面实行劳动合同制度。完善协商机制建设，构建和谐</w:t>
      </w:r>
      <w:r>
        <w:rPr>
          <w:spacing w:val="-16"/>
        </w:rPr>
        <w:t>劳动关系，在企业中建立健全工会组织，完善职代会制度，增强劳动者与企业的沟通协商能力，落实劳动者民主管理权利。</w:t>
      </w:r>
      <w:r>
        <w:rPr>
          <w:spacing w:val="-18"/>
        </w:rPr>
        <w:t>加强劳动监察力度，筑造稳定维权防线。强化源头监管、实施</w:t>
      </w:r>
      <w:r>
        <w:rPr>
          <w:spacing w:val="-18"/>
          <w:w w:val="95"/>
        </w:rPr>
        <w:t xml:space="preserve">联合惩戒，使失信企业在全市范围内“一处违法、处处受限”， </w:t>
      </w:r>
      <w:r>
        <w:rPr>
          <w:spacing w:val="-19"/>
        </w:rPr>
        <w:t>提高企业失信违法成本。采取多项措施，持续优化营商环境，进</w:t>
      </w:r>
      <w:r>
        <w:rPr>
          <w:spacing w:val="-22"/>
        </w:rPr>
        <w:t>一步加大劳动关系协调力度，全力构筑社会和谐稳定“减压阀”。</w:t>
      </w:r>
    </w:p>
    <w:p>
      <w:pPr>
        <w:pStyle w:val="3"/>
        <w:tabs>
          <w:tab w:val="left" w:pos="1279"/>
        </w:tabs>
        <w:spacing w:before="50"/>
        <w:ind w:left="0" w:right="77"/>
        <w:jc w:val="center"/>
        <w:rPr>
          <w:rFonts w:hint="eastAsia" w:ascii="宋体" w:eastAsia="宋体"/>
        </w:rPr>
      </w:pPr>
      <w:bookmarkStart w:id="52" w:name="第二节  全面加强社会保障体系建设"/>
      <w:bookmarkEnd w:id="52"/>
      <w:r>
        <w:rPr>
          <w:rFonts w:hint="eastAsia" w:ascii="宋体" w:eastAsia="宋体"/>
        </w:rPr>
        <w:t>第二节</w:t>
      </w:r>
      <w:r>
        <w:rPr>
          <w:rFonts w:hint="eastAsia" w:ascii="宋体" w:eastAsia="宋体"/>
        </w:rPr>
        <w:tab/>
      </w:r>
      <w:r>
        <w:rPr>
          <w:rFonts w:hint="eastAsia" w:ascii="宋体" w:eastAsia="宋体"/>
        </w:rPr>
        <w:t>全面加强社会保障体系建设</w:t>
      </w:r>
    </w:p>
    <w:p>
      <w:pPr>
        <w:pStyle w:val="3"/>
        <w:spacing w:before="149" w:line="328" w:lineRule="auto"/>
        <w:ind w:right="266" w:firstLine="638"/>
      </w:pPr>
      <w:r>
        <w:rPr>
          <w:spacing w:val="-12"/>
        </w:rPr>
        <w:t>按照兜底线、织密网、建机制要求，建设覆盖全民、城乡</w:t>
      </w:r>
      <w:r>
        <w:rPr>
          <w:spacing w:val="-12"/>
          <w:w w:val="95"/>
        </w:rPr>
        <w:t>统筹、权责清晰、保障适度、可持续的多层次社会保障体系。</w:t>
      </w:r>
    </w:p>
    <w:p>
      <w:pPr>
        <w:pStyle w:val="3"/>
        <w:spacing w:line="328" w:lineRule="auto"/>
        <w:ind w:right="397" w:firstLine="638"/>
        <w:jc w:val="both"/>
      </w:pPr>
      <w:r>
        <w:rPr>
          <w:b/>
          <w:spacing w:val="-8"/>
          <w:w w:val="95"/>
        </w:rPr>
        <w:t>健全社会保障体系。</w:t>
      </w:r>
      <w:r>
        <w:rPr>
          <w:spacing w:val="-7"/>
          <w:w w:val="95"/>
        </w:rPr>
        <w:t xml:space="preserve">深入实施全民参保计划，推动养老保 </w:t>
      </w:r>
      <w:r>
        <w:rPr>
          <w:spacing w:val="-14"/>
        </w:rPr>
        <w:t>险、医疗保险、失业保险、工伤保险扩面续保、确保法定参保</w:t>
      </w:r>
      <w:r>
        <w:rPr>
          <w:spacing w:val="6"/>
          <w:w w:val="95"/>
        </w:rPr>
        <w:t>对象应保尽保，形成覆盖城乡的社会保障体系。健全市、镇</w:t>
      </w:r>
    </w:p>
    <w:p>
      <w:pPr>
        <w:pStyle w:val="3"/>
        <w:spacing w:line="328" w:lineRule="auto"/>
        <w:ind w:right="266"/>
      </w:pPr>
      <w:r>
        <w:t>（街</w:t>
      </w:r>
      <w:r>
        <w:rPr>
          <w:spacing w:val="-27"/>
        </w:rPr>
        <w:t>）</w:t>
      </w:r>
      <w:r>
        <w:rPr>
          <w:spacing w:val="-26"/>
        </w:rPr>
        <w:t>、村</w:t>
      </w:r>
      <w:r>
        <w:t>（居</w:t>
      </w:r>
      <w:r>
        <w:rPr>
          <w:spacing w:val="-27"/>
        </w:rPr>
        <w:t>）</w:t>
      </w:r>
      <w:r>
        <w:rPr>
          <w:spacing w:val="-4"/>
        </w:rPr>
        <w:t>三级经办机构，探索增加以社保卡为载体的</w:t>
      </w:r>
      <w:r>
        <w:rPr>
          <w:spacing w:val="-5"/>
        </w:rPr>
        <w:t xml:space="preserve">居民服务功能。稳步推进社会救助与扶贫开发政策衔接工作， </w:t>
      </w:r>
      <w:r>
        <w:rPr>
          <w:spacing w:val="-10"/>
        </w:rPr>
        <w:t>扩大低保救助覆盖面，建立新型城乡社会救助体系。完善低保</w:t>
      </w:r>
      <w:r>
        <w:rPr>
          <w:spacing w:val="-17"/>
        </w:rPr>
        <w:t>标准与物价上涨挂钩的联动机制，重点保障好困难群体的基本</w:t>
      </w:r>
      <w:r>
        <w:rPr>
          <w:spacing w:val="-14"/>
        </w:rPr>
        <w:t>生活。完善社会救助运行机制，做好与枣庄社会大救助平台建</w:t>
      </w:r>
      <w:r>
        <w:rPr>
          <w:spacing w:val="-15"/>
        </w:rPr>
        <w:t>设对接工作。大力发展社会福利和慈善事业，统筹提升城乡社</w:t>
      </w:r>
      <w:r>
        <w:rPr>
          <w:spacing w:val="-16"/>
        </w:rPr>
        <w:t>会救助水平。健全完善退役军人服务保障体系，严格落实退役</w:t>
      </w:r>
      <w:r>
        <w:rPr>
          <w:spacing w:val="-13"/>
        </w:rPr>
        <w:t>金、抚恤金、优待金、退休费动态调整政策，依法保障退役军人合法权益。</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30" w:firstLine="638"/>
      </w:pPr>
      <w:r>
        <w:rPr>
          <w:b/>
          <w:spacing w:val="-7"/>
        </w:rPr>
        <w:t>增强医疗救助托底保障。</w:t>
      </w:r>
      <w:r>
        <w:rPr>
          <w:spacing w:val="-9"/>
        </w:rPr>
        <w:t xml:space="preserve">健全医疗保障体系，完善基本医疗保险制度，严格执行国家基本医疗保险待遇清单管理制度， </w:t>
      </w:r>
      <w:r>
        <w:rPr>
          <w:spacing w:val="-13"/>
        </w:rPr>
        <w:t>明确“保基本”的内涵、待遇边界、政策调整的权限、决策制</w:t>
      </w:r>
      <w:r>
        <w:rPr>
          <w:spacing w:val="-16"/>
        </w:rPr>
        <w:t>定的程序，规范生育保险经办流程，完善与社会经济发展相适</w:t>
      </w:r>
      <w:r>
        <w:rPr>
          <w:spacing w:val="-19"/>
        </w:rPr>
        <w:t>应的城乡医疗保障制度。规范补充医疗保险制度。认真执行职</w:t>
      </w:r>
      <w:r>
        <w:rPr>
          <w:spacing w:val="-23"/>
        </w:rPr>
        <w:t>工大额救助医疗保险和城乡居民大病保险制度，健全补充医疗保险与基本医疗保险的待遇衔接机制。进一步完善医疗救助经</w:t>
      </w:r>
      <w:r>
        <w:rPr>
          <w:spacing w:val="-29"/>
          <w:w w:val="95"/>
        </w:rPr>
        <w:t>办流程，加大对患重特大疾病造成家庭生活困难人员的救助力度。</w:t>
      </w:r>
    </w:p>
    <w:p>
      <w:pPr>
        <w:spacing w:before="0" w:line="397" w:lineRule="exact"/>
        <w:ind w:left="960" w:right="0" w:firstLine="0"/>
        <w:jc w:val="left"/>
        <w:rPr>
          <w:sz w:val="32"/>
        </w:rPr>
      </w:pPr>
      <w:r>
        <w:rPr>
          <w:b/>
          <w:w w:val="95"/>
          <w:sz w:val="32"/>
        </w:rPr>
        <w:t>加强住房保障体系建设。</w:t>
      </w:r>
      <w:r>
        <w:rPr>
          <w:w w:val="95"/>
          <w:sz w:val="32"/>
        </w:rPr>
        <w:t>建立多主体供给、多渠道保障、</w:t>
      </w:r>
    </w:p>
    <w:p>
      <w:pPr>
        <w:pStyle w:val="3"/>
        <w:spacing w:before="149" w:line="328" w:lineRule="auto"/>
        <w:ind w:right="266"/>
      </w:pPr>
      <w:r>
        <w:rPr>
          <w:spacing w:val="-1"/>
        </w:rPr>
        <w:t xml:space="preserve">租购并举的住房新制度，积极增加保障性住房建设用地供应， </w:t>
      </w:r>
      <w:r>
        <w:rPr>
          <w:spacing w:val="-12"/>
        </w:rPr>
        <w:t>制定保障性住房建设计划，探索利用集体建设用地建设租赁住</w:t>
      </w:r>
      <w:r>
        <w:rPr>
          <w:spacing w:val="-16"/>
        </w:rPr>
        <w:t>房的路子。加大租赁补贴发放力度，建立补贴标准随市场平均</w:t>
      </w:r>
      <w:r>
        <w:rPr>
          <w:spacing w:val="-19"/>
        </w:rPr>
        <w:t>租金变化进行动态调整的机制。加快推进住房保障领域信用体</w:t>
      </w:r>
      <w:r>
        <w:rPr>
          <w:spacing w:val="-15"/>
        </w:rPr>
        <w:t>系建设，进一步健全和完善住房保障失信惩戒机制。全面加强</w:t>
      </w:r>
      <w:r>
        <w:rPr>
          <w:spacing w:val="-17"/>
        </w:rPr>
        <w:t>住房保障管理能力，推进信息化、智能化技术成果的应用，切</w:t>
      </w:r>
      <w:r>
        <w:rPr>
          <w:spacing w:val="-20"/>
        </w:rPr>
        <w:t>实提升公租房社区居住品质。在确保住房保障服务效率和质量</w:t>
      </w:r>
      <w:r>
        <w:rPr>
          <w:spacing w:val="-16"/>
        </w:rPr>
        <w:t>的前提下，积极探索政府购买公租房运营管理服务，吸引企业和其他机构参与公租房运营管理。</w:t>
      </w:r>
    </w:p>
    <w:p>
      <w:pPr>
        <w:spacing w:before="0" w:line="395" w:lineRule="exact"/>
        <w:ind w:left="960" w:right="0" w:firstLine="0"/>
        <w:jc w:val="left"/>
        <w:rPr>
          <w:sz w:val="32"/>
        </w:rPr>
      </w:pPr>
      <w:r>
        <w:rPr>
          <w:b/>
          <w:spacing w:val="-12"/>
          <w:w w:val="95"/>
          <w:sz w:val="32"/>
        </w:rPr>
        <w:t>提升基本民生保障服务水平。</w:t>
      </w:r>
      <w:r>
        <w:rPr>
          <w:w w:val="95"/>
          <w:sz w:val="32"/>
        </w:rPr>
        <w:t>严格落实婚姻管理规范化要</w:t>
      </w:r>
    </w:p>
    <w:p>
      <w:pPr>
        <w:pStyle w:val="3"/>
        <w:spacing w:before="152" w:line="328" w:lineRule="auto"/>
        <w:ind w:right="242"/>
      </w:pPr>
      <w:r>
        <w:rPr>
          <w:spacing w:val="-19"/>
          <w:w w:val="95"/>
        </w:rPr>
        <w:t xml:space="preserve">求，优化工作流程，加强婚姻登记员队伍及登记处软硬件建设， </w:t>
      </w:r>
      <w:r>
        <w:rPr>
          <w:spacing w:val="-20"/>
        </w:rPr>
        <w:t>积极营造温馨祥和的登记环境。探索引入社会购买服务，提高</w:t>
      </w:r>
      <w:r>
        <w:rPr>
          <w:spacing w:val="-21"/>
        </w:rPr>
        <w:t>特殊困难群体生活保障水平。突出殡葬服务公益性，大力推进殡葬基本公共服务体系建设，逐步提高树葬、花葬等生态安葬</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pPr>
      <w:r>
        <w:t>比例，大力推进生态殡葬。</w:t>
      </w:r>
    </w:p>
    <w:p>
      <w:pPr>
        <w:pStyle w:val="3"/>
        <w:tabs>
          <w:tab w:val="left" w:pos="1279"/>
        </w:tabs>
        <w:spacing w:before="214"/>
        <w:ind w:left="0" w:right="77"/>
        <w:jc w:val="center"/>
        <w:rPr>
          <w:rFonts w:hint="eastAsia" w:ascii="宋体" w:eastAsia="宋体"/>
        </w:rPr>
      </w:pPr>
      <w:bookmarkStart w:id="53" w:name="第三节  全力促进人口长期均衡发展"/>
      <w:bookmarkEnd w:id="53"/>
      <w:r>
        <w:rPr>
          <w:rFonts w:hint="eastAsia" w:ascii="宋体" w:eastAsia="宋体"/>
        </w:rPr>
        <w:t>第三节</w:t>
      </w:r>
      <w:r>
        <w:rPr>
          <w:rFonts w:hint="eastAsia" w:ascii="宋体" w:eastAsia="宋体"/>
        </w:rPr>
        <w:tab/>
      </w:r>
      <w:r>
        <w:rPr>
          <w:rFonts w:hint="eastAsia" w:ascii="宋体" w:eastAsia="宋体"/>
        </w:rPr>
        <w:t>全力促进人口长期均衡发展</w:t>
      </w:r>
    </w:p>
    <w:p>
      <w:pPr>
        <w:pStyle w:val="3"/>
        <w:spacing w:before="149" w:line="328" w:lineRule="auto"/>
        <w:ind w:right="399" w:firstLine="638"/>
        <w:jc w:val="both"/>
      </w:pPr>
      <w:r>
        <w:rPr>
          <w:spacing w:val="-11"/>
        </w:rPr>
        <w:t>积极应对人口老龄化。落实国家生育政策，提高优生优育</w:t>
      </w:r>
      <w:r>
        <w:rPr>
          <w:spacing w:val="-15"/>
          <w:w w:val="95"/>
        </w:rPr>
        <w:t xml:space="preserve">服务水平，降低生育、养育、教育成本，促进人口长期均衡发 </w:t>
      </w:r>
      <w:r>
        <w:rPr>
          <w:spacing w:val="-15"/>
        </w:rPr>
        <w:t>展，提高人口素质。</w:t>
      </w:r>
    </w:p>
    <w:p>
      <w:pPr>
        <w:pStyle w:val="3"/>
        <w:spacing w:line="328" w:lineRule="auto"/>
        <w:ind w:right="242" w:firstLine="638"/>
      </w:pPr>
      <w:r>
        <w:rPr>
          <w:b/>
          <w:spacing w:val="-6"/>
        </w:rPr>
        <w:t>构建更加完善的养老服务体系。</w:t>
      </w:r>
      <w:r>
        <w:rPr>
          <w:spacing w:val="-9"/>
        </w:rPr>
        <w:t>坚持居家为基础，社区为</w:t>
      </w:r>
      <w:r>
        <w:rPr>
          <w:spacing w:val="-13"/>
        </w:rPr>
        <w:t>依托，机构为补充，积极推进各类养老机构建设，构建多层次</w:t>
      </w:r>
      <w:r>
        <w:rPr>
          <w:spacing w:val="-21"/>
          <w:w w:val="95"/>
        </w:rPr>
        <w:t xml:space="preserve">养老服务体系，提升养老服务业发展水平。综合运用政府购买、 </w:t>
      </w:r>
      <w:r>
        <w:rPr>
          <w:spacing w:val="-21"/>
        </w:rPr>
        <w:t>社会投资、公益慈善捐助和个人家庭支持等方式，完善居家、</w:t>
      </w:r>
      <w:r>
        <w:rPr>
          <w:spacing w:val="-16"/>
        </w:rPr>
        <w:t>社区、机构相衔接的专业照护体系。加快养老服务基础设施建</w:t>
      </w:r>
      <w:r>
        <w:rPr>
          <w:spacing w:val="-14"/>
        </w:rPr>
        <w:t>设，持续推动智慧健康养老产业发展，完善农村幸福院等互助</w:t>
      </w:r>
      <w:r>
        <w:rPr>
          <w:spacing w:val="-19"/>
        </w:rPr>
        <w:t xml:space="preserve">养老设施，开展社区养老设施配建工作，镇街至少建有 </w:t>
      </w:r>
      <w:r>
        <w:t>1</w:t>
      </w:r>
      <w:r>
        <w:rPr>
          <w:spacing w:val="-28"/>
        </w:rPr>
        <w:t xml:space="preserve"> 所示</w:t>
      </w:r>
      <w:r>
        <w:rPr>
          <w:spacing w:val="-30"/>
        </w:rPr>
        <w:t>范性的居家养老服务中心</w:t>
      </w:r>
      <w:r>
        <w:t>（站</w:t>
      </w:r>
      <w:r>
        <w:rPr>
          <w:spacing w:val="-45"/>
        </w:rPr>
        <w:t>）</w:t>
      </w:r>
      <w:r>
        <w:rPr>
          <w:spacing w:val="-7"/>
        </w:rPr>
        <w:t>，城市社区日间照料中心机构覆盖率不低于</w:t>
      </w:r>
      <w:r>
        <w:rPr>
          <w:spacing w:val="-84"/>
        </w:rPr>
        <w:t xml:space="preserve"> </w:t>
      </w:r>
      <w:r>
        <w:rPr>
          <w:spacing w:val="6"/>
        </w:rPr>
        <w:t>90</w:t>
      </w:r>
      <w:r>
        <w:rPr>
          <w:spacing w:val="11"/>
          <w:w w:val="99"/>
        </w:rPr>
        <w:drawing>
          <wp:inline distT="0" distB="0" distL="0" distR="0">
            <wp:extent cx="85090" cy="154940"/>
            <wp:effectExtent l="0" t="0" r="0" b="0"/>
            <wp:docPr id="67"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7"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，社区养老设施配建达标率达到</w:t>
      </w:r>
      <w:r>
        <w:rPr>
          <w:spacing w:val="-86"/>
        </w:rPr>
        <w:t xml:space="preserve"> </w:t>
      </w:r>
      <w:r>
        <w:rPr>
          <w:spacing w:val="3"/>
        </w:rPr>
        <w:t>100</w:t>
      </w:r>
      <w:r>
        <w:rPr>
          <w:spacing w:val="8"/>
          <w:w w:val="99"/>
        </w:rPr>
        <w:drawing>
          <wp:inline distT="0" distB="0" distL="0" distR="0">
            <wp:extent cx="85090" cy="154940"/>
            <wp:effectExtent l="0" t="0" r="0" b="0"/>
            <wp:docPr id="69" name="image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9" name="image2.png"/>
                    <pic:cNvPicPr>
                      <a:picLocks noChangeAspect="true"/>
                    </pic:cNvPicPr>
                  </pic:nvPicPr>
                  <pic:blipFill>
                    <a:blip r:embed="rId23" cstate="print"/>
                    <a:stretch>
                      <a:fillRect/>
                    </a:stretch>
                  </pic:blipFill>
                  <pic:spPr>
                    <a:xfrm>
                      <a:off x="0" y="0"/>
                      <a:ext cx="85724" cy="155574"/>
                    </a:xfrm>
                    <a:prstGeom prst="rect">
                      <a:avLst/>
                    </a:prstGeom>
                  </pic:spPr>
                </pic:pic>
              </a:graphicData>
            </a:graphic>
          </wp:inline>
        </w:drawing>
      </w:r>
      <w:r>
        <w:t>。</w:t>
      </w:r>
    </w:p>
    <w:p>
      <w:pPr>
        <w:spacing w:before="0" w:line="395" w:lineRule="exact"/>
        <w:ind w:left="960" w:right="0" w:firstLine="0"/>
        <w:jc w:val="left"/>
        <w:rPr>
          <w:sz w:val="32"/>
        </w:rPr>
      </w:pPr>
      <w:r>
        <w:rPr>
          <w:b/>
          <w:sz w:val="32"/>
        </w:rPr>
        <w:t>加强妇女儿童权益保护。</w:t>
      </w:r>
      <w:r>
        <w:rPr>
          <w:sz w:val="32"/>
        </w:rPr>
        <w:t>营造男女平等的就业环境，促进</w:t>
      </w:r>
    </w:p>
    <w:p>
      <w:pPr>
        <w:pStyle w:val="3"/>
        <w:spacing w:before="144" w:line="328" w:lineRule="auto"/>
        <w:ind w:right="266"/>
        <w:jc w:val="both"/>
      </w:pPr>
      <w:r>
        <w:rPr>
          <w:spacing w:val="-14"/>
        </w:rPr>
        <w:t>妇女平等就业、体面劳动、全面发展。积极推进婴幼儿照护服</w:t>
      </w:r>
      <w:r>
        <w:rPr>
          <w:spacing w:val="-29"/>
        </w:rPr>
        <w:t xml:space="preserve">务事业，促进 </w:t>
      </w:r>
      <w:r>
        <w:t>3</w:t>
      </w:r>
      <w:r>
        <w:rPr>
          <w:spacing w:val="-14"/>
        </w:rPr>
        <w:t xml:space="preserve"> 岁以下婴幼儿照护服务发展。大力提高特殊群</w:t>
      </w:r>
      <w:r>
        <w:rPr>
          <w:spacing w:val="-16"/>
        </w:rPr>
        <w:t>体的保障水平，完善帮扶残疾人、孤儿等特殊群体社会福利制</w:t>
      </w:r>
      <w:r>
        <w:rPr>
          <w:spacing w:val="-22"/>
        </w:rPr>
        <w:t xml:space="preserve">度。全面实行残疾儿童 </w:t>
      </w:r>
      <w:r>
        <w:t>15</w:t>
      </w:r>
      <w:r>
        <w:rPr>
          <w:spacing w:val="-9"/>
        </w:rPr>
        <w:t xml:space="preserve"> 年免费教育，支持儿童福利机构开</w:t>
      </w:r>
      <w:r>
        <w:rPr>
          <w:spacing w:val="-14"/>
        </w:rPr>
        <w:t>办特教班。加强儿童福利机构和未成年救助保护机构规范化建</w:t>
      </w:r>
      <w:r>
        <w:rPr>
          <w:spacing w:val="-14"/>
          <w:w w:val="95"/>
        </w:rPr>
        <w:t>设，健全分层分类的社会救助体系，兜牢基本民生保障底线。</w:t>
      </w:r>
    </w:p>
    <w:p>
      <w:pPr>
        <w:pStyle w:val="3"/>
        <w:spacing w:line="328" w:lineRule="auto"/>
        <w:ind w:right="266" w:firstLine="638"/>
      </w:pPr>
      <w:r>
        <w:rPr>
          <w:b/>
          <w:spacing w:val="-7"/>
        </w:rPr>
        <w:t>均衡人口布局。</w:t>
      </w:r>
      <w:r>
        <w:rPr>
          <w:spacing w:val="-10"/>
        </w:rPr>
        <w:t>提升城市、城镇基础和社会设施建设，提</w:t>
      </w:r>
      <w:r>
        <w:rPr>
          <w:spacing w:val="-11"/>
          <w:w w:val="95"/>
        </w:rPr>
        <w:t>高产业支撑能力，为农村劳动力转移人口提供就近就业机会，</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399"/>
      </w:pPr>
      <w:r>
        <w:rPr>
          <w:spacing w:val="-11"/>
          <w:w w:val="95"/>
        </w:rPr>
        <w:t xml:space="preserve">吸引中青年劳动力回流。促进职住平衡，加大产业园区周边住 </w:t>
      </w:r>
      <w:r>
        <w:rPr>
          <w:spacing w:val="-11"/>
        </w:rPr>
        <w:t>宅、商业、教育、医疗等资源布局，促进产城融合发展。</w:t>
      </w:r>
    </w:p>
    <w:p>
      <w:pPr>
        <w:pStyle w:val="3"/>
        <w:spacing w:line="328" w:lineRule="auto"/>
        <w:ind w:right="397" w:firstLine="638"/>
        <w:jc w:val="both"/>
      </w:pPr>
      <w:r>
        <w:rPr>
          <w:b/>
          <w:spacing w:val="-14"/>
        </w:rPr>
        <w:t>提升人口服务管理水平。</w:t>
      </w:r>
      <w:r>
        <w:t>提升我市人口综合服务和管理水</w:t>
      </w:r>
      <w:r>
        <w:rPr>
          <w:spacing w:val="-12"/>
        </w:rPr>
        <w:t>平，建立健全覆盖流动人口的服务管理、权益保障、社会保障</w:t>
      </w:r>
      <w:r>
        <w:rPr>
          <w:spacing w:val="-16"/>
        </w:rPr>
        <w:t>和公共服务体系，推动流动人口基本公共服务均等化。加强人</w:t>
      </w:r>
      <w:r>
        <w:rPr>
          <w:spacing w:val="-16"/>
          <w:w w:val="95"/>
        </w:rPr>
        <w:t xml:space="preserve">口统计监测，提升信息化水平，全面掌握我市人口信息，做好 </w:t>
      </w:r>
      <w:r>
        <w:rPr>
          <w:spacing w:val="-16"/>
        </w:rPr>
        <w:t>人口、产业和城市空间布局联动。</w:t>
      </w:r>
    </w:p>
    <w:p>
      <w:pPr>
        <w:pStyle w:val="3"/>
        <w:tabs>
          <w:tab w:val="left" w:pos="1600"/>
        </w:tabs>
        <w:spacing w:before="146"/>
        <w:ind w:left="0" w:right="80"/>
        <w:jc w:val="center"/>
        <w:rPr>
          <w:rFonts w:hint="eastAsia" w:ascii="黑体" w:eastAsia="黑体"/>
        </w:rPr>
      </w:pPr>
      <w:bookmarkStart w:id="54" w:name="第十二章  坚持德治法治相结合，推进社会治理现代化"/>
      <w:bookmarkEnd w:id="54"/>
      <w:r>
        <w:rPr>
          <w:rFonts w:hint="eastAsia" w:ascii="黑体" w:eastAsia="黑体"/>
        </w:rPr>
        <w:t>第十二章</w:t>
      </w:r>
      <w:r>
        <w:rPr>
          <w:rFonts w:hint="eastAsia" w:ascii="黑体" w:eastAsia="黑体"/>
        </w:rPr>
        <w:tab/>
      </w:r>
      <w:r>
        <w:rPr>
          <w:rFonts w:hint="eastAsia" w:ascii="黑体" w:eastAsia="黑体"/>
        </w:rPr>
        <w:t>坚持德治法治相结合，推进社会治理现代化</w:t>
      </w:r>
    </w:p>
    <w:p>
      <w:pPr>
        <w:pStyle w:val="3"/>
        <w:spacing w:before="168" w:line="328" w:lineRule="auto"/>
        <w:ind w:right="399" w:firstLine="638"/>
        <w:jc w:val="both"/>
      </w:pPr>
      <w:r>
        <w:rPr>
          <w:spacing w:val="-7"/>
        </w:rPr>
        <w:t>将社会主义核心价值观全面融入社会建设全过程，使法治</w:t>
      </w:r>
      <w:r>
        <w:rPr>
          <w:spacing w:val="-14"/>
          <w:w w:val="95"/>
        </w:rPr>
        <w:t xml:space="preserve">和德治在社会治理中相互补充、相互促进、相得益彰，推进社 </w:t>
      </w:r>
      <w:r>
        <w:rPr>
          <w:spacing w:val="-14"/>
        </w:rPr>
        <w:t>会治理体系和治理能力现代化。</w:t>
      </w:r>
    </w:p>
    <w:p>
      <w:pPr>
        <w:pStyle w:val="3"/>
        <w:tabs>
          <w:tab w:val="left" w:pos="1279"/>
        </w:tabs>
        <w:spacing w:before="58"/>
        <w:ind w:left="0" w:right="77"/>
        <w:jc w:val="center"/>
        <w:rPr>
          <w:rFonts w:hint="eastAsia" w:ascii="宋体" w:eastAsia="宋体"/>
        </w:rPr>
      </w:pPr>
      <w:bookmarkStart w:id="55" w:name="第一节  建设美德滕州"/>
      <w:bookmarkEnd w:id="55"/>
      <w:r>
        <w:rPr>
          <w:rFonts w:hint="eastAsia" w:ascii="宋体" w:eastAsia="宋体"/>
        </w:rPr>
        <w:t>第一节</w:t>
      </w:r>
      <w:r>
        <w:rPr>
          <w:rFonts w:hint="eastAsia" w:ascii="宋体" w:eastAsia="宋体"/>
        </w:rPr>
        <w:tab/>
      </w:r>
      <w:r>
        <w:rPr>
          <w:rFonts w:hint="eastAsia" w:ascii="宋体" w:eastAsia="宋体"/>
        </w:rPr>
        <w:t>建设美德滕州</w:t>
      </w:r>
    </w:p>
    <w:p>
      <w:pPr>
        <w:pStyle w:val="3"/>
        <w:spacing w:before="149" w:line="328" w:lineRule="auto"/>
        <w:ind w:right="238" w:firstLine="638"/>
      </w:pPr>
      <w:r>
        <w:rPr>
          <w:spacing w:val="-9"/>
        </w:rPr>
        <w:t>着眼传承弘扬滕州丰厚的历史文化，增强道德对经济社会</w:t>
      </w:r>
      <w:r>
        <w:rPr>
          <w:spacing w:val="-16"/>
        </w:rPr>
        <w:t>发展的价值引导力、文化凝聚力、精神推动力。深入践行社会</w:t>
      </w:r>
      <w:r>
        <w:rPr>
          <w:spacing w:val="-22"/>
          <w:w w:val="95"/>
        </w:rPr>
        <w:t xml:space="preserve">主义核心价值观，以德治促进善治，实现多元共治、和谐善治， </w:t>
      </w:r>
      <w:r>
        <w:rPr>
          <w:spacing w:val="-28"/>
          <w:w w:val="99"/>
        </w:rPr>
        <w:t>让上善滕州实至名归；以美德引领风尚，深化实施“四德工程”，</w:t>
      </w:r>
      <w:r>
        <w:rPr>
          <w:spacing w:val="-25"/>
        </w:rPr>
        <w:t>广泛开展“感动滕州”先模人物、“最美滕州人”等评选表彰</w:t>
      </w:r>
      <w:r>
        <w:rPr>
          <w:spacing w:val="-19"/>
        </w:rPr>
        <w:t>和学习宣传活动，让“善”为“美”注入核心内涵，激励引导</w:t>
      </w:r>
      <w:r>
        <w:rPr>
          <w:spacing w:val="-18"/>
        </w:rPr>
        <w:t>广大干部群众明大德、守公德、严私德，凝聚起崇德向善的强大正能量。</w:t>
      </w:r>
    </w:p>
    <w:p>
      <w:pPr>
        <w:pStyle w:val="3"/>
        <w:tabs>
          <w:tab w:val="left" w:pos="1279"/>
        </w:tabs>
        <w:spacing w:before="49"/>
        <w:ind w:left="0" w:right="77"/>
        <w:jc w:val="center"/>
        <w:rPr>
          <w:rFonts w:hint="eastAsia" w:ascii="宋体" w:eastAsia="宋体"/>
        </w:rPr>
      </w:pPr>
      <w:bookmarkStart w:id="56" w:name="第二节  建设文明滕州"/>
      <w:bookmarkEnd w:id="56"/>
      <w:r>
        <w:rPr>
          <w:rFonts w:hint="eastAsia" w:ascii="宋体" w:eastAsia="宋体"/>
        </w:rPr>
        <w:t>第二节</w:t>
      </w:r>
      <w:r>
        <w:rPr>
          <w:rFonts w:hint="eastAsia" w:ascii="宋体" w:eastAsia="宋体"/>
        </w:rPr>
        <w:tab/>
      </w:r>
      <w:r>
        <w:rPr>
          <w:rFonts w:hint="eastAsia" w:ascii="宋体" w:eastAsia="宋体"/>
        </w:rPr>
        <w:t>建设文明滕州</w:t>
      </w:r>
    </w:p>
    <w:p>
      <w:pPr>
        <w:pStyle w:val="3"/>
        <w:spacing w:before="150" w:line="326" w:lineRule="auto"/>
        <w:ind w:right="401" w:firstLine="638"/>
      </w:pPr>
      <w:r>
        <w:rPr>
          <w:spacing w:val="-9"/>
          <w:w w:val="95"/>
        </w:rPr>
        <w:t xml:space="preserve">顺应新时代发展的更高要求，打造高品质发展环境，让滕 </w:t>
      </w:r>
      <w:r>
        <w:rPr>
          <w:spacing w:val="-15"/>
          <w:w w:val="95"/>
        </w:rPr>
        <w:t>州更具吸引力。打造文明和谐的城乡环境，突出全国文明城市</w:t>
      </w:r>
    </w:p>
    <w:p>
      <w:pPr>
        <w:spacing w:after="0" w:line="326" w:lineRule="auto"/>
        <w:sectPr>
          <w:pgSz w:w="11910" w:h="16840"/>
          <w:pgMar w:top="1580" w:right="1300" w:bottom="1540" w:left="1380" w:header="0" w:footer="1346" w:gutter="0"/>
          <w:cols w:space="720" w:num="1"/>
        </w:sectPr>
      </w:pPr>
    </w:p>
    <w:p>
      <w:pPr>
        <w:pStyle w:val="3"/>
        <w:spacing w:before="3"/>
        <w:ind w:left="0"/>
        <w:rPr>
          <w:sz w:val="15"/>
        </w:rPr>
      </w:pPr>
    </w:p>
    <w:p>
      <w:pPr>
        <w:pStyle w:val="3"/>
        <w:spacing w:before="55" w:line="328" w:lineRule="auto"/>
        <w:ind w:right="266"/>
      </w:pPr>
      <w:r>
        <w:rPr>
          <w:spacing w:val="-12"/>
        </w:rPr>
        <w:t>创建，高标准打造文明的环境，扎实推进美丽乡村、美丽村居</w:t>
      </w:r>
      <w:r>
        <w:rPr>
          <w:spacing w:val="-14"/>
        </w:rPr>
        <w:t>建设，广泛开展文明机关、文明校园、文明村镇、文明社区等</w:t>
      </w:r>
      <w:r>
        <w:rPr>
          <w:spacing w:val="-18"/>
        </w:rPr>
        <w:t>群众性文明创建活动，进一步完善提升基础设施，让城乡处处</w:t>
      </w:r>
      <w:r>
        <w:rPr>
          <w:spacing w:val="-16"/>
        </w:rPr>
        <w:t>呈现街巷净、建筑美、河道清、气象新的良好风貌。倡导文明</w:t>
      </w:r>
      <w:r>
        <w:rPr>
          <w:spacing w:val="-17"/>
        </w:rPr>
        <w:t xml:space="preserve">的生产生活方式，引导广大市民从自身做起、从点滴做起，积极参与文明出行、文明上网以及垃圾分类、志愿服务等活动， </w:t>
      </w:r>
      <w:r>
        <w:rPr>
          <w:spacing w:val="-9"/>
        </w:rPr>
        <w:t>在全社会形成文明创建人人可为、时时可为、处处可为的良好</w:t>
      </w:r>
      <w:r>
        <w:rPr>
          <w:spacing w:val="-10"/>
        </w:rPr>
        <w:t>氛围。抓好文明传承，发挥好镇</w:t>
      </w:r>
      <w:r>
        <w:t>（街</w:t>
      </w:r>
      <w:r>
        <w:rPr>
          <w:spacing w:val="-22"/>
        </w:rPr>
        <w:t>）村</w:t>
      </w:r>
      <w:r>
        <w:t>（社区</w:t>
      </w:r>
      <w:r>
        <w:rPr>
          <w:spacing w:val="-22"/>
        </w:rPr>
        <w:t>）</w:t>
      </w:r>
      <w:r>
        <w:t>文明实践中</w:t>
      </w:r>
      <w:r>
        <w:rPr>
          <w:spacing w:val="-13"/>
        </w:rPr>
        <w:t>心、孔子学堂等载体的宣传教育阵地作用，引导广大市民传家风、带民风、树新风，展现滕州城乡文明的独特魅力。</w:t>
      </w:r>
    </w:p>
    <w:p>
      <w:pPr>
        <w:pStyle w:val="3"/>
        <w:tabs>
          <w:tab w:val="left" w:pos="1279"/>
        </w:tabs>
        <w:spacing w:before="44"/>
        <w:ind w:left="0" w:right="77"/>
        <w:jc w:val="center"/>
        <w:rPr>
          <w:rFonts w:hint="eastAsia" w:ascii="宋体" w:eastAsia="宋体"/>
        </w:rPr>
      </w:pPr>
      <w:bookmarkStart w:id="57" w:name="第三节  建设法治滕州"/>
      <w:bookmarkEnd w:id="57"/>
      <w:r>
        <w:rPr>
          <w:rFonts w:hint="eastAsia" w:ascii="宋体" w:eastAsia="宋体"/>
        </w:rPr>
        <w:t>第三节</w:t>
      </w:r>
      <w:r>
        <w:rPr>
          <w:rFonts w:hint="eastAsia" w:ascii="宋体" w:eastAsia="宋体"/>
        </w:rPr>
        <w:tab/>
      </w:r>
      <w:r>
        <w:rPr>
          <w:rFonts w:hint="eastAsia" w:ascii="宋体" w:eastAsia="宋体"/>
        </w:rPr>
        <w:t>建设法治滕州</w:t>
      </w:r>
    </w:p>
    <w:p>
      <w:pPr>
        <w:pStyle w:val="3"/>
        <w:spacing w:before="152" w:line="328" w:lineRule="auto"/>
        <w:ind w:right="238" w:firstLine="638"/>
      </w:pPr>
      <w:r>
        <w:rPr>
          <w:spacing w:val="6"/>
        </w:rPr>
        <w:t>贯彻习近平法治思想，坚持党对依法治市工作的绝对领</w:t>
      </w:r>
      <w:r>
        <w:rPr>
          <w:spacing w:val="-11"/>
        </w:rPr>
        <w:t>导，履行党政主要负责人推进法制建设第一责任职责，统筹推</w:t>
      </w:r>
      <w:r>
        <w:rPr>
          <w:spacing w:val="-15"/>
        </w:rPr>
        <w:t>进科学立法、严格执法、公正司法和全民守法，打造法治滕州金字招牌。以创建“全国法治政府建设示范市”为抓手，深入</w:t>
      </w:r>
      <w:r>
        <w:rPr>
          <w:spacing w:val="-16"/>
        </w:rPr>
        <w:t>推进依法行政，强化法治思维，严格按照法定权限、法定程序</w:t>
      </w:r>
      <w:r>
        <w:rPr>
          <w:spacing w:val="-21"/>
          <w:w w:val="95"/>
        </w:rPr>
        <w:t xml:space="preserve">行使权力、履行职责、管理事务。全面推行行政执法公示制度、 </w:t>
      </w:r>
      <w:r>
        <w:rPr>
          <w:spacing w:val="-24"/>
        </w:rPr>
        <w:t>执法全过程记录制度和重大执法决定法制审核制度，健全日常</w:t>
      </w:r>
      <w:r>
        <w:rPr>
          <w:spacing w:val="-15"/>
        </w:rPr>
        <w:t>监督、专项监督和个案监督相结合的行政执法监督机制。深入</w:t>
      </w:r>
      <w:r>
        <w:rPr>
          <w:spacing w:val="-19"/>
        </w:rPr>
        <w:t>推进综合行政执法体制改革，进一步完善行政管理与综合执法</w:t>
      </w:r>
      <w:r>
        <w:rPr>
          <w:spacing w:val="-18"/>
        </w:rPr>
        <w:t>协作配合工作机制，提升综合行政执法效能。推行“双随机</w:t>
      </w:r>
      <w:r>
        <w:rPr>
          <w:rFonts w:hint="eastAsia"/>
          <w:spacing w:val="-18"/>
          <w:lang w:eastAsia="zh-CN"/>
        </w:rPr>
        <w:t>、</w:t>
      </w:r>
      <w:r>
        <w:rPr>
          <w:spacing w:val="-18"/>
        </w:rPr>
        <w:t xml:space="preserve">一公开”监管方式，提升事中事后监管实效。健全“投诉即办” </w:t>
      </w:r>
      <w:r>
        <w:rPr>
          <w:spacing w:val="-25"/>
          <w:w w:val="99"/>
        </w:rPr>
        <w:t>“免罚清单”“法律服务代理”“限时清欠”机制，全面落实行</w:t>
      </w:r>
    </w:p>
    <w:p>
      <w:pPr>
        <w:spacing w:after="0" w:line="328" w:lineRule="auto"/>
        <w:sectPr>
          <w:pgSz w:w="11910" w:h="16840"/>
          <w:pgMar w:top="1580" w:right="1300" w:bottom="1540" w:left="1380" w:header="0" w:footer="1346" w:gutter="0"/>
          <w:cols w:space="720" w:num="1"/>
        </w:sectPr>
      </w:pPr>
    </w:p>
    <w:p>
      <w:pPr>
        <w:pStyle w:val="3"/>
        <w:spacing w:before="3"/>
        <w:ind w:left="0"/>
        <w:rPr>
          <w:sz w:val="15"/>
        </w:rPr>
      </w:pPr>
    </w:p>
    <w:p>
      <w:pPr>
        <w:pStyle w:val="3"/>
        <w:spacing w:before="55" w:line="328" w:lineRule="auto"/>
        <w:ind w:right="397"/>
        <w:jc w:val="both"/>
      </w:pPr>
      <w:r>
        <w:rPr>
          <w:spacing w:val="-11"/>
        </w:rPr>
        <w:t>政执法责任制，依法平等保护各类市场主体合法权益。深入开</w:t>
      </w:r>
      <w:r>
        <w:rPr>
          <w:spacing w:val="-17"/>
        </w:rPr>
        <w:t>展以宪法和民法典为核心的“法治六进”系列普法宣传教育活</w:t>
      </w:r>
      <w:r>
        <w:rPr>
          <w:spacing w:val="-14"/>
        </w:rPr>
        <w:t>动，全面实施“八五”普法规划，增强全民法治观念，形成全</w:t>
      </w:r>
      <w:r>
        <w:rPr>
          <w:spacing w:val="-19"/>
        </w:rPr>
        <w:t>社会尊法学法守法用法的良好氛围。坚持把非诉讼纠纷解决机</w:t>
      </w:r>
      <w:r>
        <w:rPr>
          <w:spacing w:val="-17"/>
          <w:w w:val="95"/>
        </w:rPr>
        <w:t xml:space="preserve">制挺在前面，完善公共法律服务体系建设。贯彻落实《山东省 </w:t>
      </w:r>
      <w:r>
        <w:rPr>
          <w:spacing w:val="-18"/>
        </w:rPr>
        <w:t>社会信用条例》，健全以信用体系为核心的社会治理机制，严</w:t>
      </w:r>
      <w:r>
        <w:rPr>
          <w:spacing w:val="-23"/>
        </w:rPr>
        <w:t>格兑现政府向社会及行政相对人依法作出的政策承诺，认真履</w:t>
      </w:r>
      <w:r>
        <w:rPr>
          <w:spacing w:val="-18"/>
        </w:rPr>
        <w:t>行在招商引资、政府与社会资本合作等活动中依法签订的各类</w:t>
      </w:r>
      <w:r>
        <w:rPr>
          <w:spacing w:val="-15"/>
          <w:w w:val="95"/>
        </w:rPr>
        <w:t xml:space="preserve">合同，加快推进社会信用体系建设，健全各行业领域信用管理 </w:t>
      </w:r>
      <w:r>
        <w:rPr>
          <w:spacing w:val="-14"/>
        </w:rPr>
        <w:t>制度，完善守信联合激励和失信联合惩戒制度，提高社会诚信意识和信用水平。</w:t>
      </w:r>
    </w:p>
    <w:p>
      <w:pPr>
        <w:pStyle w:val="3"/>
        <w:tabs>
          <w:tab w:val="left" w:pos="1279"/>
        </w:tabs>
        <w:spacing w:before="25"/>
        <w:ind w:left="0" w:right="77"/>
        <w:jc w:val="center"/>
        <w:rPr>
          <w:rFonts w:hint="eastAsia" w:ascii="宋体" w:eastAsia="宋体"/>
        </w:rPr>
      </w:pPr>
      <w:bookmarkStart w:id="58" w:name="第四节  建设平安滕州"/>
      <w:bookmarkEnd w:id="58"/>
      <w:r>
        <w:rPr>
          <w:rFonts w:hint="eastAsia" w:ascii="宋体" w:eastAsia="宋体"/>
        </w:rPr>
        <w:t>第四节</w:t>
      </w:r>
      <w:r>
        <w:rPr>
          <w:rFonts w:hint="eastAsia" w:ascii="宋体" w:eastAsia="宋体"/>
        </w:rPr>
        <w:tab/>
      </w:r>
      <w:r>
        <w:rPr>
          <w:rFonts w:hint="eastAsia" w:ascii="宋体" w:eastAsia="宋体"/>
        </w:rPr>
        <w:t>建设平安滕州</w:t>
      </w:r>
    </w:p>
    <w:p>
      <w:pPr>
        <w:pStyle w:val="3"/>
        <w:spacing w:before="149" w:line="328" w:lineRule="auto"/>
        <w:ind w:right="266" w:firstLine="638"/>
      </w:pPr>
      <w:r>
        <w:rPr>
          <w:spacing w:val="-12"/>
        </w:rPr>
        <w:t>坚持总体国家安全观，把安全发展贯穿于经济社会发展各</w:t>
      </w:r>
      <w:r>
        <w:rPr>
          <w:spacing w:val="-15"/>
        </w:rPr>
        <w:t>领域和全过程。坚持城市消防基础设施建设与城市建设统一规</w:t>
      </w:r>
      <w:r>
        <w:rPr>
          <w:spacing w:val="-13"/>
        </w:rPr>
        <w:t xml:space="preserve">划、同步发展，努力使城市总体布局的消防规划更趋合理。健全安全生产责任和管理制度体系、隐患排查和风险防控体系， </w:t>
      </w:r>
      <w:r>
        <w:rPr>
          <w:spacing w:val="-9"/>
        </w:rPr>
        <w:t>加强监管执法和安全服务，坚决遏制重大安全事故发生，持续</w:t>
      </w:r>
      <w:r>
        <w:rPr>
          <w:spacing w:val="-16"/>
        </w:rPr>
        <w:t xml:space="preserve">巩固安全稳定向好态势。健全金融风险监测预警机制和应对处置机制，重拳整治非法集资、恶意逃废金融债务等违法行为， </w:t>
      </w:r>
      <w:r>
        <w:rPr>
          <w:spacing w:val="-1"/>
        </w:rPr>
        <w:t xml:space="preserve">规范政府债务管理，守牢金融安全底线。强化食药安全监管， </w:t>
      </w:r>
      <w:r>
        <w:rPr>
          <w:spacing w:val="-10"/>
        </w:rPr>
        <w:t>推进食品药品社会共治，确保人民群众饮食用药安全可靠。健</w:t>
      </w:r>
      <w:r>
        <w:rPr>
          <w:spacing w:val="-17"/>
        </w:rPr>
        <w:t>全立体化社会治安防控体系，持续开展扫黑除恶专项斗争，严</w:t>
      </w:r>
      <w:r>
        <w:rPr>
          <w:spacing w:val="-18"/>
        </w:rPr>
        <w:t>厉打击各类违法犯罪活动。充实市直部门、镇街应急队伍，在</w:t>
      </w:r>
    </w:p>
    <w:p>
      <w:pPr>
        <w:spacing w:after="0" w:line="328" w:lineRule="auto"/>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38"/>
      </w:pPr>
      <w:r>
        <mc:AlternateContent>
          <mc:Choice Requires="wps">
            <w:drawing>
              <wp:anchor distT="0" distB="0" distL="114300" distR="114300" simplePos="0" relativeHeight="249894912" behindDoc="1" locked="0" layoutInCell="1" allowOverlap="1">
                <wp:simplePos x="0" y="0"/>
                <wp:positionH relativeFrom="page">
                  <wp:posOffset>1073785</wp:posOffset>
                </wp:positionH>
                <wp:positionV relativeFrom="paragraph">
                  <wp:posOffset>4577080</wp:posOffset>
                </wp:positionV>
                <wp:extent cx="5411470" cy="1374775"/>
                <wp:effectExtent l="4445" t="4445" r="13335" b="11430"/>
                <wp:wrapNone/>
                <wp:docPr id="24" name="文本框 27"/>
                <wp:cNvGraphicFramePr/>
                <a:graphic xmlns:a="http://schemas.openxmlformats.org/drawingml/2006/main">
                  <a:graphicData uri="http://schemas.microsoft.com/office/word/2010/wordprocessingShape">
                    <wps:wsp>
                      <wps:cNvSpPr txBox="true"/>
                      <wps:spPr>
                        <a:xfrm>
                          <a:off x="0" y="0"/>
                          <a:ext cx="5411470" cy="1374775"/>
                        </a:xfrm>
                        <a:prstGeom prst="rect">
                          <a:avLst/>
                        </a:prstGeom>
                        <a:noFill/>
                        <a:ln w="3048" cap="flat" cmpd="sng">
                          <a:solidFill>
                            <a:srgbClr val="000000"/>
                          </a:solidFill>
                          <a:prstDash val="solid"/>
                          <a:miter/>
                          <a:headEnd type="none" w="med" len="med"/>
                          <a:tailEnd type="none" w="med" len="med"/>
                        </a:ln>
                      </wps:spPr>
                      <wps:txbx>
                        <w:txbxContent>
                          <w:p>
                            <w:pPr>
                              <w:spacing w:before="169"/>
                              <w:ind w:left="1836" w:right="0" w:firstLine="0"/>
                              <w:jc w:val="both"/>
                              <w:rPr>
                                <w:b/>
                                <w:sz w:val="28"/>
                              </w:rPr>
                            </w:pPr>
                            <w:r>
                              <w:rPr>
                                <w:b/>
                                <w:spacing w:val="-25"/>
                                <w:sz w:val="28"/>
                              </w:rPr>
                              <w:t xml:space="preserve">专栏 </w:t>
                            </w:r>
                            <w:r>
                              <w:rPr>
                                <w:rFonts w:ascii="Times New Roman" w:eastAsia="Times New Roman"/>
                                <w:b/>
                                <w:sz w:val="28"/>
                              </w:rPr>
                              <w:t>17</w:t>
                            </w:r>
                            <w:r>
                              <w:rPr>
                                <w:rFonts w:ascii="Times New Roman" w:eastAsia="Times New Roman"/>
                                <w:b/>
                                <w:spacing w:val="66"/>
                                <w:sz w:val="28"/>
                              </w:rPr>
                              <w:t xml:space="preserve"> </w:t>
                            </w:r>
                            <w:r>
                              <w:rPr>
                                <w:b/>
                                <w:sz w:val="28"/>
                              </w:rPr>
                              <w:t>社会治理能力提升类重点项目</w:t>
                            </w:r>
                          </w:p>
                          <w:p>
                            <w:pPr>
                              <w:spacing w:before="74" w:line="266" w:lineRule="auto"/>
                              <w:ind w:left="105" w:right="100" w:firstLine="0"/>
                              <w:jc w:val="both"/>
                              <w:rPr>
                                <w:sz w:val="28"/>
                              </w:rPr>
                            </w:pPr>
                            <w:r>
                              <w:rPr>
                                <w:spacing w:val="-6"/>
                                <w:sz w:val="28"/>
                              </w:rPr>
                              <w:t>滕州市公安局执法办案中心</w:t>
                            </w:r>
                            <w:r>
                              <w:rPr>
                                <w:sz w:val="28"/>
                              </w:rPr>
                              <w:t>（</w:t>
                            </w:r>
                            <w:r>
                              <w:rPr>
                                <w:spacing w:val="-3"/>
                                <w:sz w:val="28"/>
                              </w:rPr>
                              <w:t>荆河派出所</w:t>
                            </w:r>
                            <w:r>
                              <w:rPr>
                                <w:spacing w:val="-32"/>
                                <w:sz w:val="28"/>
                              </w:rPr>
                              <w:t>）</w:t>
                            </w:r>
                            <w:r>
                              <w:rPr>
                                <w:spacing w:val="-7"/>
                                <w:sz w:val="28"/>
                              </w:rPr>
                              <w:t>新建项目、龙泉派出所新</w:t>
                            </w:r>
                            <w:r>
                              <w:rPr>
                                <w:spacing w:val="-10"/>
                                <w:sz w:val="28"/>
                              </w:rPr>
                              <w:t>建项目、北辛派出所新建项目、南沙河派出所新建项目、西岗派出所新建项目、界河派出所新建项目、张汪派出所新建项目、柴胡店派出</w:t>
                            </w:r>
                          </w:p>
                          <w:p>
                            <w:pPr>
                              <w:spacing w:before="5"/>
                              <w:ind w:left="105" w:right="0" w:firstLine="0"/>
                              <w:jc w:val="left"/>
                              <w:rPr>
                                <w:sz w:val="28"/>
                              </w:rPr>
                            </w:pPr>
                            <w:r>
                              <w:rPr>
                                <w:sz w:val="28"/>
                              </w:rPr>
                              <w:t>所新建项目、鲍沟派出所新建项目</w:t>
                            </w:r>
                          </w:p>
                        </w:txbxContent>
                      </wps:txbx>
                      <wps:bodyPr lIns="0" tIns="0" rIns="0" bIns="0" upright="true"/>
                    </wps:wsp>
                  </a:graphicData>
                </a:graphic>
              </wp:anchor>
            </w:drawing>
          </mc:Choice>
          <mc:Fallback>
            <w:pict>
              <v:shape id="文本框 27" o:spid="_x0000_s1026" o:spt="202" type="#_x0000_t202" style="position:absolute;left:0pt;margin-left:84.55pt;margin-top:360.4pt;height:108.25pt;width:426.1pt;mso-position-horizontal-relative:page;z-index:-253421568;mso-width-relative:page;mso-height-relative:page;" filled="f" stroked="t" coordsize="21600,21600" o:gfxdata="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LZ7s6nZAAAADAEAAA8AAAAA&#10;AAAAAQAgAAAAOAAAAGRycy9kb3ducmV2LnhtbFBLAQIUABQAAAAIAIdO4kDwkAAC/QEAAOwDAAAO&#10;AAAAAAAAAAEAIAAAAD4BAABkcnMvZTJvRG9jLnhtbFBLBQYAAAAABgAGAFkBAACtBQAAAAA=&#10;">
                <v:fill on="f" focussize="0,0"/>
                <v:stroke weight="0.24pt" color="#000000" joinstyle="miter"/>
                <v:imagedata o:title=""/>
                <o:lock v:ext="edit" aspectratio="f"/>
                <v:textbox inset="0mm,0mm,0mm,0mm">
                  <w:txbxContent>
                    <w:p>
                      <w:pPr>
                        <w:spacing w:before="169"/>
                        <w:ind w:left="1836" w:right="0" w:firstLine="0"/>
                        <w:jc w:val="both"/>
                        <w:rPr>
                          <w:b/>
                          <w:sz w:val="28"/>
                        </w:rPr>
                      </w:pPr>
                      <w:r>
                        <w:rPr>
                          <w:b/>
                          <w:spacing w:val="-25"/>
                          <w:sz w:val="28"/>
                        </w:rPr>
                        <w:t xml:space="preserve">专栏 </w:t>
                      </w:r>
                      <w:r>
                        <w:rPr>
                          <w:rFonts w:ascii="Times New Roman" w:eastAsia="Times New Roman"/>
                          <w:b/>
                          <w:sz w:val="28"/>
                        </w:rPr>
                        <w:t>17</w:t>
                      </w:r>
                      <w:r>
                        <w:rPr>
                          <w:rFonts w:ascii="Times New Roman" w:eastAsia="Times New Roman"/>
                          <w:b/>
                          <w:spacing w:val="66"/>
                          <w:sz w:val="28"/>
                        </w:rPr>
                        <w:t xml:space="preserve"> </w:t>
                      </w:r>
                      <w:r>
                        <w:rPr>
                          <w:b/>
                          <w:sz w:val="28"/>
                        </w:rPr>
                        <w:t>社会治理能力提升类重点项目</w:t>
                      </w:r>
                    </w:p>
                    <w:p>
                      <w:pPr>
                        <w:spacing w:before="74" w:line="266" w:lineRule="auto"/>
                        <w:ind w:left="105" w:right="100" w:firstLine="0"/>
                        <w:jc w:val="both"/>
                        <w:rPr>
                          <w:sz w:val="28"/>
                        </w:rPr>
                      </w:pPr>
                      <w:r>
                        <w:rPr>
                          <w:spacing w:val="-6"/>
                          <w:sz w:val="28"/>
                        </w:rPr>
                        <w:t>滕州市公安局执法办案中心</w:t>
                      </w:r>
                      <w:r>
                        <w:rPr>
                          <w:sz w:val="28"/>
                        </w:rPr>
                        <w:t>（</w:t>
                      </w:r>
                      <w:r>
                        <w:rPr>
                          <w:spacing w:val="-3"/>
                          <w:sz w:val="28"/>
                        </w:rPr>
                        <w:t>荆河派出所</w:t>
                      </w:r>
                      <w:r>
                        <w:rPr>
                          <w:spacing w:val="-32"/>
                          <w:sz w:val="28"/>
                        </w:rPr>
                        <w:t>）</w:t>
                      </w:r>
                      <w:r>
                        <w:rPr>
                          <w:spacing w:val="-7"/>
                          <w:sz w:val="28"/>
                        </w:rPr>
                        <w:t>新建项目、龙泉派出所新</w:t>
                      </w:r>
                      <w:r>
                        <w:rPr>
                          <w:spacing w:val="-10"/>
                          <w:sz w:val="28"/>
                        </w:rPr>
                        <w:t>建项目、北辛派出所新建项目、南沙河派出所新建项目、西岗派出所新建项目、界河派出所新建项目、张汪派出所新建项目、柴胡店派出</w:t>
                      </w:r>
                    </w:p>
                    <w:p>
                      <w:pPr>
                        <w:spacing w:before="5"/>
                        <w:ind w:left="105" w:right="0" w:firstLine="0"/>
                        <w:jc w:val="left"/>
                        <w:rPr>
                          <w:sz w:val="28"/>
                        </w:rPr>
                      </w:pPr>
                      <w:r>
                        <w:rPr>
                          <w:sz w:val="28"/>
                        </w:rPr>
                        <w:t>所新建项目、鲍沟派出所新建项目</w:t>
                      </w:r>
                    </w:p>
                  </w:txbxContent>
                </v:textbox>
              </v:shape>
            </w:pict>
          </mc:Fallback>
        </mc:AlternateContent>
      </w:r>
      <w:r>
        <w:rPr>
          <w:spacing w:val="-20"/>
          <w:w w:val="95"/>
        </w:rPr>
        <w:t xml:space="preserve">重点行业、领域建立应急救援队伍，健全公共卫生、食品药品、 </w:t>
      </w:r>
      <w:r>
        <w:rPr>
          <w:spacing w:val="-20"/>
        </w:rPr>
        <w:t>自然灾害、事故灾难等监测预警、风险研判和应急救援机制。</w:t>
      </w:r>
      <w:r>
        <w:rPr>
          <w:spacing w:val="-17"/>
        </w:rPr>
        <w:t>完善应急物资、运输、通信、医疗、装备保障体系，优化提升</w:t>
      </w:r>
      <w:r>
        <w:rPr>
          <w:spacing w:val="-19"/>
        </w:rPr>
        <w:t>我市应急救援中心功能，强化应急物资产能保障。依托智慧城</w:t>
      </w:r>
      <w:r>
        <w:rPr>
          <w:spacing w:val="-20"/>
        </w:rPr>
        <w:t xml:space="preserve">市建设，加快建设应急管理系统信息平台、战略物资储备平台， </w:t>
      </w:r>
      <w:r>
        <w:rPr>
          <w:spacing w:val="-7"/>
          <w:w w:val="99"/>
        </w:rPr>
        <w:t>打造应急管理新模式。坚持和发展新时代“枫桥经验”，健全</w:t>
      </w:r>
      <w:r>
        <w:rPr>
          <w:spacing w:val="-8"/>
        </w:rPr>
        <w:t>完善基层社会治理“</w:t>
      </w:r>
      <w:r>
        <w:t>12345</w:t>
      </w:r>
      <w:r>
        <w:rPr>
          <w:spacing w:val="-4"/>
        </w:rPr>
        <w:t>”工作体系，充分发挥</w:t>
      </w:r>
      <w:r>
        <w:t>“e</w:t>
      </w:r>
      <w:r>
        <w:rPr>
          <w:spacing w:val="-22"/>
        </w:rPr>
        <w:t xml:space="preserve"> 呼善应” 指挥平台作用，优化“网格+服务”管理体制，发挥群团、社会组织作用，实现政府治理和社会调节、居民自治良性互动， </w:t>
      </w:r>
      <w:r>
        <w:rPr>
          <w:spacing w:val="6"/>
        </w:rPr>
        <w:t>推进市域社会治理现代化。加强重大舆情和突发事件舆论引</w:t>
      </w:r>
      <w:r>
        <w:rPr>
          <w:spacing w:val="-13"/>
        </w:rPr>
        <w:t>导，构建源头防控、排查梳理、纠纷化解、应急处置的社会矛</w:t>
      </w:r>
      <w:r>
        <w:rPr>
          <w:spacing w:val="-16"/>
        </w:rPr>
        <w:t>盾综合治理机制，把各类社会风险隐患化解在萌芽状态、解决在基层末端，确保社会大局持续和谐稳定。</w:t>
      </w: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ind w:left="0"/>
        <w:rPr>
          <w:sz w:val="20"/>
        </w:rPr>
      </w:pPr>
    </w:p>
    <w:p>
      <w:pPr>
        <w:pStyle w:val="3"/>
        <w:spacing w:before="9"/>
        <w:ind w:left="0"/>
        <w:rPr>
          <w:sz w:val="15"/>
        </w:rPr>
      </w:pPr>
    </w:p>
    <w:p>
      <w:pPr>
        <w:pStyle w:val="3"/>
        <w:tabs>
          <w:tab w:val="left" w:pos="1600"/>
        </w:tabs>
        <w:spacing w:before="54"/>
        <w:ind w:left="0" w:right="77"/>
        <w:jc w:val="center"/>
        <w:rPr>
          <w:rFonts w:hint="eastAsia" w:ascii="黑体" w:eastAsia="黑体"/>
        </w:rPr>
      </w:pPr>
      <w:bookmarkStart w:id="59" w:name="第十三章  凝聚强大合力，确保规划顺利实施"/>
      <w:bookmarkEnd w:id="59"/>
      <w:r>
        <w:rPr>
          <w:rFonts w:hint="eastAsia" w:ascii="黑体" w:eastAsia="黑体"/>
        </w:rPr>
        <w:t>第十三章</w:t>
      </w:r>
      <w:r>
        <w:rPr>
          <w:rFonts w:hint="eastAsia" w:ascii="黑体" w:eastAsia="黑体"/>
        </w:rPr>
        <w:tab/>
      </w:r>
      <w:r>
        <w:rPr>
          <w:rFonts w:hint="eastAsia" w:ascii="黑体" w:eastAsia="黑体"/>
        </w:rPr>
        <w:t>凝聚强大合力，确保规划顺利实施</w:t>
      </w:r>
    </w:p>
    <w:p>
      <w:pPr>
        <w:pStyle w:val="3"/>
        <w:spacing w:before="149" w:line="328" w:lineRule="auto"/>
        <w:ind w:right="399" w:firstLine="638"/>
        <w:jc w:val="both"/>
      </w:pPr>
      <w:r>
        <w:rPr>
          <w:spacing w:val="-6"/>
        </w:rPr>
        <w:t xml:space="preserve">顺利实现“十四五”规划及 </w:t>
      </w:r>
      <w:r>
        <w:t>2035</w:t>
      </w:r>
      <w:r>
        <w:rPr>
          <w:spacing w:val="-9"/>
        </w:rPr>
        <w:t xml:space="preserve"> 年远景目标，必须把党</w:t>
      </w:r>
      <w:r>
        <w:rPr>
          <w:spacing w:val="-15"/>
          <w:w w:val="95"/>
        </w:rPr>
        <w:t xml:space="preserve">的全面领导贯穿始终，广泛动员全社会力量，调动一切积极因 </w:t>
      </w:r>
      <w:r>
        <w:rPr>
          <w:spacing w:val="-15"/>
        </w:rPr>
        <w:t>素，凝心聚力把宏伟蓝图变成美好现实。</w:t>
      </w:r>
    </w:p>
    <w:p>
      <w:pPr>
        <w:pStyle w:val="3"/>
        <w:tabs>
          <w:tab w:val="left" w:pos="1281"/>
        </w:tabs>
        <w:spacing w:before="58"/>
        <w:ind w:left="0" w:right="80"/>
        <w:jc w:val="center"/>
        <w:rPr>
          <w:rFonts w:hint="eastAsia" w:ascii="宋体" w:eastAsia="宋体"/>
        </w:rPr>
      </w:pPr>
      <w:bookmarkStart w:id="60" w:name="第一节  坚持和加强党的全面领导"/>
      <w:bookmarkEnd w:id="60"/>
      <w:r>
        <w:rPr>
          <w:rFonts w:hint="eastAsia" w:ascii="宋体" w:eastAsia="宋体"/>
        </w:rPr>
        <w:t>第一节</w:t>
      </w:r>
      <w:r>
        <w:rPr>
          <w:rFonts w:hint="eastAsia" w:ascii="宋体" w:eastAsia="宋体"/>
        </w:rPr>
        <w:tab/>
      </w:r>
      <w:r>
        <w:rPr>
          <w:rFonts w:hint="eastAsia" w:ascii="宋体" w:eastAsia="宋体"/>
        </w:rPr>
        <w:t>坚持和加强党的全面领导</w:t>
      </w:r>
    </w:p>
    <w:p>
      <w:pPr>
        <w:pStyle w:val="3"/>
        <w:spacing w:before="149"/>
        <w:ind w:left="960"/>
      </w:pPr>
      <w:r>
        <w:t>深入学习贯彻习近平新时代中国特色社会主义思想，增强</w:t>
      </w:r>
    </w:p>
    <w:p>
      <w:pPr>
        <w:spacing w:after="0"/>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24"/>
          <w:w w:val="99"/>
        </w:rPr>
        <w:t>“四个意识”、坚定“四个自信”、坚决做到“两个维护”，确</w:t>
      </w:r>
      <w:r>
        <w:rPr>
          <w:spacing w:val="-24"/>
        </w:rPr>
        <w:t>保习近平总书记重要指示精神和中央、省委、枣庄市委各项决</w:t>
      </w:r>
      <w:r>
        <w:rPr>
          <w:spacing w:val="-19"/>
        </w:rPr>
        <w:t>策部署落地落实。切实加强党的政治建设，坚持和加强党的全</w:t>
      </w:r>
      <w:r>
        <w:rPr>
          <w:spacing w:val="-16"/>
        </w:rPr>
        <w:t>面领导，推进全面从严治党向纵深发展。落实全面从严治党主</w:t>
      </w:r>
      <w:r>
        <w:rPr>
          <w:spacing w:val="-15"/>
        </w:rPr>
        <w:t>体责任，引导广大党员干部坚定理想信念，不忘初心、牢记使</w:t>
      </w:r>
      <w:r>
        <w:rPr>
          <w:spacing w:val="-13"/>
        </w:rPr>
        <w:t>命，驰而不息落实中央八项规定精神，持续纠治形式主义、官</w:t>
      </w:r>
      <w:r>
        <w:rPr>
          <w:spacing w:val="-21"/>
        </w:rPr>
        <w:t xml:space="preserve">僚主义。深入推进党风廉政建设和反腐败斗争，完善监督体系， </w:t>
      </w:r>
      <w:r>
        <w:rPr>
          <w:spacing w:val="6"/>
        </w:rPr>
        <w:t>营造风清气正的良好政治生态。全面贯彻新时代党的组织路</w:t>
      </w:r>
      <w:r>
        <w:rPr>
          <w:spacing w:val="-12"/>
        </w:rPr>
        <w:t>线，落实好干部标准，培养造就高素质专业化干部队伍。加强对敢担当善作为干部的激励保护，形成鼓励改革、支持创新、宽容失败的浓厚氛围。</w:t>
      </w:r>
    </w:p>
    <w:p>
      <w:pPr>
        <w:pStyle w:val="3"/>
        <w:tabs>
          <w:tab w:val="left" w:pos="1281"/>
        </w:tabs>
        <w:spacing w:before="45"/>
        <w:ind w:left="0" w:right="80"/>
        <w:jc w:val="center"/>
        <w:rPr>
          <w:rFonts w:hint="eastAsia" w:ascii="宋体" w:eastAsia="宋体"/>
        </w:rPr>
      </w:pPr>
      <w:bookmarkStart w:id="61" w:name="第二节  凝聚开拓奋进合力"/>
      <w:bookmarkEnd w:id="61"/>
      <w:r>
        <w:rPr>
          <w:rFonts w:hint="eastAsia" w:ascii="宋体" w:eastAsia="宋体"/>
        </w:rPr>
        <w:t>第二节</w:t>
      </w:r>
      <w:r>
        <w:rPr>
          <w:rFonts w:hint="eastAsia" w:ascii="宋体" w:eastAsia="宋体"/>
        </w:rPr>
        <w:tab/>
      </w:r>
      <w:r>
        <w:rPr>
          <w:rFonts w:hint="eastAsia" w:ascii="宋体" w:eastAsia="宋体"/>
        </w:rPr>
        <w:t>凝聚开拓奋进合力</w:t>
      </w:r>
    </w:p>
    <w:p>
      <w:pPr>
        <w:pStyle w:val="3"/>
        <w:spacing w:before="149" w:line="328" w:lineRule="auto"/>
        <w:ind w:right="230" w:firstLine="638"/>
      </w:pPr>
      <w:r>
        <w:t xml:space="preserve">坚持人民主体地位，尊重群众意愿，尊重基层首创精神， </w:t>
      </w:r>
      <w:r>
        <w:rPr>
          <w:spacing w:val="-9"/>
        </w:rPr>
        <w:t>充分激发广大人民群众的积极性、主动性、创造性。坚持和完</w:t>
      </w:r>
      <w:r>
        <w:rPr>
          <w:spacing w:val="-15"/>
        </w:rPr>
        <w:t xml:space="preserve">善人民代表大会制度，坚持和完善中国共产党领导的多党合作和政治协商制度，发挥工会、共青团、妇联等人民团体作用， </w:t>
      </w:r>
      <w:r>
        <w:rPr>
          <w:spacing w:val="-17"/>
        </w:rPr>
        <w:t>发挥民主党派、工商联和无党派人士作用，发挥民营经济和新</w:t>
      </w:r>
      <w:r>
        <w:rPr>
          <w:spacing w:val="-28"/>
          <w:w w:val="95"/>
        </w:rPr>
        <w:t>的社会阶层人士作用，凝聚加快建设新时代现代化强市强大合力。</w:t>
      </w:r>
    </w:p>
    <w:p>
      <w:pPr>
        <w:pStyle w:val="3"/>
        <w:tabs>
          <w:tab w:val="left" w:pos="1281"/>
        </w:tabs>
        <w:spacing w:before="52"/>
        <w:ind w:left="0" w:right="80"/>
        <w:jc w:val="center"/>
        <w:rPr>
          <w:rFonts w:hint="eastAsia" w:ascii="宋体" w:eastAsia="宋体"/>
        </w:rPr>
      </w:pPr>
      <w:bookmarkStart w:id="62" w:name="第三节  健全规划实施机制"/>
      <w:bookmarkEnd w:id="62"/>
      <w:r>
        <w:rPr>
          <w:rFonts w:hint="eastAsia" w:ascii="宋体" w:eastAsia="宋体"/>
        </w:rPr>
        <w:t>第三节</w:t>
      </w:r>
      <w:r>
        <w:rPr>
          <w:rFonts w:hint="eastAsia" w:ascii="宋体" w:eastAsia="宋体"/>
        </w:rPr>
        <w:tab/>
      </w:r>
      <w:r>
        <w:rPr>
          <w:rFonts w:hint="eastAsia" w:ascii="宋体" w:eastAsia="宋体"/>
        </w:rPr>
        <w:t>健全规划实施机制</w:t>
      </w:r>
    </w:p>
    <w:p>
      <w:pPr>
        <w:pStyle w:val="3"/>
        <w:spacing w:before="149" w:line="328" w:lineRule="auto"/>
        <w:ind w:right="266" w:firstLine="638"/>
        <w:jc w:val="both"/>
      </w:pPr>
      <w:r>
        <w:rPr>
          <w:spacing w:val="-11"/>
        </w:rPr>
        <w:t>建立统一规划体系，更好发挥规划战略导向作用，健全完</w:t>
      </w:r>
      <w:r>
        <w:rPr>
          <w:spacing w:val="-16"/>
        </w:rPr>
        <w:t>善以发展规划为统领，空间规划为基础，专项规划为支撑，定</w:t>
      </w:r>
      <w:r>
        <w:rPr>
          <w:spacing w:val="-15"/>
        </w:rPr>
        <w:t>位准确、边界清晰、功能互补、统一衔接的规划体系。强化规划指导性和约束性，对规划纲要提出的重要指标和重点任务，</w:t>
      </w:r>
    </w:p>
    <w:p>
      <w:pPr>
        <w:spacing w:after="0" w:line="328" w:lineRule="auto"/>
        <w:jc w:val="both"/>
        <w:sectPr>
          <w:pgSz w:w="11910" w:h="16840"/>
          <w:pgMar w:top="1580" w:right="1300" w:bottom="1540" w:left="1380" w:header="0" w:footer="1346" w:gutter="0"/>
          <w:cols w:space="720" w:num="1"/>
        </w:sectPr>
      </w:pPr>
    </w:p>
    <w:p>
      <w:pPr>
        <w:pStyle w:val="3"/>
        <w:spacing w:before="10"/>
        <w:ind w:left="0"/>
        <w:rPr>
          <w:sz w:val="13"/>
        </w:rPr>
      </w:pPr>
    </w:p>
    <w:p>
      <w:pPr>
        <w:pStyle w:val="3"/>
        <w:spacing w:before="54" w:line="328" w:lineRule="auto"/>
        <w:ind w:right="242"/>
      </w:pPr>
      <w:r>
        <w:rPr>
          <w:spacing w:val="-7"/>
        </w:rPr>
        <w:t>市政府要分解落实到各有关部门和镇街，加强跟踪督导，推动</w:t>
      </w:r>
      <w:r>
        <w:rPr>
          <w:spacing w:val="-15"/>
        </w:rPr>
        <w:t>规划落地生效。科学引导市场行为，落实纲要提出的预期性指</w:t>
      </w:r>
      <w:r>
        <w:rPr>
          <w:spacing w:val="-18"/>
        </w:rPr>
        <w:t>标和产业发展等任务，充分发挥市场在资源配置中的决定性作</w:t>
      </w:r>
      <w:r>
        <w:rPr>
          <w:spacing w:val="-20"/>
          <w:w w:val="95"/>
        </w:rPr>
        <w:t xml:space="preserve">用。全面推行政务公开和各领域办事公开，自觉接受各方监督， </w:t>
      </w:r>
      <w:r>
        <w:rPr>
          <w:spacing w:val="-20"/>
        </w:rPr>
        <w:t>及时回应社会关切，提升规划实施效果。</w:t>
      </w:r>
    </w:p>
    <w:p>
      <w:pPr>
        <w:pStyle w:val="3"/>
        <w:tabs>
          <w:tab w:val="left" w:pos="1281"/>
        </w:tabs>
        <w:spacing w:before="55"/>
        <w:ind w:left="0" w:right="80"/>
        <w:jc w:val="center"/>
        <w:rPr>
          <w:rFonts w:hint="eastAsia" w:ascii="宋体" w:eastAsia="宋体"/>
        </w:rPr>
      </w:pPr>
      <w:bookmarkStart w:id="63" w:name="第四节  强化规划评估监督"/>
      <w:bookmarkEnd w:id="63"/>
      <w:r>
        <w:rPr>
          <w:rFonts w:hint="eastAsia" w:ascii="宋体" w:eastAsia="宋体"/>
        </w:rPr>
        <w:t>第四节</w:t>
      </w:r>
      <w:r>
        <w:rPr>
          <w:rFonts w:hint="eastAsia" w:ascii="宋体" w:eastAsia="宋体"/>
        </w:rPr>
        <w:tab/>
      </w:r>
      <w:r>
        <w:rPr>
          <w:rFonts w:hint="eastAsia" w:ascii="宋体" w:eastAsia="宋体"/>
        </w:rPr>
        <w:t>强化规划评估监督</w:t>
      </w:r>
    </w:p>
    <w:p>
      <w:pPr>
        <w:pStyle w:val="3"/>
        <w:spacing w:before="149" w:line="328" w:lineRule="auto"/>
        <w:ind w:right="266" w:firstLine="638"/>
      </w:pPr>
      <w:r>
        <w:rPr>
          <w:spacing w:val="-1"/>
        </w:rPr>
        <w:t xml:space="preserve">完善规划评估监督机制。创新监测方式，创新评估方式， </w:t>
      </w:r>
      <w:r>
        <w:rPr>
          <w:spacing w:val="-8"/>
        </w:rPr>
        <w:t>组织开展规划实施年度监测分析、中期评估和总结评估，鼓励</w:t>
      </w:r>
      <w:r>
        <w:rPr>
          <w:spacing w:val="-15"/>
        </w:rPr>
        <w:t>开展第三方评估，增强规划评估的客观性和准确性。强化监测</w:t>
      </w:r>
      <w:r>
        <w:rPr>
          <w:spacing w:val="-16"/>
        </w:rPr>
        <w:t>评估结果应用，进一步完善规划实施的公众参与和民主监督机制，及时公开规划实施相关信息，接受全社会监督。各镇街、</w:t>
      </w:r>
      <w:r>
        <w:rPr>
          <w:spacing w:val="6"/>
        </w:rPr>
        <w:t>市直各部门要自觉接受市人民代表大会及其常务委员会对纲</w:t>
      </w:r>
      <w:r>
        <w:rPr>
          <w:spacing w:val="5"/>
        </w:rPr>
        <w:t xml:space="preserve">要实施情况的监督检查。实施过程中宏观环境发生重大变化， </w:t>
      </w:r>
      <w:r>
        <w:rPr>
          <w:spacing w:val="-12"/>
        </w:rPr>
        <w:t>需要对纲要进行调整时，按程序报经市人民代表大会常务委员会批准。</w:t>
      </w:r>
    </w:p>
    <w:p>
      <w:pPr>
        <w:pStyle w:val="3"/>
        <w:spacing w:line="395" w:lineRule="exact"/>
        <w:ind w:left="960"/>
      </w:pPr>
      <w:r>
        <w:t>敢为人先谋新篇，勇立潮头显担当。全市各级党组织和广</w:t>
      </w:r>
    </w:p>
    <w:p>
      <w:pPr>
        <w:pStyle w:val="3"/>
        <w:spacing w:before="152" w:line="328" w:lineRule="auto"/>
        <w:ind w:right="397"/>
        <w:jc w:val="both"/>
      </w:pPr>
      <w:r>
        <w:rPr>
          <w:spacing w:val="-12"/>
        </w:rPr>
        <w:t>大党员干部群众，要更加紧密团结在以习近平同志为核心的党</w:t>
      </w:r>
      <w:r>
        <w:rPr>
          <w:spacing w:val="-15"/>
        </w:rPr>
        <w:t>中央周围，高举中国特色社会主义伟大旗帜，以习近平新时代</w:t>
      </w:r>
      <w:r>
        <w:rPr>
          <w:spacing w:val="-19"/>
          <w:w w:val="95"/>
        </w:rPr>
        <w:t xml:space="preserve">中国特色社会主义思想为指导，改革创新、锐意进取，凝心聚 </w:t>
      </w:r>
      <w:r>
        <w:rPr>
          <w:spacing w:val="-13"/>
          <w:w w:val="95"/>
        </w:rPr>
        <w:t xml:space="preserve">力、砥砺前行，顺利完成“十四五”规划各项任务，全面开创 </w:t>
      </w:r>
      <w:r>
        <w:rPr>
          <w:spacing w:val="-15"/>
          <w:w w:val="95"/>
        </w:rPr>
        <w:t xml:space="preserve">美德滕州、文明滕州、富强滕州建设新局面，为加快建设新时 </w:t>
      </w:r>
      <w:r>
        <w:rPr>
          <w:spacing w:val="-15"/>
        </w:rPr>
        <w:t>代现代化强市而努力奋斗！</w:t>
      </w:r>
    </w:p>
    <w:sectPr>
      <w:footerReference r:id="rId21" w:type="even"/>
      <w:pgSz w:w="11910" w:h="16840"/>
      <w:pgMar w:top="1580" w:right="1300" w:bottom="1540" w:left="1380" w:header="0" w:footer="1346" w:gutter="0"/>
      <w:pgNumType w:start="8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17"/>
      </w:rPr>
    </w:pPr>
    <w:r>
      <mc:AlternateContent>
        <mc:Choice Requires="wps">
          <w:drawing>
            <wp:anchor distT="0" distB="0" distL="114300" distR="114300" simplePos="0" relativeHeight="249868288" behindDoc="1" locked="0" layoutInCell="1" allowOverlap="1">
              <wp:simplePos x="0" y="0"/>
              <wp:positionH relativeFrom="page">
                <wp:posOffset>6085840</wp:posOffset>
              </wp:positionH>
              <wp:positionV relativeFrom="page">
                <wp:posOffset>9697085</wp:posOffset>
              </wp:positionV>
              <wp:extent cx="406400" cy="222250"/>
              <wp:effectExtent l="0" t="0" r="0" b="0"/>
              <wp:wrapNone/>
              <wp:docPr id="54" name="文本框 1"/>
              <wp:cNvGraphicFramePr/>
              <a:graphic xmlns:a="http://schemas.openxmlformats.org/drawingml/2006/main">
                <a:graphicData uri="http://schemas.microsoft.com/office/word/2010/wordprocessingShape">
                  <wps:wsp>
                    <wps:cNvSpPr txBox="true"/>
                    <wps:spPr>
                      <a:xfrm>
                        <a:off x="0" y="0"/>
                        <a:ext cx="406400" cy="222250"/>
                      </a:xfrm>
                      <a:prstGeom prst="rect">
                        <a:avLst/>
                      </a:prstGeom>
                      <a:noFill/>
                      <a:ln>
                        <a:noFill/>
                      </a:ln>
                    </wps:spPr>
                    <wps:txbx>
                      <w:txbxContent>
                        <w:p>
                          <w:pPr>
                            <w:spacing w:before="0" w:line="294"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3</w:t>
                          </w:r>
                          <w:r>
                            <w:fldChar w:fldCharType="end"/>
                          </w:r>
                          <w:r>
                            <w:rPr>
                              <w:rFonts w:ascii="宋体"/>
                              <w:sz w:val="24"/>
                            </w:rPr>
                            <w:t xml:space="preserve"> -</w:t>
                          </w:r>
                        </w:p>
                      </w:txbxContent>
                    </wps:txbx>
                    <wps:bodyPr lIns="0" tIns="0" rIns="0" bIns="0" upright="true"/>
                  </wps:wsp>
                </a:graphicData>
              </a:graphic>
            </wp:anchor>
          </w:drawing>
        </mc:Choice>
        <mc:Fallback>
          <w:pict>
            <v:shape id="文本框 1" o:spid="_x0000_s1026" o:spt="202" type="#_x0000_t202" style="position:absolute;left:0pt;margin-left:479.2pt;margin-top:763.55pt;height:17.5pt;width:32pt;mso-position-horizontal-relative:page;mso-position-vertical-relative:page;z-index:-253448192;mso-width-relative:page;mso-height-relative:page;" filled="f" stroked="f" coordsize="21600,21600" o:gfxdata="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C2gjro2gAAAA4BAAAPAAAAAAAAAAEAIAAAADgAAABkcnMvZG93bnJldi54bWxQSwECFAAU&#10;AAAACACHTuJA6+GxtaABAAAqAwAADgAAAAAAAAABACAAAAA/AQAAZHJzL2Uyb0RvYy54bWxQSwUG&#10;AAAAAAYABgBZAQAAUQUAAAAA&#10;">
              <v:fill on="f" focussize="0,0"/>
              <v:stroke on="f"/>
              <v:imagedata o:title=""/>
              <o:lock v:ext="edit" aspectratio="f"/>
              <v:textbox inset="0mm,0mm,0mm,0mm">
                <w:txbxContent>
                  <w:p>
                    <w:pPr>
                      <w:spacing w:before="0" w:line="294"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3</w:t>
                    </w:r>
                    <w:r>
                      <w:fldChar w:fldCharType="end"/>
                    </w:r>
                    <w:r>
                      <w:rPr>
                        <w:rFonts w:ascii="宋体"/>
                        <w:sz w:val="24"/>
                      </w:rPr>
                      <w:t xml:space="preserve"> -</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6480"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70" name="文本框 9"/>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40</w:t>
                          </w:r>
                          <w:r>
                            <w:fldChar w:fldCharType="end"/>
                          </w:r>
                          <w:r>
                            <w:rPr>
                              <w:rFonts w:ascii="宋体"/>
                              <w:sz w:val="24"/>
                            </w:rPr>
                            <w:t xml:space="preserve"> -</w:t>
                          </w:r>
                        </w:p>
                      </w:txbxContent>
                    </wps:txbx>
                    <wps:bodyPr lIns="0" tIns="0" rIns="0" bIns="0" upright="true"/>
                  </wps:wsp>
                </a:graphicData>
              </a:graphic>
            </wp:anchor>
          </w:drawing>
        </mc:Choice>
        <mc:Fallback>
          <w:pict>
            <v:shape id="文本框 9" o:spid="_x0000_s1026" o:spt="202" type="#_x0000_t202" style="position:absolute;left:0pt;margin-left:84.05pt;margin-top:763.55pt;height:14pt;width:38pt;mso-position-horizontal-relative:page;mso-position-vertical-relative:page;z-index:-253440000;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s50IjZAAAADQEAAA8AAAAAAAAAAQAgAAAAOAAAAGRycy9kb3ducmV2LnhtbFBLAQIUABQA&#10;AAAIAIdO4kD4liQ9oAEAACoDAAAOAAAAAAAAAAEAIAAAAD4BAABkcnMvZTJvRG9jLnhtbFBLBQYA&#10;AAAABgAGAFkBAABQBQ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40</w:t>
                    </w:r>
                    <w:r>
                      <w:fldChar w:fldCharType="end"/>
                    </w:r>
                    <w:r>
                      <w:rPr>
                        <w:rFonts w:ascii="宋体"/>
                        <w:sz w:val="24"/>
                      </w:rPr>
                      <w:t xml:space="preserve"> -</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9552" behindDoc="1" locked="0" layoutInCell="1" allowOverlap="1">
              <wp:simplePos x="0" y="0"/>
              <wp:positionH relativeFrom="page">
                <wp:posOffset>6009640</wp:posOffset>
              </wp:positionH>
              <wp:positionV relativeFrom="page">
                <wp:posOffset>9697085</wp:posOffset>
              </wp:positionV>
              <wp:extent cx="482600" cy="177800"/>
              <wp:effectExtent l="0" t="0" r="0" b="0"/>
              <wp:wrapNone/>
              <wp:docPr id="73" name="文本框 12"/>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51</w:t>
                          </w:r>
                          <w:r>
                            <w:fldChar w:fldCharType="end"/>
                          </w:r>
                          <w:r>
                            <w:rPr>
                              <w:rFonts w:ascii="宋体"/>
                              <w:sz w:val="24"/>
                            </w:rPr>
                            <w:t xml:space="preserve"> -</w:t>
                          </w:r>
                        </w:p>
                      </w:txbxContent>
                    </wps:txbx>
                    <wps:bodyPr lIns="0" tIns="0" rIns="0" bIns="0" upright="true"/>
                  </wps:wsp>
                </a:graphicData>
              </a:graphic>
            </wp:anchor>
          </w:drawing>
        </mc:Choice>
        <mc:Fallback>
          <w:pict>
            <v:shape id="文本框 12" o:spid="_x0000_s1026" o:spt="202" type="#_x0000_t202" style="position:absolute;left:0pt;margin-left:473.2pt;margin-top:763.55pt;height:14pt;width:38pt;mso-position-horizontal-relative:page;mso-position-vertical-relative:page;z-index:-253436928;mso-width-relative:page;mso-height-relative:page;" filled="f" stroked="f" coordsize="21600,21600" o:gfxdata="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9e07NoAAAAOAQAADwAAAAAAAAABACAAAAA4AAAAZHJzL2Rvd25yZXYueG1sUEsBAhQA&#10;FAAAAAgAh07iQPdDg6mhAQAAKwMAAA4AAAAAAAAAAQAgAAAAPwEAAGRycy9lMm9Eb2MueG1sUEsF&#10;BgAAAAAGAAYAWQEAAFIFA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51</w:t>
                    </w:r>
                    <w:r>
                      <w:fldChar w:fldCharType="end"/>
                    </w:r>
                    <w:r>
                      <w:rPr>
                        <w:rFonts w:ascii="宋体"/>
                        <w:sz w:val="24"/>
                      </w:rPr>
                      <w:t xml:space="preserve"> -</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8528"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72" name="文本框 11"/>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50</w:t>
                          </w:r>
                          <w:r>
                            <w:fldChar w:fldCharType="end"/>
                          </w:r>
                          <w:r>
                            <w:rPr>
                              <w:rFonts w:ascii="宋体"/>
                              <w:sz w:val="24"/>
                            </w:rPr>
                            <w:t xml:space="preserve"> -</w:t>
                          </w:r>
                        </w:p>
                      </w:txbxContent>
                    </wps:txbx>
                    <wps:bodyPr lIns="0" tIns="0" rIns="0" bIns="0" upright="true"/>
                  </wps:wsp>
                </a:graphicData>
              </a:graphic>
            </wp:anchor>
          </w:drawing>
        </mc:Choice>
        <mc:Fallback>
          <w:pict>
            <v:shape id="文本框 11" o:spid="_x0000_s1026" o:spt="202" type="#_x0000_t202" style="position:absolute;left:0pt;margin-left:84.05pt;margin-top:763.55pt;height:14pt;width:38pt;mso-position-horizontal-relative:page;mso-position-vertical-relative:page;z-index:-253437952;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LOdCI2QAAAA0BAAAPAAAAAAAAAAEAIAAAADgAAABkcnMvZG93bnJldi54bWxQSwECFAAU&#10;AAAACACHTuJA8kJo2KEBAAAr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50</w:t>
                    </w:r>
                    <w:r>
                      <w:fldChar w:fldCharType="end"/>
                    </w:r>
                    <w:r>
                      <w:rPr>
                        <w:rFonts w:ascii="宋体"/>
                        <w:sz w:val="24"/>
                      </w:rPr>
                      <w:t xml:space="preserve"> -</w:t>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81600" behindDoc="1" locked="0" layoutInCell="1" allowOverlap="1">
              <wp:simplePos x="0" y="0"/>
              <wp:positionH relativeFrom="page">
                <wp:posOffset>6009640</wp:posOffset>
              </wp:positionH>
              <wp:positionV relativeFrom="page">
                <wp:posOffset>9697085</wp:posOffset>
              </wp:positionV>
              <wp:extent cx="482600" cy="177800"/>
              <wp:effectExtent l="0" t="0" r="0" b="0"/>
              <wp:wrapNone/>
              <wp:docPr id="75" name="文本框 14"/>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61</w:t>
                          </w:r>
                          <w:r>
                            <w:fldChar w:fldCharType="end"/>
                          </w:r>
                          <w:r>
                            <w:rPr>
                              <w:rFonts w:ascii="宋体"/>
                              <w:sz w:val="24"/>
                            </w:rPr>
                            <w:t xml:space="preserve"> -</w:t>
                          </w:r>
                        </w:p>
                      </w:txbxContent>
                    </wps:txbx>
                    <wps:bodyPr lIns="0" tIns="0" rIns="0" bIns="0" upright="true"/>
                  </wps:wsp>
                </a:graphicData>
              </a:graphic>
            </wp:anchor>
          </w:drawing>
        </mc:Choice>
        <mc:Fallback>
          <w:pict>
            <v:shape id="文本框 14" o:spid="_x0000_s1026" o:spt="202" type="#_x0000_t202" style="position:absolute;left:0pt;margin-left:473.2pt;margin-top:763.55pt;height:14pt;width:38pt;mso-position-horizontal-relative:page;mso-position-vertical-relative:page;z-index:-253434880;mso-width-relative:page;mso-height-relative:page;" filled="f" stroked="f" coordsize="21600,21600" o:gfxdata="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BYAAABkcnMvUEsBAhQAFAAA&#10;AAgAh07iQP/XtOzaAAAADgEAAA8AAAAAAAAAAQAgAAAAOAAAAGRycy9kb3ducmV2LnhtbFBLAQIU&#10;ABQAAAAIAIdO4kDePWehogEAACsDAAAOAAAAAAAAAAEAIAAAAD8BAABkcnMvZTJvRG9jLnhtbFBL&#10;BQYAAAAABgAGAFkBAABTBQ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61</w:t>
                    </w:r>
                    <w:r>
                      <w:fldChar w:fldCharType="end"/>
                    </w:r>
                    <w:r>
                      <w:rPr>
                        <w:rFonts w:ascii="宋体"/>
                        <w:sz w:val="24"/>
                      </w:rPr>
                      <w:t xml:space="preserve"> -</w:t>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80576"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74" name="文本框 13"/>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60</w:t>
                          </w:r>
                          <w:r>
                            <w:fldChar w:fldCharType="end"/>
                          </w:r>
                          <w:r>
                            <w:rPr>
                              <w:rFonts w:ascii="宋体"/>
                              <w:sz w:val="24"/>
                            </w:rPr>
                            <w:t xml:space="preserve"> -</w:t>
                          </w:r>
                        </w:p>
                      </w:txbxContent>
                    </wps:txbx>
                    <wps:bodyPr lIns="0" tIns="0" rIns="0" bIns="0" upright="true"/>
                  </wps:wsp>
                </a:graphicData>
              </a:graphic>
            </wp:anchor>
          </w:drawing>
        </mc:Choice>
        <mc:Fallback>
          <w:pict>
            <v:shape id="文本框 13" o:spid="_x0000_s1026" o:spt="202" type="#_x0000_t202" style="position:absolute;left:0pt;margin-left:84.05pt;margin-top:763.55pt;height:14pt;width:38pt;mso-position-horizontal-relative:page;mso-position-vertical-relative:page;z-index:-253435904;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LOdCI2QAAAA0BAAAPAAAAAAAAAAEAIAAAADgAAABkcnMvZG93bnJldi54bWxQSwECFAAU&#10;AAAACACHTuJANuv5NKEBAAAr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60</w:t>
                    </w:r>
                    <w:r>
                      <w:fldChar w:fldCharType="end"/>
                    </w:r>
                    <w:r>
                      <w:rPr>
                        <w:rFonts w:ascii="宋体"/>
                        <w:sz w:val="24"/>
                      </w:rPr>
                      <w:t xml:space="preserve"> -</w:t>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83648" behindDoc="1" locked="0" layoutInCell="1" allowOverlap="1">
              <wp:simplePos x="0" y="0"/>
              <wp:positionH relativeFrom="page">
                <wp:posOffset>6009640</wp:posOffset>
              </wp:positionH>
              <wp:positionV relativeFrom="page">
                <wp:posOffset>9697085</wp:posOffset>
              </wp:positionV>
              <wp:extent cx="482600" cy="177800"/>
              <wp:effectExtent l="0" t="0" r="0" b="0"/>
              <wp:wrapNone/>
              <wp:docPr id="77" name="文本框 16"/>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71</w:t>
                          </w:r>
                          <w:r>
                            <w:fldChar w:fldCharType="end"/>
                          </w:r>
                          <w:r>
                            <w:rPr>
                              <w:rFonts w:ascii="宋体"/>
                              <w:sz w:val="24"/>
                            </w:rPr>
                            <w:t xml:space="preserve"> -</w:t>
                          </w:r>
                        </w:p>
                      </w:txbxContent>
                    </wps:txbx>
                    <wps:bodyPr lIns="0" tIns="0" rIns="0" bIns="0" upright="true"/>
                  </wps:wsp>
                </a:graphicData>
              </a:graphic>
            </wp:anchor>
          </w:drawing>
        </mc:Choice>
        <mc:Fallback>
          <w:pict>
            <v:shape id="文本框 16" o:spid="_x0000_s1026" o:spt="202" type="#_x0000_t202" style="position:absolute;left:0pt;margin-left:473.2pt;margin-top:763.55pt;height:14pt;width:38pt;mso-position-horizontal-relative:page;mso-position-vertical-relative:page;z-index:-253432832;mso-width-relative:page;mso-height-relative:page;" filled="f" stroked="f" coordsize="21600,21600" o:gfxdata="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9e07NoAAAAOAQAADwAAAAAAAAABACAAAAA4AAAAZHJzL2Rvd25yZXYueG1sUEsBAhQA&#10;FAAAAAgAh07iQDnoxKahAQAAKwMAAA4AAAAAAAAAAQAgAAAAPwEAAGRycy9lMm9Eb2MueG1sUEsF&#10;BgAAAAAGAAYAWQEAAFIFA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71</w:t>
                    </w:r>
                    <w:r>
                      <w:fldChar w:fldCharType="end"/>
                    </w:r>
                    <w:r>
                      <w:rPr>
                        <w:rFonts w:ascii="宋体"/>
                        <w:sz w:val="24"/>
                      </w:rPr>
                      <w:t xml:space="preserve"> -</w:t>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82624"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76" name="文本框 15"/>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70</w:t>
                          </w:r>
                          <w:r>
                            <w:fldChar w:fldCharType="end"/>
                          </w:r>
                          <w:r>
                            <w:rPr>
                              <w:rFonts w:ascii="宋体"/>
                              <w:sz w:val="24"/>
                            </w:rPr>
                            <w:t xml:space="preserve"> -</w:t>
                          </w:r>
                        </w:p>
                      </w:txbxContent>
                    </wps:txbx>
                    <wps:bodyPr lIns="0" tIns="0" rIns="0" bIns="0" upright="true"/>
                  </wps:wsp>
                </a:graphicData>
              </a:graphic>
            </wp:anchor>
          </w:drawing>
        </mc:Choice>
        <mc:Fallback>
          <w:pict>
            <v:shape id="文本框 15" o:spid="_x0000_s1026" o:spt="202" type="#_x0000_t202" style="position:absolute;left:0pt;margin-left:84.05pt;margin-top:763.55pt;height:14pt;width:38pt;mso-position-horizontal-relative:page;mso-position-vertical-relative:page;z-index:-253433856;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FgAAAGRycy9QSwECFAAUAAAA&#10;CACHTuJAyznQiNkAAAANAQAADwAAAAAAAAABACAAAAA4AAAAZHJzL2Rvd25yZXYueG1sUEsBAhQA&#10;FAAAAAgAh07iQDzpL9eiAQAAKwMAAA4AAAAAAAAAAQAgAAAAPgEAAGRycy9lMm9Eb2MueG1sUEsF&#10;BgAAAAAGAAYAWQEAAFIFA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70</w:t>
                    </w:r>
                    <w:r>
                      <w:fldChar w:fldCharType="end"/>
                    </w:r>
                    <w:r>
                      <w:rPr>
                        <w:rFonts w:ascii="宋体"/>
                        <w:sz w:val="24"/>
                      </w:rPr>
                      <w:t xml:space="preserve"> -</w:t>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84672"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78" name="文本框 17"/>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80</w:t>
                          </w:r>
                          <w:r>
                            <w:fldChar w:fldCharType="end"/>
                          </w:r>
                          <w:r>
                            <w:rPr>
                              <w:rFonts w:ascii="宋体"/>
                              <w:sz w:val="24"/>
                            </w:rPr>
                            <w:t xml:space="preserve"> -</w:t>
                          </w:r>
                        </w:p>
                      </w:txbxContent>
                    </wps:txbx>
                    <wps:bodyPr lIns="0" tIns="0" rIns="0" bIns="0" upright="true"/>
                  </wps:wsp>
                </a:graphicData>
              </a:graphic>
            </wp:anchor>
          </w:drawing>
        </mc:Choice>
        <mc:Fallback>
          <w:pict>
            <v:shape id="文本框 17" o:spid="_x0000_s1026" o:spt="202" type="#_x0000_t202" style="position:absolute;left:0pt;margin-left:84.05pt;margin-top:763.55pt;height:14pt;width:38pt;mso-position-horizontal-relative:page;mso-position-vertical-relative:page;z-index:-253431808;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LOdCI2QAAAA0BAAAPAAAAAAAAAAEAIAAAADgAAABkcnMvZG93bnJldi54bWxQSwECFAAU&#10;AAAACACHTuJA/76rNqEBAAAr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80</w:t>
                    </w:r>
                    <w:r>
                      <w:fldChar w:fldCharType="end"/>
                    </w:r>
                    <w:r>
                      <w:rPr>
                        <w:rFonts w:ascii="宋体"/>
                        <w:sz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69312" behindDoc="1" locked="0" layoutInCell="1" allowOverlap="1">
              <wp:simplePos x="0" y="0"/>
              <wp:positionH relativeFrom="page">
                <wp:posOffset>1067435</wp:posOffset>
              </wp:positionH>
              <wp:positionV relativeFrom="page">
                <wp:posOffset>9697085</wp:posOffset>
              </wp:positionV>
              <wp:extent cx="406400" cy="177800"/>
              <wp:effectExtent l="0" t="0" r="0" b="0"/>
              <wp:wrapNone/>
              <wp:docPr id="56" name="文本框 2"/>
              <wp:cNvGraphicFramePr/>
              <a:graphic xmlns:a="http://schemas.openxmlformats.org/drawingml/2006/main">
                <a:graphicData uri="http://schemas.microsoft.com/office/word/2010/wordprocessingShape">
                  <wps:wsp>
                    <wps:cNvSpPr txBox="true"/>
                    <wps:spPr>
                      <a:xfrm>
                        <a:off x="0" y="0"/>
                        <a:ext cx="4064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2</w:t>
                          </w:r>
                          <w:r>
                            <w:fldChar w:fldCharType="end"/>
                          </w:r>
                          <w:r>
                            <w:rPr>
                              <w:rFonts w:ascii="宋体"/>
                              <w:sz w:val="24"/>
                            </w:rPr>
                            <w:t xml:space="preserve"> -</w:t>
                          </w:r>
                        </w:p>
                      </w:txbxContent>
                    </wps:txbx>
                    <wps:bodyPr lIns="0" tIns="0" rIns="0" bIns="0" upright="true"/>
                  </wps:wsp>
                </a:graphicData>
              </a:graphic>
            </wp:anchor>
          </w:drawing>
        </mc:Choice>
        <mc:Fallback>
          <w:pict>
            <v:shape id="文本框 2" o:spid="_x0000_s1026" o:spt="202" type="#_x0000_t202" style="position:absolute;left:0pt;margin-left:84.05pt;margin-top:763.55pt;height:14pt;width:32pt;mso-position-horizontal-relative:page;mso-position-vertical-relative:page;z-index:-253447168;mso-width-relative:page;mso-height-relative:page;" filled="f" stroked="f" coordsize="21600,21600" o:gfxdata="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zpJSnZAAAADQEAAA8AAAAAAAAAAQAgAAAAOAAAAGRycy9kb3ducmV2LnhtbFBLAQIUABQA&#10;AAAIAIdO4kB2gTWloAEAACoDAAAOAAAAAAAAAAEAIAAAAD4BAABkcnMvZTJvRG9jLnhtbFBLBQYA&#10;AAAABgAGAFkBAABQBQ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2</w:t>
                    </w:r>
                    <w:r>
                      <w:fldChar w:fldCharType="end"/>
                    </w:r>
                    <w:r>
                      <w:rPr>
                        <w:rFonts w:ascii="宋体"/>
                        <w:sz w:val="24"/>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1360" behindDoc="1" locked="0" layoutInCell="1" allowOverlap="1">
              <wp:simplePos x="0" y="0"/>
              <wp:positionH relativeFrom="page">
                <wp:posOffset>6009640</wp:posOffset>
              </wp:positionH>
              <wp:positionV relativeFrom="page">
                <wp:posOffset>9697085</wp:posOffset>
              </wp:positionV>
              <wp:extent cx="482600" cy="177800"/>
              <wp:effectExtent l="0" t="0" r="0" b="0"/>
              <wp:wrapNone/>
              <wp:docPr id="60" name="文本框 4"/>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11</w:t>
                          </w:r>
                          <w:r>
                            <w:fldChar w:fldCharType="end"/>
                          </w:r>
                          <w:r>
                            <w:rPr>
                              <w:rFonts w:ascii="宋体"/>
                              <w:sz w:val="24"/>
                            </w:rPr>
                            <w:t xml:space="preserve"> -</w:t>
                          </w:r>
                        </w:p>
                      </w:txbxContent>
                    </wps:txbx>
                    <wps:bodyPr lIns="0" tIns="0" rIns="0" bIns="0" upright="true"/>
                  </wps:wsp>
                </a:graphicData>
              </a:graphic>
            </wp:anchor>
          </w:drawing>
        </mc:Choice>
        <mc:Fallback>
          <w:pict>
            <v:shape id="文本框 4" o:spid="_x0000_s1026" o:spt="202" type="#_x0000_t202" style="position:absolute;left:0pt;margin-left:473.2pt;margin-top:763.55pt;height:14pt;width:38pt;mso-position-horizontal-relative:page;mso-position-vertical-relative:page;z-index:-253445120;mso-width-relative:page;mso-height-relative:page;" filled="f" stroked="f" coordsize="21600,21600" o:gfxdata="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17Ts2gAAAA4BAAAPAAAAAAAAAAEAIAAAADgAAABkcnMvZG93bnJldi54bWxQSwECFAAU&#10;AAAACACHTuJAXYGiJKABAAAq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11</w:t>
                    </w:r>
                    <w:r>
                      <w:fldChar w:fldCharType="end"/>
                    </w:r>
                    <w:r>
                      <w:rPr>
                        <w:rFonts w:ascii="宋体"/>
                        <w:sz w:val="24"/>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0336"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58" name="文本框 3"/>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10</w:t>
                          </w:r>
                          <w:r>
                            <w:fldChar w:fldCharType="end"/>
                          </w:r>
                          <w:r>
                            <w:rPr>
                              <w:rFonts w:ascii="宋体"/>
                              <w:sz w:val="24"/>
                            </w:rPr>
                            <w:t xml:space="preserve"> -</w:t>
                          </w:r>
                        </w:p>
                      </w:txbxContent>
                    </wps:txbx>
                    <wps:bodyPr lIns="0" tIns="0" rIns="0" bIns="0" upright="true"/>
                  </wps:wsp>
                </a:graphicData>
              </a:graphic>
            </wp:anchor>
          </w:drawing>
        </mc:Choice>
        <mc:Fallback>
          <w:pict>
            <v:shape id="文本框 3" o:spid="_x0000_s1026" o:spt="202" type="#_x0000_t202" style="position:absolute;left:0pt;margin-left:84.05pt;margin-top:763.55pt;height:14pt;width:38pt;mso-position-horizontal-relative:page;mso-position-vertical-relative:page;z-index:-253446144;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LOdCI2QAAAA0BAAAPAAAAAAAAAAEAIAAAADgAAABkcnMvZG93bnJldi54bWxQSwECFAAU&#10;AAAACACHTuJADtOJUaEBAAAq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10</w:t>
                    </w:r>
                    <w:r>
                      <w:fldChar w:fldCharType="end"/>
                    </w:r>
                    <w:r>
                      <w:rPr>
                        <w:rFonts w:ascii="宋体"/>
                        <w:sz w:val="24"/>
                      </w:rPr>
                      <w:t xml:space="preserve"> -</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3408" behindDoc="1" locked="0" layoutInCell="1" allowOverlap="1">
              <wp:simplePos x="0" y="0"/>
              <wp:positionH relativeFrom="page">
                <wp:posOffset>6009640</wp:posOffset>
              </wp:positionH>
              <wp:positionV relativeFrom="page">
                <wp:posOffset>9697085</wp:posOffset>
              </wp:positionV>
              <wp:extent cx="482600" cy="177800"/>
              <wp:effectExtent l="0" t="0" r="0" b="0"/>
              <wp:wrapNone/>
              <wp:docPr id="64" name="文本框 6"/>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21</w:t>
                          </w:r>
                          <w:r>
                            <w:fldChar w:fldCharType="end"/>
                          </w:r>
                          <w:r>
                            <w:rPr>
                              <w:rFonts w:ascii="宋体"/>
                              <w:sz w:val="24"/>
                            </w:rPr>
                            <w:t xml:space="preserve"> -</w:t>
                          </w:r>
                        </w:p>
                      </w:txbxContent>
                    </wps:txbx>
                    <wps:bodyPr lIns="0" tIns="0" rIns="0" bIns="0" upright="true"/>
                  </wps:wsp>
                </a:graphicData>
              </a:graphic>
            </wp:anchor>
          </w:drawing>
        </mc:Choice>
        <mc:Fallback>
          <w:pict>
            <v:shape id="文本框 6" o:spid="_x0000_s1026" o:spt="202" type="#_x0000_t202" style="position:absolute;left:0pt;margin-left:473.2pt;margin-top:763.55pt;height:14pt;width:38pt;mso-position-horizontal-relative:page;mso-position-vertical-relative:page;z-index:-253443072;mso-width-relative:page;mso-height-relative:page;" filled="f" stroked="f" coordsize="21600,21600" o:gfxdata="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17Ts2gAAAA4BAAAPAAAAAAAAAAEAIAAAADgAAABkcnMvZG93bnJldi54bWxQSwECFAAU&#10;AAAACACHTuJATvVqh6ABAAAq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21</w:t>
                    </w:r>
                    <w:r>
                      <w:fldChar w:fldCharType="end"/>
                    </w:r>
                    <w:r>
                      <w:rPr>
                        <w:rFonts w:ascii="宋体"/>
                        <w:sz w:val="24"/>
                      </w:rPr>
                      <w:t xml:space="preserve"> -</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2384"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62" name="文本框 5"/>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20</w:t>
                          </w:r>
                          <w:r>
                            <w:fldChar w:fldCharType="end"/>
                          </w:r>
                          <w:r>
                            <w:rPr>
                              <w:rFonts w:ascii="宋体"/>
                              <w:sz w:val="24"/>
                            </w:rPr>
                            <w:t xml:space="preserve"> -</w:t>
                          </w:r>
                        </w:p>
                      </w:txbxContent>
                    </wps:txbx>
                    <wps:bodyPr lIns="0" tIns="0" rIns="0" bIns="0" upright="true"/>
                  </wps:wsp>
                </a:graphicData>
              </a:graphic>
            </wp:anchor>
          </w:drawing>
        </mc:Choice>
        <mc:Fallback>
          <w:pict>
            <v:shape id="文本框 5" o:spid="_x0000_s1026" o:spt="202" type="#_x0000_t202" style="position:absolute;left:0pt;margin-left:84.05pt;margin-top:763.55pt;height:14pt;width:38pt;mso-position-horizontal-relative:page;mso-position-vertical-relative:page;z-index:-253444096;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s50IjZAAAADQEAAA8AAAAAAAAAAQAgAAAAOAAAAGRycy9kb3ducmV2LnhtbFBLAQIUABQA&#10;AAAIAIdO4kB0OP6YoAEAACoDAAAOAAAAAAAAAAEAIAAAAD4BAABkcnMvZTJvRG9jLnhtbFBLBQYA&#10;AAAABgAGAFkBAABQBQ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20</w:t>
                    </w:r>
                    <w:r>
                      <w:fldChar w:fldCharType="end"/>
                    </w:r>
                    <w:r>
                      <w:rPr>
                        <w:rFonts w:ascii="宋体"/>
                        <w:sz w:val="24"/>
                      </w:rP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5456" behindDoc="1" locked="0" layoutInCell="1" allowOverlap="1">
              <wp:simplePos x="0" y="0"/>
              <wp:positionH relativeFrom="page">
                <wp:posOffset>6009640</wp:posOffset>
              </wp:positionH>
              <wp:positionV relativeFrom="page">
                <wp:posOffset>9697085</wp:posOffset>
              </wp:positionV>
              <wp:extent cx="482600" cy="177800"/>
              <wp:effectExtent l="0" t="0" r="0" b="0"/>
              <wp:wrapNone/>
              <wp:docPr id="68" name="文本框 8"/>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31</w:t>
                          </w:r>
                          <w:r>
                            <w:fldChar w:fldCharType="end"/>
                          </w:r>
                          <w:r>
                            <w:rPr>
                              <w:rFonts w:ascii="宋体"/>
                              <w:sz w:val="24"/>
                            </w:rPr>
                            <w:t xml:space="preserve"> -</w:t>
                          </w:r>
                        </w:p>
                      </w:txbxContent>
                    </wps:txbx>
                    <wps:bodyPr lIns="0" tIns="0" rIns="0" bIns="0" upright="true"/>
                  </wps:wsp>
                </a:graphicData>
              </a:graphic>
            </wp:anchor>
          </w:drawing>
        </mc:Choice>
        <mc:Fallback>
          <w:pict>
            <v:shape id="文本框 8" o:spid="_x0000_s1026" o:spt="202" type="#_x0000_t202" style="position:absolute;left:0pt;margin-left:473.2pt;margin-top:763.55pt;height:14pt;width:38pt;mso-position-horizontal-relative:page;mso-position-vertical-relative:page;z-index:-253441024;mso-width-relative:page;mso-height-relative:page;" filled="f" stroked="f" coordsize="21600,21600" o:gfxdata="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17Ts2gAAAA4BAAAPAAAAAAAAAAEAIAAAADgAAABkcnMvZG93bnJldi54bWxQSwECFAAU&#10;AAAACACHTuJAocbZq6ABAAAq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31</w:t>
                    </w:r>
                    <w:r>
                      <w:fldChar w:fldCharType="end"/>
                    </w:r>
                    <w:r>
                      <w:rPr>
                        <w:rFonts w:ascii="宋体"/>
                        <w:sz w:val="24"/>
                      </w:rPr>
                      <w:t xml:space="preserve"> -</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4432" behindDoc="1" locked="0" layoutInCell="1" allowOverlap="1">
              <wp:simplePos x="0" y="0"/>
              <wp:positionH relativeFrom="page">
                <wp:posOffset>1067435</wp:posOffset>
              </wp:positionH>
              <wp:positionV relativeFrom="page">
                <wp:posOffset>9697085</wp:posOffset>
              </wp:positionV>
              <wp:extent cx="482600" cy="177800"/>
              <wp:effectExtent l="0" t="0" r="0" b="0"/>
              <wp:wrapNone/>
              <wp:docPr id="66" name="文本框 7"/>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30</w:t>
                          </w:r>
                          <w:r>
                            <w:fldChar w:fldCharType="end"/>
                          </w:r>
                          <w:r>
                            <w:rPr>
                              <w:rFonts w:ascii="宋体"/>
                              <w:sz w:val="24"/>
                            </w:rPr>
                            <w:t xml:space="preserve"> -</w:t>
                          </w:r>
                        </w:p>
                      </w:txbxContent>
                    </wps:txbx>
                    <wps:bodyPr lIns="0" tIns="0" rIns="0" bIns="0" upright="true"/>
                  </wps:wsp>
                </a:graphicData>
              </a:graphic>
            </wp:anchor>
          </w:drawing>
        </mc:Choice>
        <mc:Fallback>
          <w:pict>
            <v:shape id="文本框 7" o:spid="_x0000_s1026" o:spt="202" type="#_x0000_t202" style="position:absolute;left:0pt;margin-left:84.05pt;margin-top:763.55pt;height:14pt;width:38pt;mso-position-horizontal-relative:page;mso-position-vertical-relative:page;z-index:-253442048;mso-width-relative:page;mso-height-relative:page;" filled="f" stroked="f" coordsize="21600,21600" o:gfxdata="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BYAAABkcnMvUEsBAhQAFAAAAAgA&#10;h07iQMs50IjZAAAADQEAAA8AAAAAAAAAAQAgAAAAOAAAAGRycy9kb3ducmV2LnhtbFBLAQIUABQA&#10;AAAIAIdO4kBnTDY7oAEAACoDAAAOAAAAAAAAAAEAIAAAAD4BAABkcnMvZTJvRG9jLnhtbFBLBQYA&#10;AAAABgAGAFkBAABQBQ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30</w:t>
                    </w:r>
                    <w:r>
                      <w:fldChar w:fldCharType="end"/>
                    </w:r>
                    <w:r>
                      <w:rPr>
                        <w:rFonts w:ascii="宋体"/>
                        <w:sz w:val="24"/>
                      </w:rPr>
                      <w:t xml:space="preserve"> -</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ind w:left="0"/>
      <w:rPr>
        <w:sz w:val="20"/>
      </w:rPr>
    </w:pPr>
    <w:r>
      <mc:AlternateContent>
        <mc:Choice Requires="wps">
          <w:drawing>
            <wp:anchor distT="0" distB="0" distL="114300" distR="114300" simplePos="0" relativeHeight="249877504" behindDoc="1" locked="0" layoutInCell="1" allowOverlap="1">
              <wp:simplePos x="0" y="0"/>
              <wp:positionH relativeFrom="page">
                <wp:posOffset>6009640</wp:posOffset>
              </wp:positionH>
              <wp:positionV relativeFrom="page">
                <wp:posOffset>9697085</wp:posOffset>
              </wp:positionV>
              <wp:extent cx="482600" cy="177800"/>
              <wp:effectExtent l="0" t="0" r="0" b="0"/>
              <wp:wrapNone/>
              <wp:docPr id="71" name="文本框 10"/>
              <wp:cNvGraphicFramePr/>
              <a:graphic xmlns:a="http://schemas.openxmlformats.org/drawingml/2006/main">
                <a:graphicData uri="http://schemas.microsoft.com/office/word/2010/wordprocessingShape">
                  <wps:wsp>
                    <wps:cNvSpPr txBox="true"/>
                    <wps:spPr>
                      <a:xfrm>
                        <a:off x="0" y="0"/>
                        <a:ext cx="482600" cy="177800"/>
                      </a:xfrm>
                      <a:prstGeom prst="rect">
                        <a:avLst/>
                      </a:prstGeom>
                      <a:noFill/>
                      <a:ln>
                        <a:noFill/>
                      </a:ln>
                    </wps:spPr>
                    <wps:txbx>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41</w:t>
                          </w:r>
                          <w:r>
                            <w:fldChar w:fldCharType="end"/>
                          </w:r>
                          <w:r>
                            <w:rPr>
                              <w:rFonts w:ascii="宋体"/>
                              <w:sz w:val="24"/>
                            </w:rPr>
                            <w:t xml:space="preserve"> -</w:t>
                          </w:r>
                        </w:p>
                      </w:txbxContent>
                    </wps:txbx>
                    <wps:bodyPr lIns="0" tIns="0" rIns="0" bIns="0" upright="true"/>
                  </wps:wsp>
                </a:graphicData>
              </a:graphic>
            </wp:anchor>
          </w:drawing>
        </mc:Choice>
        <mc:Fallback>
          <w:pict>
            <v:shape id="文本框 10" o:spid="_x0000_s1026" o:spt="202" type="#_x0000_t202" style="position:absolute;left:0pt;margin-left:473.2pt;margin-top:763.55pt;height:14pt;width:38pt;mso-position-horizontal-relative:page;mso-position-vertical-relative:page;z-index:-253438976;mso-width-relative:page;mso-height-relative:page;" filled="f" stroked="f" coordsize="21600,21600" o:gfxdata="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WAAAAZHJzL1BLAQIUABQAAAAI&#10;AIdO4kD/17Ts2gAAAA4BAAAPAAAAAAAAAAEAIAAAADgAAABkcnMvZG93bnJldi54bWxQSwECFAAU&#10;AAAACACHTuJAEJYgrqABAAArAwAADgAAAAAAAAABACAAAAA/AQAAZHJzL2Uyb0RvYy54bWxQSwUG&#10;AAAAAAYABgBZAQAAUQUAAAAA&#10;">
              <v:fill on="f" focussize="0,0"/>
              <v:stroke on="f"/>
              <v:imagedata o:title=""/>
              <o:lock v:ext="edit" aspectratio="f"/>
              <v:textbox inset="0mm,0mm,0mm,0mm">
                <w:txbxContent>
                  <w:p>
                    <w:pPr>
                      <w:spacing w:before="0" w:line="280" w:lineRule="exact"/>
                      <w:ind w:left="20" w:right="0" w:firstLine="0"/>
                      <w:jc w:val="left"/>
                      <w:rPr>
                        <w:rFonts w:ascii="宋体"/>
                        <w:sz w:val="24"/>
                      </w:rPr>
                    </w:pPr>
                    <w:r>
                      <w:rPr>
                        <w:rFonts w:ascii="宋体"/>
                        <w:sz w:val="24"/>
                      </w:rPr>
                      <w:t xml:space="preserve">- </w:t>
                    </w:r>
                    <w:r>
                      <w:fldChar w:fldCharType="begin"/>
                    </w:r>
                    <w:r>
                      <w:rPr>
                        <w:rFonts w:ascii="宋体"/>
                        <w:sz w:val="24"/>
                      </w:rPr>
                      <w:instrText xml:space="preserve"> PAGE </w:instrText>
                    </w:r>
                    <w:r>
                      <w:fldChar w:fldCharType="separate"/>
                    </w:r>
                    <w:r>
                      <w:t>41</w:t>
                    </w:r>
                    <w:r>
                      <w:fldChar w:fldCharType="end"/>
                    </w:r>
                    <w:r>
                      <w:rPr>
                        <w:rFonts w:ascii="宋体"/>
                        <w:sz w:val="24"/>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cumentProtection w:enforcement="0"/>
  <w:defaultTabStop w:val="720"/>
  <w:evenAndOddHeaders w:val="true"/>
  <w:drawingGridHorizontalSpacing w:val="110"/>
  <w:displayHorizontalDrawingGridEvery w:val="2"/>
  <w:characterSpacingControl w:val="doNotCompress"/>
  <w:hdrShapeDefaults>
    <o:shapelayout v:ext="edit">
      <o:idmap v:ext="edit" data="2"/>
    </o:shapelayout>
  </w:hdrShapeDefaults>
  <w:footnotePr>
    <w:footnote w:id="0"/>
    <w:footnote w:id="1"/>
  </w:footnotePr>
  <w:endnotePr>
    <w:endnote w:id="0"/>
    <w:endnote w:id="1"/>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126C7D"/>
    <w:rsid w:val="0AD739D5"/>
    <w:rsid w:val="182D20CF"/>
    <w:rsid w:val="1C520E42"/>
    <w:rsid w:val="1CB805E8"/>
    <w:rsid w:val="2155178E"/>
    <w:rsid w:val="24B82367"/>
    <w:rsid w:val="24EC5F3E"/>
    <w:rsid w:val="256436F7"/>
    <w:rsid w:val="3CAE5B2E"/>
    <w:rsid w:val="447B654A"/>
    <w:rsid w:val="451D69AB"/>
    <w:rsid w:val="4B8F50E1"/>
    <w:rsid w:val="4CF00B35"/>
    <w:rsid w:val="5347113F"/>
    <w:rsid w:val="56E97310"/>
    <w:rsid w:val="636A6689"/>
    <w:rsid w:val="643E2AF7"/>
    <w:rsid w:val="66A758F5"/>
    <w:rsid w:val="67D335E1"/>
    <w:rsid w:val="69B766C0"/>
    <w:rsid w:val="6DFC624D"/>
    <w:rsid w:val="6E71154D"/>
    <w:rsid w:val="6FA22030"/>
    <w:rsid w:val="7977558D"/>
    <w:rsid w:val="7BF05A4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_GB2312" w:hAnsi="仿宋_GB2312" w:eastAsia="仿宋_GB2312" w:cs="仿宋_GB2312"/>
      <w:sz w:val="22"/>
      <w:szCs w:val="22"/>
      <w:lang w:val="zh-CN" w:eastAsia="zh-CN" w:bidi="zh-CN"/>
    </w:rPr>
  </w:style>
  <w:style w:type="paragraph" w:styleId="2">
    <w:name w:val="heading 1"/>
    <w:basedOn w:val="1"/>
    <w:next w:val="1"/>
    <w:qFormat/>
    <w:uiPriority w:val="1"/>
    <w:pPr>
      <w:spacing w:line="478" w:lineRule="exact"/>
      <w:ind w:left="960"/>
      <w:outlineLvl w:val="1"/>
    </w:pPr>
    <w:rPr>
      <w:rFonts w:ascii="Microsoft JhengHei" w:hAnsi="Microsoft JhengHei" w:eastAsia="Microsoft JhengHei" w:cs="Microsoft JhengHei"/>
      <w:b/>
      <w:bCs/>
      <w:sz w:val="32"/>
      <w:szCs w:val="32"/>
      <w:lang w:val="zh-CN" w:eastAsia="zh-CN" w:bidi="zh-CN"/>
    </w:rPr>
  </w:style>
  <w:style w:type="character" w:default="1" w:styleId="5">
    <w:name w:val="Default Paragraph Font"/>
    <w:semiHidden/>
    <w:unhideWhenUsed/>
    <w:qFormat/>
    <w:uiPriority w:val="1"/>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321"/>
    </w:pPr>
    <w:rPr>
      <w:rFonts w:ascii="仿宋_GB2312" w:hAnsi="仿宋_GB2312" w:eastAsia="仿宋_GB2312" w:cs="仿宋_GB2312"/>
      <w:sz w:val="32"/>
      <w:szCs w:val="32"/>
      <w:lang w:val="zh-CN" w:eastAsia="zh-CN" w:bidi="zh-CN"/>
    </w:rPr>
  </w:style>
  <w:style w:type="table" w:customStyle="1" w:styleId="6">
    <w:name w:val="Table Normal"/>
    <w:semiHidden/>
    <w:unhideWhenUsed/>
    <w:qFormat/>
    <w:uiPriority w:val="2"/>
    <w:tblPr>
      <w:tblCellMar>
        <w:top w:w="0" w:type="dxa"/>
        <w:left w:w="0" w:type="dxa"/>
        <w:bottom w:w="0" w:type="dxa"/>
        <w:right w:w="0" w:type="dxa"/>
      </w:tblCellMar>
    </w:tblPr>
  </w:style>
  <w:style w:type="paragraph" w:styleId="7">
    <w:name w:val="List Paragraph"/>
    <w:basedOn w:val="1"/>
    <w:qFormat/>
    <w:uiPriority w:val="1"/>
    <w:rPr>
      <w:lang w:val="zh-CN" w:eastAsia="zh-CN" w:bidi="zh-CN"/>
    </w:rPr>
  </w:style>
  <w:style w:type="paragraph" w:customStyle="1" w:styleId="8">
    <w:name w:val="Table Paragraph"/>
    <w:basedOn w:val="1"/>
    <w:qFormat/>
    <w:uiPriority w:val="1"/>
    <w:pPr>
      <w:ind w:left="208"/>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5" Type="http://schemas.openxmlformats.org/officeDocument/2006/relationships/fontTable" Target="fontTable.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52"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ScaleCrop>false</ScaleCrop>
  <LinksUpToDate>false</LinksUpToDate>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2021-10-15T10:54:00Z</dcterms:created>
  <dc:creator>Administrator</dc:creator>
  <cp:lastModifiedBy>user</cp:lastModifiedBy>
  <dcterms:modified xsi:type="dcterms:W3CDTF">2024-08-07T09:46:24Z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2021-08-13T00:00:00Z</vt:filetime>
  </property>
  <property fmtid="{D5CDD505-2E9C-101B-9397-08002B2CF9AE}" pid="3" name="Creator">
    <vt:lpwstr>WPS 文字</vt:lpwstr>
  </property>
  <property fmtid="{D5CDD505-2E9C-101B-9397-08002B2CF9AE}" pid="4" name="LastSaved">
    <vt:filetime>2021-10-15T00:00:00Z</vt:filetime>
  </property>
  <property fmtid="{D5CDD505-2E9C-101B-9397-08002B2CF9AE}" pid="5" name="KSOProductBuildVer">
    <vt:lpwstr>2052-11.8.2.10337</vt:lpwstr>
  </property>
</Properties>
</file>