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C3714">
      <w:pPr>
        <w:tabs>
          <w:tab w:val="left" w:pos="726"/>
        </w:tabs>
        <w:jc w:val="left"/>
        <w:rPr>
          <w:rFonts w:asciiTheme="majorEastAsia" w:hAnsiTheme="majorEastAsia" w:eastAsiaTheme="majorEastAsia" w:cstheme="majorEastAsia"/>
          <w:color w:val="000000"/>
          <w:spacing w:val="-17"/>
          <w:kern w:val="0"/>
          <w:sz w:val="36"/>
          <w:szCs w:val="36"/>
        </w:rPr>
      </w:pPr>
      <w:r>
        <w:rPr>
          <w:rFonts w:hint="eastAsia" w:ascii="仿宋_GB2312" w:hAnsi="仿宋_GB2312" w:eastAsia="仿宋_GB2312" w:cs="仿宋_GB2312"/>
          <w:sz w:val="32"/>
          <w:szCs w:val="32"/>
        </w:rPr>
        <w:t>附件1</w:t>
      </w:r>
    </w:p>
    <w:p w14:paraId="02F31C52">
      <w:pPr>
        <w:tabs>
          <w:tab w:val="left" w:pos="726"/>
        </w:tabs>
        <w:jc w:val="center"/>
        <w:rPr>
          <w:rFonts w:ascii="黑体" w:hAnsi="黑体" w:eastAsia="黑体" w:cs="黑体"/>
          <w:color w:val="000000"/>
          <w:spacing w:val="-17"/>
          <w:kern w:val="0"/>
          <w:sz w:val="32"/>
          <w:szCs w:val="32"/>
        </w:rPr>
      </w:pPr>
      <w:r>
        <w:rPr>
          <w:rFonts w:hint="eastAsia" w:ascii="黑体" w:hAnsi="黑体" w:eastAsia="黑体" w:cs="黑体"/>
          <w:color w:val="000000"/>
          <w:spacing w:val="-17"/>
          <w:kern w:val="0"/>
          <w:sz w:val="32"/>
          <w:szCs w:val="32"/>
        </w:rPr>
        <w:t>滕州市中小学新课堂达标示范学科组创建申报表</w:t>
      </w:r>
    </w:p>
    <w:tbl>
      <w:tblPr>
        <w:tblStyle w:val="7"/>
        <w:tblpPr w:leftFromText="180" w:rightFromText="180" w:vertAnchor="text" w:horzAnchor="margin"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3139"/>
        <w:gridCol w:w="1057"/>
        <w:gridCol w:w="3442"/>
      </w:tblGrid>
      <w:tr w14:paraId="3AC3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19" w:type="dxa"/>
            <w:vAlign w:val="center"/>
          </w:tcPr>
          <w:p w14:paraId="7AE3EDD2">
            <w:pPr>
              <w:jc w:val="center"/>
              <w:rPr>
                <w:sz w:val="24"/>
                <w:szCs w:val="24"/>
              </w:rPr>
            </w:pPr>
            <w:r>
              <w:rPr>
                <w:rFonts w:hint="eastAsia"/>
                <w:sz w:val="24"/>
                <w:szCs w:val="24"/>
              </w:rPr>
              <w:t>学校</w:t>
            </w:r>
          </w:p>
        </w:tc>
        <w:tc>
          <w:tcPr>
            <w:tcW w:w="3139" w:type="dxa"/>
            <w:vAlign w:val="center"/>
          </w:tcPr>
          <w:p w14:paraId="53DE9597">
            <w:pPr>
              <w:ind w:firstLine="720" w:firstLineChars="300"/>
              <w:jc w:val="left"/>
              <w:rPr>
                <w:rFonts w:hint="default" w:eastAsia="宋体"/>
                <w:sz w:val="24"/>
                <w:szCs w:val="24"/>
                <w:lang w:val="en-US" w:eastAsia="zh-CN"/>
              </w:rPr>
            </w:pPr>
            <w:r>
              <w:rPr>
                <w:rFonts w:hint="eastAsia"/>
                <w:sz w:val="24"/>
                <w:szCs w:val="24"/>
                <w:lang w:val="en-US" w:eastAsia="zh-CN"/>
              </w:rPr>
              <w:t>滕州市至善学校</w:t>
            </w:r>
          </w:p>
        </w:tc>
        <w:tc>
          <w:tcPr>
            <w:tcW w:w="1057" w:type="dxa"/>
            <w:vAlign w:val="center"/>
          </w:tcPr>
          <w:p w14:paraId="2EDB2A23">
            <w:pPr>
              <w:jc w:val="center"/>
              <w:rPr>
                <w:sz w:val="24"/>
                <w:szCs w:val="24"/>
              </w:rPr>
            </w:pPr>
            <w:r>
              <w:rPr>
                <w:rFonts w:hint="eastAsia"/>
                <w:sz w:val="24"/>
                <w:szCs w:val="24"/>
              </w:rPr>
              <w:t>拟创建学科</w:t>
            </w:r>
          </w:p>
        </w:tc>
        <w:tc>
          <w:tcPr>
            <w:tcW w:w="3442" w:type="dxa"/>
            <w:vAlign w:val="center"/>
          </w:tcPr>
          <w:p w14:paraId="235381F5">
            <w:pPr>
              <w:jc w:val="center"/>
              <w:rPr>
                <w:rFonts w:hint="default" w:eastAsia="宋体"/>
                <w:sz w:val="24"/>
                <w:szCs w:val="24"/>
                <w:lang w:val="en-US" w:eastAsia="zh-CN"/>
              </w:rPr>
            </w:pPr>
            <w:r>
              <w:rPr>
                <w:rFonts w:hint="eastAsia"/>
                <w:sz w:val="24"/>
                <w:szCs w:val="24"/>
                <w:lang w:val="en-US" w:eastAsia="zh-CN"/>
              </w:rPr>
              <w:t>信息科技学科</w:t>
            </w:r>
          </w:p>
        </w:tc>
      </w:tr>
      <w:tr w14:paraId="3F85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19" w:type="dxa"/>
            <w:vAlign w:val="center"/>
          </w:tcPr>
          <w:p w14:paraId="047ADCE0">
            <w:pPr>
              <w:jc w:val="center"/>
              <w:rPr>
                <w:sz w:val="24"/>
                <w:szCs w:val="24"/>
              </w:rPr>
            </w:pPr>
            <w:r>
              <w:rPr>
                <w:rFonts w:hint="eastAsia"/>
                <w:sz w:val="24"/>
                <w:szCs w:val="24"/>
              </w:rPr>
              <w:t>学科</w:t>
            </w:r>
          </w:p>
          <w:p w14:paraId="697C15DB">
            <w:pPr>
              <w:jc w:val="center"/>
              <w:rPr>
                <w:sz w:val="24"/>
                <w:szCs w:val="24"/>
              </w:rPr>
            </w:pPr>
            <w:r>
              <w:rPr>
                <w:rFonts w:hint="eastAsia"/>
                <w:sz w:val="24"/>
                <w:szCs w:val="24"/>
              </w:rPr>
              <w:t>负责人</w:t>
            </w:r>
          </w:p>
        </w:tc>
        <w:tc>
          <w:tcPr>
            <w:tcW w:w="3139" w:type="dxa"/>
            <w:vAlign w:val="center"/>
          </w:tcPr>
          <w:p w14:paraId="2A4ECB33">
            <w:pPr>
              <w:jc w:val="center"/>
              <w:rPr>
                <w:rFonts w:hint="eastAsia" w:eastAsia="宋体"/>
                <w:sz w:val="24"/>
                <w:szCs w:val="24"/>
                <w:lang w:val="en-US" w:eastAsia="zh-CN"/>
              </w:rPr>
            </w:pPr>
            <w:r>
              <w:rPr>
                <w:rFonts w:hint="eastAsia"/>
                <w:sz w:val="24"/>
                <w:szCs w:val="24"/>
                <w:lang w:val="en-US" w:eastAsia="zh-CN"/>
              </w:rPr>
              <w:t>高欣</w:t>
            </w:r>
          </w:p>
        </w:tc>
        <w:tc>
          <w:tcPr>
            <w:tcW w:w="1057" w:type="dxa"/>
            <w:vAlign w:val="center"/>
          </w:tcPr>
          <w:p w14:paraId="1FC233DB">
            <w:pPr>
              <w:jc w:val="center"/>
              <w:rPr>
                <w:sz w:val="24"/>
                <w:szCs w:val="24"/>
              </w:rPr>
            </w:pPr>
            <w:r>
              <w:rPr>
                <w:rFonts w:hint="eastAsia"/>
                <w:sz w:val="24"/>
                <w:szCs w:val="24"/>
              </w:rPr>
              <w:t>联系</w:t>
            </w:r>
          </w:p>
          <w:p w14:paraId="0879B36F">
            <w:pPr>
              <w:jc w:val="center"/>
              <w:rPr>
                <w:sz w:val="24"/>
                <w:szCs w:val="24"/>
              </w:rPr>
            </w:pPr>
            <w:r>
              <w:rPr>
                <w:rFonts w:hint="eastAsia"/>
                <w:sz w:val="24"/>
                <w:szCs w:val="24"/>
              </w:rPr>
              <w:t>电话</w:t>
            </w:r>
          </w:p>
        </w:tc>
        <w:tc>
          <w:tcPr>
            <w:tcW w:w="3442" w:type="dxa"/>
            <w:vAlign w:val="center"/>
          </w:tcPr>
          <w:p w14:paraId="4FC909BE">
            <w:pPr>
              <w:jc w:val="center"/>
              <w:rPr>
                <w:rFonts w:hint="default" w:eastAsia="宋体"/>
                <w:sz w:val="24"/>
                <w:szCs w:val="24"/>
                <w:lang w:val="en-US" w:eastAsia="zh-CN"/>
              </w:rPr>
            </w:pPr>
            <w:r>
              <w:rPr>
                <w:rFonts w:hint="eastAsia"/>
                <w:sz w:val="24"/>
                <w:szCs w:val="24"/>
                <w:lang w:val="en-US" w:eastAsia="zh-CN"/>
              </w:rPr>
              <w:t>15588210520</w:t>
            </w:r>
          </w:p>
        </w:tc>
      </w:tr>
      <w:tr w14:paraId="4033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1119" w:type="dxa"/>
            <w:vAlign w:val="center"/>
          </w:tcPr>
          <w:p w14:paraId="1ECD51E1">
            <w:pPr>
              <w:jc w:val="center"/>
              <w:rPr>
                <w:sz w:val="24"/>
                <w:szCs w:val="24"/>
              </w:rPr>
            </w:pPr>
            <w:r>
              <w:rPr>
                <w:rFonts w:hint="eastAsia"/>
                <w:sz w:val="24"/>
                <w:szCs w:val="24"/>
              </w:rPr>
              <w:t>学科建设基础</w:t>
            </w:r>
          </w:p>
        </w:tc>
        <w:tc>
          <w:tcPr>
            <w:tcW w:w="7638" w:type="dxa"/>
            <w:gridSpan w:val="3"/>
            <w:vAlign w:val="center"/>
          </w:tcPr>
          <w:p w14:paraId="331067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信息科技学科共有5位老师，其中：中级教师3位，初级教师2位；5位老师均为本科毕业、信息科技专业老师；其中教学能手1人，骨干教师1人，现代教育技术骨干1人。以下是组内成员参与过的各种活动及获奖：</w:t>
            </w:r>
          </w:p>
          <w:p w14:paraId="473543A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讲座培训评委类：</w:t>
            </w:r>
          </w:p>
          <w:p w14:paraId="5E2065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枣庄市信息技术暑期培训讲座、枣庄市信息技术学业水平考试培训、枣庄市信息技术优质课、教学能手评选评委、荆泉学校信息技术应用能力培训、鲍沟学区信息技术应用能力培训、龙泉中心小学信息技术应用能力培训、滕州市信息技术优质课评委、滕州市人工智能科普教育专家工作室公益课。</w:t>
            </w:r>
          </w:p>
          <w:p w14:paraId="2B87D08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lang w:val="en-US" w:eastAsia="zh-CN"/>
              </w:rPr>
            </w:pPr>
            <w:r>
              <w:rPr>
                <w:rFonts w:hint="eastAsia"/>
                <w:b/>
                <w:bCs/>
                <w:lang w:val="en-US" w:eastAsia="zh-CN"/>
              </w:rPr>
              <w:t>课题：</w:t>
            </w:r>
            <w:r>
              <w:rPr>
                <w:rFonts w:hint="eastAsia"/>
                <w:lang w:val="en-US" w:eastAsia="zh-CN"/>
              </w:rPr>
              <w:t>基于教育云平台使用下区域教师信息技术应用能力提升策略研究，滕州A级</w:t>
            </w:r>
          </w:p>
          <w:p w14:paraId="65C471C8">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教材：</w:t>
            </w:r>
            <w:r>
              <w:rPr>
                <w:rFonts w:hint="eastAsia"/>
                <w:lang w:val="en-US" w:eastAsia="zh-CN"/>
              </w:rPr>
              <w:t>劳动教育实践指导手册（教材）/山东文艺出版社</w:t>
            </w:r>
          </w:p>
          <w:p w14:paraId="1D42C15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论文：</w:t>
            </w:r>
            <w:r>
              <w:rPr>
                <w:rFonts w:hint="eastAsia"/>
                <w:lang w:val="en-US" w:eastAsia="zh-CN"/>
              </w:rPr>
              <w:t>滕教云平台助力教师信息技术应用能力提升/中小学电教</w:t>
            </w:r>
          </w:p>
          <w:p w14:paraId="272A2BA3">
            <w:pPr>
              <w:keepNext w:val="0"/>
              <w:keepLines w:val="0"/>
              <w:pageBreakBefore w:val="0"/>
              <w:widowControl w:val="0"/>
              <w:kinsoku/>
              <w:wordWrap/>
              <w:overflowPunct/>
              <w:topLinePunct w:val="0"/>
              <w:autoSpaceDE/>
              <w:autoSpaceDN/>
              <w:bidi w:val="0"/>
              <w:adjustRightInd/>
              <w:snapToGrid/>
              <w:ind w:left="0" w:leftChars="0" w:firstLine="1058" w:firstLineChars="504"/>
              <w:textAlignment w:val="auto"/>
              <w:rPr>
                <w:rFonts w:hint="eastAsia"/>
                <w:lang w:val="en-US" w:eastAsia="zh-CN"/>
              </w:rPr>
            </w:pPr>
            <w:r>
              <w:rPr>
                <w:rFonts w:hint="eastAsia"/>
                <w:lang w:val="en-US" w:eastAsia="zh-CN"/>
              </w:rPr>
              <w:t>教育云平台为教育教学插上腾飞的翅膀/中小学电教</w:t>
            </w:r>
          </w:p>
          <w:p w14:paraId="0F4CB6F5">
            <w:pPr>
              <w:keepNext w:val="0"/>
              <w:keepLines w:val="0"/>
              <w:pageBreakBefore w:val="0"/>
              <w:widowControl w:val="0"/>
              <w:kinsoku/>
              <w:wordWrap/>
              <w:overflowPunct/>
              <w:topLinePunct w:val="0"/>
              <w:autoSpaceDE/>
              <w:autoSpaceDN/>
              <w:bidi w:val="0"/>
              <w:adjustRightInd/>
              <w:snapToGrid/>
              <w:ind w:left="0" w:leftChars="0" w:firstLine="1058" w:firstLineChars="504"/>
              <w:textAlignment w:val="auto"/>
              <w:rPr>
                <w:rFonts w:hint="eastAsia"/>
                <w:lang w:val="en-US" w:eastAsia="zh-CN"/>
              </w:rPr>
            </w:pPr>
            <w:r>
              <w:rPr>
                <w:rFonts w:hint="eastAsia"/>
                <w:lang w:val="en-US" w:eastAsia="zh-CN"/>
              </w:rPr>
              <w:t>浅谈信息技术与校本课程开发的融合/新课程</w:t>
            </w:r>
          </w:p>
          <w:p w14:paraId="2719084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业务类获奖：</w:t>
            </w:r>
          </w:p>
          <w:p w14:paraId="4D7A8B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全国新技术新媒体优质课示范课例一等奖、全国微课大赛二等奖、</w:t>
            </w:r>
            <w:r>
              <w:rPr>
                <w:rFonts w:hint="eastAsia"/>
              </w:rPr>
              <w:t>山东省一师一优课《认识计算机（一）》</w:t>
            </w:r>
            <w:r>
              <w:rPr>
                <w:rFonts w:hint="eastAsia"/>
                <w:lang w:eastAsia="zh-CN"/>
              </w:rPr>
              <w:t>、</w:t>
            </w:r>
            <w:r>
              <w:rPr>
                <w:rFonts w:hint="eastAsia"/>
                <w:lang w:val="en-US" w:eastAsia="zh-CN"/>
              </w:rPr>
              <w:t>山东省微课大赛一等奖、山东省多媒体软件竞赛一等奖、山东</w:t>
            </w:r>
            <w:r>
              <w:rPr>
                <w:rFonts w:hint="eastAsia"/>
              </w:rPr>
              <w:t>省课件一等奖</w:t>
            </w:r>
            <w:r>
              <w:rPr>
                <w:rFonts w:hint="eastAsia"/>
                <w:lang w:eastAsia="zh-CN"/>
              </w:rPr>
              <w:t>、</w:t>
            </w:r>
            <w:r>
              <w:rPr>
                <w:rFonts w:hint="eastAsia"/>
                <w:lang w:val="en-US" w:eastAsia="zh-CN"/>
              </w:rPr>
              <w:t>山东省信息实验说课二等奖、</w:t>
            </w:r>
            <w:r>
              <w:rPr>
                <w:rFonts w:hint="eastAsia"/>
              </w:rPr>
              <w:t>枣一师一优课《探究神秘计算机》一等奖</w:t>
            </w:r>
            <w:r>
              <w:rPr>
                <w:rFonts w:hint="eastAsia"/>
                <w:lang w:eastAsia="zh-CN"/>
              </w:rPr>
              <w:t>、</w:t>
            </w:r>
            <w:r>
              <w:rPr>
                <w:rFonts w:hint="eastAsia"/>
              </w:rPr>
              <w:t>枣优质课《静态网页》二等奖</w:t>
            </w:r>
            <w:r>
              <w:rPr>
                <w:rFonts w:hint="eastAsia"/>
                <w:lang w:eastAsia="zh-CN"/>
              </w:rPr>
              <w:t>、</w:t>
            </w:r>
            <w:r>
              <w:rPr>
                <w:rFonts w:hint="eastAsia"/>
                <w:lang w:val="en-US" w:eastAsia="zh-CN"/>
              </w:rPr>
              <w:t>枣庄数字化教学工具二等奖、</w:t>
            </w:r>
            <w:r>
              <w:rPr>
                <w:rFonts w:hint="eastAsia"/>
              </w:rPr>
              <w:t>滕优质课《初识开源硬件》</w:t>
            </w:r>
            <w:r>
              <w:rPr>
                <w:rFonts w:hint="eastAsia"/>
                <w:lang w:eastAsia="zh-CN"/>
              </w:rPr>
              <w:t>、</w:t>
            </w:r>
            <w:r>
              <w:rPr>
                <w:rFonts w:hint="eastAsia"/>
                <w:lang w:val="en-US" w:eastAsia="zh-CN"/>
              </w:rPr>
              <w:t>滕实验教学说课一等奖、</w:t>
            </w:r>
            <w:r>
              <w:rPr>
                <w:rFonts w:hint="eastAsia"/>
              </w:rPr>
              <w:t>滕</w:t>
            </w:r>
            <w:r>
              <w:rPr>
                <w:rFonts w:hint="eastAsia"/>
                <w:lang w:val="en-US" w:eastAsia="zh-CN"/>
              </w:rPr>
              <w:t>单元</w:t>
            </w:r>
            <w:r>
              <w:rPr>
                <w:rFonts w:hint="eastAsia"/>
              </w:rPr>
              <w:t>学历案一等奖</w:t>
            </w:r>
            <w:r>
              <w:rPr>
                <w:rFonts w:hint="eastAsia"/>
                <w:lang w:val="en-US" w:eastAsia="zh-CN"/>
              </w:rPr>
              <w:t>6</w:t>
            </w:r>
            <w:r>
              <w:rPr>
                <w:rFonts w:hint="eastAsia"/>
                <w:lang w:eastAsia="zh-CN"/>
              </w:rPr>
              <w:t>、</w:t>
            </w:r>
            <w:r>
              <w:rPr>
                <w:rFonts w:hint="eastAsia"/>
              </w:rPr>
              <w:t>枣</w:t>
            </w:r>
            <w:r>
              <w:rPr>
                <w:rFonts w:hint="eastAsia"/>
                <w:lang w:val="en-US" w:eastAsia="zh-CN"/>
              </w:rPr>
              <w:t>单元</w:t>
            </w:r>
            <w:r>
              <w:rPr>
                <w:rFonts w:hint="eastAsia"/>
              </w:rPr>
              <w:t>学历案二等奖</w:t>
            </w:r>
            <w:r>
              <w:rPr>
                <w:rFonts w:hint="eastAsia"/>
                <w:lang w:val="en-US" w:eastAsia="zh-CN"/>
              </w:rPr>
              <w:t>3、</w:t>
            </w:r>
            <w:r>
              <w:rPr>
                <w:rFonts w:hint="eastAsia"/>
              </w:rPr>
              <w:t>枣单元学历案一等奖</w:t>
            </w:r>
            <w:r>
              <w:rPr>
                <w:rFonts w:hint="eastAsia"/>
                <w:lang w:val="en-US" w:eastAsia="zh-CN"/>
              </w:rPr>
              <w:t>、</w:t>
            </w:r>
            <w:r>
              <w:rPr>
                <w:rFonts w:hint="eastAsia"/>
              </w:rPr>
              <w:t>滕基本功二等奖</w:t>
            </w:r>
          </w:p>
          <w:p w14:paraId="6C2C0AD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eastAsia="宋体"/>
                <w:lang w:val="en-US" w:eastAsia="zh-CN"/>
              </w:rPr>
            </w:pPr>
            <w:r>
              <w:rPr>
                <w:rFonts w:hint="eastAsia"/>
                <w:b/>
                <w:bCs/>
                <w:lang w:val="en-US" w:eastAsia="zh-CN"/>
              </w:rPr>
              <w:t>综合奖励类：</w:t>
            </w:r>
          </w:p>
          <w:p w14:paraId="0B67D4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rPr>
              <w:t>滕州市优秀教师</w:t>
            </w:r>
            <w:r>
              <w:rPr>
                <w:rFonts w:hint="eastAsia"/>
                <w:lang w:eastAsia="zh-CN"/>
              </w:rPr>
              <w:t>、</w:t>
            </w:r>
            <w:r>
              <w:rPr>
                <w:rFonts w:hint="eastAsia"/>
              </w:rPr>
              <w:t>滕新时代教育数字化领航教师</w:t>
            </w:r>
            <w:r>
              <w:rPr>
                <w:rFonts w:hint="eastAsia"/>
                <w:lang w:eastAsia="zh-CN"/>
              </w:rPr>
              <w:t>、</w:t>
            </w:r>
            <w:r>
              <w:rPr>
                <w:rFonts w:hint="eastAsia"/>
                <w:lang w:val="en-US" w:eastAsia="zh-CN"/>
              </w:rPr>
              <w:t>枣禁毒优秀工作者、</w:t>
            </w:r>
            <w:r>
              <w:rPr>
                <w:rFonts w:hint="eastAsia"/>
              </w:rPr>
              <w:t>枣庄科技辅导员</w:t>
            </w:r>
            <w:r>
              <w:rPr>
                <w:rFonts w:hint="eastAsia"/>
                <w:lang w:eastAsia="zh-CN"/>
              </w:rPr>
              <w:t>、</w:t>
            </w:r>
            <w:r>
              <w:rPr>
                <w:rFonts w:hint="eastAsia"/>
                <w:lang w:val="en-US" w:eastAsia="zh-CN"/>
              </w:rPr>
              <w:t>滕进度优秀工作者、滕州讲座证书、滕州优秀考试工作者、枣庄市兼职教研员、滕州市兼职教研员。</w:t>
            </w:r>
          </w:p>
          <w:p w14:paraId="314E7F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在日常教学工作中，我们坚持学案导学合作探究，秉承教-学-评一致性，打造高效信息科技课堂。</w:t>
            </w:r>
          </w:p>
          <w:p w14:paraId="082BF81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sz w:val="24"/>
                <w:szCs w:val="24"/>
                <w:lang w:val="en-US"/>
              </w:rPr>
            </w:pPr>
            <w:r>
              <w:rPr>
                <w:rFonts w:hint="eastAsia"/>
                <w:lang w:val="en-US" w:eastAsia="zh-CN"/>
              </w:rPr>
              <w:t>此外，我们还组建了编程社团：“善思编程社”，“善创创客社”，并在滕州、枣庄及省内取得了一定成绩，学校也被评为滕州编程大赛优秀组织单位。我们将继续鼓励学生积极参加各类社团活动以及各种比赛活动，培养动手实践及创新能力，让学生学有所成、学有所获。</w:t>
            </w:r>
          </w:p>
        </w:tc>
      </w:tr>
      <w:tr w14:paraId="2334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7" w:hRule="atLeast"/>
        </w:trPr>
        <w:tc>
          <w:tcPr>
            <w:tcW w:w="1119" w:type="dxa"/>
            <w:vAlign w:val="center"/>
          </w:tcPr>
          <w:p w14:paraId="77E54949">
            <w:pPr>
              <w:jc w:val="center"/>
              <w:rPr>
                <w:sz w:val="24"/>
                <w:szCs w:val="24"/>
              </w:rPr>
            </w:pPr>
            <w:r>
              <w:rPr>
                <w:rFonts w:hint="eastAsia"/>
                <w:sz w:val="24"/>
                <w:szCs w:val="24"/>
              </w:rPr>
              <w:t>创建</w:t>
            </w:r>
          </w:p>
          <w:p w14:paraId="55407710">
            <w:pPr>
              <w:jc w:val="center"/>
              <w:rPr>
                <w:sz w:val="24"/>
                <w:szCs w:val="24"/>
              </w:rPr>
            </w:pPr>
            <w:r>
              <w:rPr>
                <w:rFonts w:hint="eastAsia"/>
                <w:sz w:val="24"/>
                <w:szCs w:val="24"/>
              </w:rPr>
              <w:t>计划</w:t>
            </w:r>
          </w:p>
        </w:tc>
        <w:tc>
          <w:tcPr>
            <w:tcW w:w="7638" w:type="dxa"/>
            <w:gridSpan w:val="3"/>
            <w:vAlign w:val="top"/>
          </w:tcPr>
          <w:p w14:paraId="45C681D9">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一、目标</w:t>
            </w:r>
          </w:p>
          <w:p w14:paraId="608CC149">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1.进一步深化新课堂达标活动，全面落实国家课程方案和学科课程标准，高质量完成课堂教学任务，提升教学质量，通过教学方法创新、课程设计优化等，提高学生信息科技学科的综合素养。</w:t>
            </w:r>
          </w:p>
          <w:p w14:paraId="5128FF6A">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2.培养优秀教师促进教师专业成长，打造一支教学水平高、科研能力强的信息科技教师队伍。</w:t>
            </w:r>
          </w:p>
          <w:p w14:paraId="0A621969">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二、具体措施</w:t>
            </w:r>
          </w:p>
          <w:p w14:paraId="61461E2C">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（一）教学研究与改革</w:t>
            </w:r>
          </w:p>
          <w:p w14:paraId="088B698B">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1.定期开展教学研讨活动</w:t>
            </w:r>
            <w:r>
              <w:rPr>
                <w:rFonts w:hint="eastAsia" w:ascii="宋体" w:hAnsi="宋体" w:cs="宋体"/>
                <w:sz w:val="20"/>
                <w:szCs w:val="20"/>
                <w:lang w:eastAsia="zh-CN"/>
              </w:rPr>
              <w:t>：</w:t>
            </w:r>
            <w:r>
              <w:rPr>
                <w:rFonts w:hint="eastAsia" w:ascii="宋体" w:hAnsi="宋体" w:cs="宋体"/>
                <w:sz w:val="20"/>
                <w:szCs w:val="20"/>
              </w:rPr>
              <w:t>每周坚持开展集备通课活动，充分利用半天无课日，共同探讨教学重难点、教学方法和策略。</w:t>
            </w:r>
          </w:p>
          <w:p w14:paraId="54CD2704">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2.推进课程改革</w:t>
            </w:r>
            <w:r>
              <w:rPr>
                <w:rFonts w:hint="eastAsia" w:ascii="宋体" w:hAnsi="宋体" w:cs="宋体"/>
                <w:sz w:val="20"/>
                <w:szCs w:val="20"/>
                <w:lang w:eastAsia="zh-CN"/>
              </w:rPr>
              <w:t>：</w:t>
            </w:r>
            <w:r>
              <w:rPr>
                <w:rFonts w:hint="eastAsia" w:ascii="宋体" w:hAnsi="宋体" w:cs="宋体"/>
                <w:sz w:val="20"/>
                <w:szCs w:val="20"/>
              </w:rPr>
              <w:t>结合新课程标准，开发具有特色的校本信息科技课程。</w:t>
            </w:r>
          </w:p>
          <w:p w14:paraId="59B05BFE">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3.加强教学资源建设</w:t>
            </w:r>
            <w:r>
              <w:rPr>
                <w:rFonts w:hint="eastAsia" w:ascii="宋体" w:hAnsi="宋体" w:cs="宋体"/>
                <w:sz w:val="20"/>
                <w:szCs w:val="20"/>
                <w:lang w:eastAsia="zh-CN"/>
              </w:rPr>
              <w:t>：</w:t>
            </w:r>
            <w:r>
              <w:rPr>
                <w:rFonts w:hint="eastAsia" w:ascii="宋体" w:hAnsi="宋体" w:cs="宋体"/>
                <w:sz w:val="20"/>
                <w:szCs w:val="20"/>
              </w:rPr>
              <w:t>收集、整理、开发与本学科新课堂达标教学相关的各类资源，如教学课件、案例等。建立学科组内部教学资源共享平台，方便教师随时获取和使用资源，同时鼓励教师上传自己的优质教学资源，实现资源的共建共享。</w:t>
            </w:r>
          </w:p>
          <w:p w14:paraId="05E48027">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（二）教师专业发展</w:t>
            </w:r>
          </w:p>
          <w:p w14:paraId="1160A50A">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1.培训与学习</w:t>
            </w:r>
            <w:r>
              <w:rPr>
                <w:rFonts w:hint="eastAsia" w:ascii="宋体" w:hAnsi="宋体" w:cs="宋体"/>
                <w:sz w:val="20"/>
                <w:szCs w:val="20"/>
                <w:lang w:eastAsia="zh-CN"/>
              </w:rPr>
              <w:t>：</w:t>
            </w:r>
            <w:r>
              <w:rPr>
                <w:rFonts w:hint="eastAsia" w:ascii="宋体" w:hAnsi="宋体" w:cs="宋体"/>
                <w:sz w:val="20"/>
                <w:szCs w:val="20"/>
              </w:rPr>
              <w:t>定期组织教师深入学习新课堂达标相关理念、标准和要求，通过研读专业书籍、观看专家讲座视频等方式进行。积极参加校内外组织的新课堂达标培训活动，鼓励教师分享培训心得与收获，促进共同进步。</w:t>
            </w:r>
          </w:p>
          <w:p w14:paraId="7FB01D73">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lang w:val="en-US" w:eastAsia="zh-CN"/>
              </w:rPr>
              <w:t>2.</w:t>
            </w:r>
            <w:r>
              <w:rPr>
                <w:rFonts w:hint="eastAsia" w:ascii="宋体" w:hAnsi="宋体" w:cs="宋体"/>
                <w:sz w:val="20"/>
                <w:szCs w:val="20"/>
              </w:rPr>
              <w:t>教学实践与反思</w:t>
            </w:r>
            <w:r>
              <w:rPr>
                <w:rFonts w:hint="eastAsia" w:ascii="宋体" w:hAnsi="宋体" w:cs="宋体"/>
                <w:sz w:val="20"/>
                <w:szCs w:val="20"/>
                <w:lang w:eastAsia="zh-CN"/>
              </w:rPr>
              <w:t>：</w:t>
            </w:r>
            <w:r>
              <w:rPr>
                <w:rFonts w:hint="eastAsia" w:ascii="宋体" w:hAnsi="宋体" w:cs="宋体"/>
                <w:sz w:val="20"/>
                <w:szCs w:val="20"/>
              </w:rPr>
              <w:t>每位教师按照优化后的教学设计开展课堂教学实践，在实践过程中注重观察学生的学习反应和效果。定期组织教学观摩活动，让教师相互听课、评课，从不同角度发现优点与不足。教师在每堂课后及时进行教学反思，总结经验教训，并根据反思结果对教学设计进行调整和完善。</w:t>
            </w:r>
          </w:p>
          <w:p w14:paraId="191E5EB1">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3.开展课题研究</w:t>
            </w:r>
          </w:p>
          <w:p w14:paraId="5C1D6890">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鼓励教师积极申报各级各类信息科技学科课题，提高科研能力。</w:t>
            </w:r>
          </w:p>
          <w:p w14:paraId="6EDFB2D4">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ascii="宋体" w:hAnsi="宋体" w:cs="宋体"/>
                <w:sz w:val="20"/>
                <w:szCs w:val="20"/>
              </w:rPr>
            </w:pPr>
            <w:r>
              <w:rPr>
                <w:rFonts w:hint="eastAsia" w:ascii="宋体" w:hAnsi="宋体" w:cs="宋体"/>
                <w:sz w:val="20"/>
                <w:szCs w:val="20"/>
              </w:rPr>
              <w:t>定期组织课题研究进展汇报与交流活动。</w:t>
            </w:r>
          </w:p>
          <w:p w14:paraId="3EA12B12">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eastAsia"/>
              </w:rPr>
            </w:pPr>
            <w:r>
              <w:rPr>
                <w:rFonts w:hint="eastAsia" w:ascii="宋体" w:hAnsi="宋体" w:cs="宋体"/>
                <w:sz w:val="20"/>
                <w:szCs w:val="20"/>
                <w:lang w:val="en-US" w:eastAsia="zh-CN"/>
              </w:rPr>
              <w:t>如果本学科组通过认证，我们将按照新课堂达标活动活动相关要求做好本学科的常态化工作推进，严格规范学科组活动，力保将新课堂达标常规要求落实进行到底。</w:t>
            </w:r>
          </w:p>
        </w:tc>
      </w:tr>
      <w:tr w14:paraId="30A5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119" w:type="dxa"/>
            <w:vAlign w:val="center"/>
          </w:tcPr>
          <w:p w14:paraId="0F923313">
            <w:pPr>
              <w:jc w:val="center"/>
              <w:rPr>
                <w:sz w:val="24"/>
                <w:szCs w:val="24"/>
              </w:rPr>
            </w:pPr>
            <w:r>
              <w:rPr>
                <w:rFonts w:hint="eastAsia"/>
                <w:sz w:val="24"/>
                <w:szCs w:val="24"/>
              </w:rPr>
              <w:t>单位推荐意见</w:t>
            </w:r>
          </w:p>
        </w:tc>
        <w:tc>
          <w:tcPr>
            <w:tcW w:w="7638" w:type="dxa"/>
            <w:gridSpan w:val="3"/>
          </w:tcPr>
          <w:p w14:paraId="6E47FADE">
            <w:pPr>
              <w:rPr>
                <w:rFonts w:ascii="宋体" w:hAnsi="宋体" w:cs="宋体"/>
                <w:sz w:val="24"/>
                <w:szCs w:val="24"/>
              </w:rPr>
            </w:pPr>
          </w:p>
        </w:tc>
      </w:tr>
      <w:tr w14:paraId="17B2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119" w:type="dxa"/>
            <w:vAlign w:val="center"/>
          </w:tcPr>
          <w:p w14:paraId="0EDD6C38">
            <w:pPr>
              <w:jc w:val="center"/>
              <w:rPr>
                <w:sz w:val="24"/>
                <w:szCs w:val="24"/>
              </w:rPr>
            </w:pPr>
            <w:r>
              <w:rPr>
                <w:rFonts w:hint="eastAsia"/>
                <w:sz w:val="24"/>
                <w:szCs w:val="24"/>
              </w:rPr>
              <w:t>市级认证结果</w:t>
            </w:r>
          </w:p>
        </w:tc>
        <w:tc>
          <w:tcPr>
            <w:tcW w:w="7638" w:type="dxa"/>
            <w:gridSpan w:val="3"/>
          </w:tcPr>
          <w:p w14:paraId="77746A0B">
            <w:pPr>
              <w:rPr>
                <w:rFonts w:ascii="宋体" w:hAnsi="宋体" w:cs="宋体"/>
                <w:sz w:val="24"/>
                <w:szCs w:val="24"/>
              </w:rPr>
            </w:pPr>
          </w:p>
        </w:tc>
      </w:tr>
    </w:tbl>
    <w:p w14:paraId="1603CA1F">
      <w:pPr>
        <w:keepNext w:val="0"/>
        <w:keepLines w:val="0"/>
        <w:pageBreakBefore w:val="0"/>
        <w:widowControl w:val="0"/>
        <w:tabs>
          <w:tab w:val="left" w:pos="726"/>
        </w:tabs>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Noto Serif CJK JP">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yMjFkYWNlNTFiNjAwOGNkNzM2MTQ5YWUxYjhhOWMifQ=="/>
  </w:docVars>
  <w:rsids>
    <w:rsidRoot w:val="27211BB6"/>
    <w:rsid w:val="000D1F10"/>
    <w:rsid w:val="00224420"/>
    <w:rsid w:val="002315F2"/>
    <w:rsid w:val="00237038"/>
    <w:rsid w:val="00245954"/>
    <w:rsid w:val="00273363"/>
    <w:rsid w:val="00287592"/>
    <w:rsid w:val="002F1341"/>
    <w:rsid w:val="0034233A"/>
    <w:rsid w:val="003A73E1"/>
    <w:rsid w:val="003B2AA8"/>
    <w:rsid w:val="003B79E0"/>
    <w:rsid w:val="004074AB"/>
    <w:rsid w:val="00467B29"/>
    <w:rsid w:val="004A5AFB"/>
    <w:rsid w:val="004D67CB"/>
    <w:rsid w:val="004F342E"/>
    <w:rsid w:val="006506EB"/>
    <w:rsid w:val="006A569F"/>
    <w:rsid w:val="006F3525"/>
    <w:rsid w:val="00707110"/>
    <w:rsid w:val="00713D68"/>
    <w:rsid w:val="0076543F"/>
    <w:rsid w:val="007D1FFD"/>
    <w:rsid w:val="007E6400"/>
    <w:rsid w:val="007F3C10"/>
    <w:rsid w:val="00826861"/>
    <w:rsid w:val="00873095"/>
    <w:rsid w:val="009411C8"/>
    <w:rsid w:val="009860F3"/>
    <w:rsid w:val="009D5C18"/>
    <w:rsid w:val="00A136C7"/>
    <w:rsid w:val="00A33F7E"/>
    <w:rsid w:val="00A63E59"/>
    <w:rsid w:val="00B02A08"/>
    <w:rsid w:val="00B14825"/>
    <w:rsid w:val="00B24B83"/>
    <w:rsid w:val="00B32B05"/>
    <w:rsid w:val="00B90647"/>
    <w:rsid w:val="00BF10EC"/>
    <w:rsid w:val="00BF3CED"/>
    <w:rsid w:val="00BF4456"/>
    <w:rsid w:val="00C55A41"/>
    <w:rsid w:val="00D342FA"/>
    <w:rsid w:val="00DD10F4"/>
    <w:rsid w:val="00E678EE"/>
    <w:rsid w:val="00ED19B2"/>
    <w:rsid w:val="00F22479"/>
    <w:rsid w:val="00FC1D56"/>
    <w:rsid w:val="00FD6CE8"/>
    <w:rsid w:val="00FF6F0C"/>
    <w:rsid w:val="01657E23"/>
    <w:rsid w:val="02B31B7A"/>
    <w:rsid w:val="03884856"/>
    <w:rsid w:val="03B4564B"/>
    <w:rsid w:val="055E3AC1"/>
    <w:rsid w:val="062F07A4"/>
    <w:rsid w:val="07771447"/>
    <w:rsid w:val="0FC5304C"/>
    <w:rsid w:val="13A434B2"/>
    <w:rsid w:val="13E6281E"/>
    <w:rsid w:val="14E44553"/>
    <w:rsid w:val="1FC07558"/>
    <w:rsid w:val="22F43C5B"/>
    <w:rsid w:val="236B3137"/>
    <w:rsid w:val="27211BB6"/>
    <w:rsid w:val="2BCD5E45"/>
    <w:rsid w:val="2D4D7629"/>
    <w:rsid w:val="2E524407"/>
    <w:rsid w:val="31633C5C"/>
    <w:rsid w:val="38173E4E"/>
    <w:rsid w:val="3854098F"/>
    <w:rsid w:val="3E837E92"/>
    <w:rsid w:val="3FA85B23"/>
    <w:rsid w:val="43420014"/>
    <w:rsid w:val="47DA173E"/>
    <w:rsid w:val="49FE27EA"/>
    <w:rsid w:val="4B526B2C"/>
    <w:rsid w:val="4C087FE5"/>
    <w:rsid w:val="513269EB"/>
    <w:rsid w:val="5380258E"/>
    <w:rsid w:val="57193F55"/>
    <w:rsid w:val="58FC1D80"/>
    <w:rsid w:val="5CCE758F"/>
    <w:rsid w:val="60D86C2E"/>
    <w:rsid w:val="62DF285B"/>
    <w:rsid w:val="67746990"/>
    <w:rsid w:val="6857154B"/>
    <w:rsid w:val="6E874F3A"/>
    <w:rsid w:val="70146B8C"/>
    <w:rsid w:val="70752FCD"/>
    <w:rsid w:val="71F4202C"/>
    <w:rsid w:val="727932F7"/>
    <w:rsid w:val="7E85034E"/>
    <w:rsid w:val="7F4F00E0"/>
    <w:rsid w:val="7FAB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spacing w:line="660" w:lineRule="exact"/>
    </w:pPr>
    <w:rPr>
      <w:rFonts w:ascii="仿宋_GB2312" w:cs="仿宋_GB2312"/>
      <w:color w:val="000000"/>
    </w:rPr>
  </w:style>
  <w:style w:type="paragraph" w:styleId="3">
    <w:name w:val="Body Text"/>
    <w:basedOn w:val="1"/>
    <w:qFormat/>
    <w:uiPriority w:val="1"/>
    <w:pPr>
      <w:ind w:left="226"/>
    </w:pPr>
    <w:rPr>
      <w:rFonts w:ascii="Noto Serif CJK JP" w:hAnsi="Noto Serif CJK JP" w:eastAsia="Noto Serif CJK JP" w:cs="Noto Serif CJK JP"/>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26E5" w:themeColor="hyperlink"/>
      <w:u w:val="single"/>
      <w14:textFill>
        <w14:solidFill>
          <w14:schemeClr w14:val="hlink"/>
        </w14:solidFill>
      </w14:textFill>
    </w:rPr>
  </w:style>
  <w:style w:type="paragraph" w:customStyle="1" w:styleId="10">
    <w:name w:val="Table Paragraph"/>
    <w:basedOn w:val="1"/>
    <w:qFormat/>
    <w:uiPriority w:val="1"/>
    <w:pPr>
      <w:jc w:val="center"/>
    </w:pPr>
    <w:rPr>
      <w:rFonts w:ascii="Noto Serif CJK JP" w:hAnsi="Noto Serif CJK JP" w:eastAsia="Noto Serif CJK JP" w:cs="Noto Serif CJK JP"/>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1604</Words>
  <Characters>1622</Characters>
  <Lines>1</Lines>
  <Paragraphs>1</Paragraphs>
  <TotalTime>67</TotalTime>
  <ScaleCrop>false</ScaleCrop>
  <LinksUpToDate>false</LinksUpToDate>
  <CharactersWithSpaces>1622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2024-11-11T06:45:00Z</dcterms:created>
  <dc:creator>听心</dc:creator>
  <cp:lastModifiedBy>gx</cp:lastModifiedBy>
  <cp:lastPrinted>2024-11-11T03:15:00Z</cp:lastPrinted>
  <dcterms:modified xsi:type="dcterms:W3CDTF">2024-11-13T02:34:38Z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808B1E52C483491D9E104918C23DFADC_13</vt:lpwstr>
  </property>
</Properties>
</file>