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60D3A" w14:textId="77777777" w:rsidR="00BF4456" w:rsidRDefault="00245954">
      <w:pPr>
        <w:tabs>
          <w:tab w:val="left" w:pos="726"/>
        </w:tabs>
        <w:jc w:val="left"/>
        <w:rPr>
          <w:rFonts w:asciiTheme="majorEastAsia" w:eastAsiaTheme="majorEastAsia" w:hAnsiTheme="majorEastAsia" w:cstheme="majorEastAsia" w:hint="eastAsia"/>
          <w:color w:val="000000"/>
          <w:spacing w:val="-17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14:paraId="33563C58" w14:textId="77777777" w:rsidR="00BF4456" w:rsidRDefault="00245954">
      <w:pPr>
        <w:tabs>
          <w:tab w:val="left" w:pos="726"/>
        </w:tabs>
        <w:jc w:val="center"/>
        <w:rPr>
          <w:rFonts w:ascii="黑体" w:eastAsia="黑体" w:hAnsi="黑体" w:cs="黑体" w:hint="eastAsia"/>
          <w:color w:val="000000"/>
          <w:spacing w:val="-17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17"/>
          <w:kern w:val="0"/>
          <w:sz w:val="32"/>
          <w:szCs w:val="32"/>
        </w:rPr>
        <w:t>滕州市中小学新课堂达标示范学科组创建申报表</w:t>
      </w:r>
    </w:p>
    <w:tbl>
      <w:tblPr>
        <w:tblStyle w:val="a8"/>
        <w:tblpPr w:leftFromText="180" w:rightFromText="180" w:vertAnchor="text" w:horzAnchor="margin" w:tblpY="1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19"/>
        <w:gridCol w:w="3139"/>
        <w:gridCol w:w="1057"/>
        <w:gridCol w:w="3442"/>
      </w:tblGrid>
      <w:tr w:rsidR="00BF4456" w14:paraId="7F1D8A28" w14:textId="77777777">
        <w:trPr>
          <w:trHeight w:val="603"/>
        </w:trPr>
        <w:tc>
          <w:tcPr>
            <w:tcW w:w="1119" w:type="dxa"/>
            <w:vAlign w:val="center"/>
          </w:tcPr>
          <w:p w14:paraId="0E55C062" w14:textId="77777777" w:rsidR="00BF4456" w:rsidRDefault="002459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3139" w:type="dxa"/>
            <w:vAlign w:val="center"/>
          </w:tcPr>
          <w:p w14:paraId="0AC21CDD" w14:textId="7B87E1FF" w:rsidR="00BF4456" w:rsidRDefault="002E6C71" w:rsidP="002D25B8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滕州市至善学校</w:t>
            </w:r>
          </w:p>
        </w:tc>
        <w:tc>
          <w:tcPr>
            <w:tcW w:w="1057" w:type="dxa"/>
            <w:vAlign w:val="center"/>
          </w:tcPr>
          <w:p w14:paraId="53D9F2AC" w14:textId="77777777" w:rsidR="00BF4456" w:rsidRDefault="0024595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拟创建</w:t>
            </w:r>
            <w:proofErr w:type="gramEnd"/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3442" w:type="dxa"/>
            <w:vAlign w:val="center"/>
          </w:tcPr>
          <w:p w14:paraId="6B3F86A6" w14:textId="26F5E408" w:rsidR="00BF4456" w:rsidRDefault="002E6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</w:t>
            </w:r>
          </w:p>
        </w:tc>
      </w:tr>
      <w:tr w:rsidR="00BF4456" w14:paraId="3B4A9155" w14:textId="77777777">
        <w:trPr>
          <w:trHeight w:val="603"/>
        </w:trPr>
        <w:tc>
          <w:tcPr>
            <w:tcW w:w="1119" w:type="dxa"/>
            <w:vAlign w:val="center"/>
          </w:tcPr>
          <w:p w14:paraId="2B4A2A7A" w14:textId="77777777" w:rsidR="00BF4456" w:rsidRDefault="002459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  <w:p w14:paraId="574C4D3B" w14:textId="77777777" w:rsidR="00BF4456" w:rsidRDefault="002459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3139" w:type="dxa"/>
            <w:vAlign w:val="center"/>
          </w:tcPr>
          <w:p w14:paraId="253BB224" w14:textId="4239DA74" w:rsidR="00BF4456" w:rsidRDefault="002E6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马田</w:t>
            </w:r>
          </w:p>
        </w:tc>
        <w:tc>
          <w:tcPr>
            <w:tcW w:w="1057" w:type="dxa"/>
            <w:vAlign w:val="center"/>
          </w:tcPr>
          <w:p w14:paraId="7E2DE385" w14:textId="77777777" w:rsidR="00BF4456" w:rsidRDefault="002459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14:paraId="417E5A5B" w14:textId="77777777" w:rsidR="00BF4456" w:rsidRDefault="002459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442" w:type="dxa"/>
            <w:vAlign w:val="center"/>
          </w:tcPr>
          <w:p w14:paraId="275D2469" w14:textId="20A99D76" w:rsidR="00BF4456" w:rsidRDefault="002E6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15863230527</w:t>
            </w:r>
          </w:p>
        </w:tc>
      </w:tr>
      <w:tr w:rsidR="00BF4456" w14:paraId="2D3879DF" w14:textId="77777777">
        <w:trPr>
          <w:trHeight w:val="8631"/>
        </w:trPr>
        <w:tc>
          <w:tcPr>
            <w:tcW w:w="1119" w:type="dxa"/>
            <w:vAlign w:val="center"/>
          </w:tcPr>
          <w:p w14:paraId="36B644C5" w14:textId="77777777" w:rsidR="00BF4456" w:rsidRDefault="002459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学科建设基础</w:t>
            </w:r>
          </w:p>
        </w:tc>
        <w:tc>
          <w:tcPr>
            <w:tcW w:w="7638" w:type="dxa"/>
            <w:gridSpan w:val="3"/>
            <w:vAlign w:val="center"/>
          </w:tcPr>
          <w:p w14:paraId="31C6BA93" w14:textId="7202B2B6" w:rsidR="002D25B8" w:rsidRDefault="00E806E5" w:rsidP="00384E18">
            <w:pPr>
              <w:ind w:firstLineChars="200" w:firstLine="480"/>
              <w:rPr>
                <w:sz w:val="24"/>
                <w:szCs w:val="24"/>
              </w:rPr>
            </w:pPr>
            <w:r w:rsidRPr="00E806E5">
              <w:rPr>
                <w:rFonts w:hint="eastAsia"/>
                <w:sz w:val="24"/>
                <w:szCs w:val="24"/>
              </w:rPr>
              <w:t>滕州市至善学校全面贯彻党的教育方针，遵循办学规律，落实立德树人根本任务，三级建模、一课</w:t>
            </w:r>
            <w:proofErr w:type="gramStart"/>
            <w:r w:rsidRPr="00E806E5">
              <w:rPr>
                <w:rFonts w:hint="eastAsia"/>
                <w:sz w:val="24"/>
                <w:szCs w:val="24"/>
              </w:rPr>
              <w:t>一研</w:t>
            </w:r>
            <w:proofErr w:type="gramEnd"/>
            <w:r w:rsidRPr="00E806E5">
              <w:rPr>
                <w:rFonts w:hint="eastAsia"/>
                <w:sz w:val="24"/>
                <w:szCs w:val="24"/>
              </w:rPr>
              <w:t>、项目式学习等重点工作推进有效，“四个一”达标落地落实，新课堂达标成果成效显著</w:t>
            </w:r>
            <w:r w:rsidR="00384E18">
              <w:rPr>
                <w:rFonts w:hint="eastAsia"/>
                <w:sz w:val="24"/>
                <w:szCs w:val="24"/>
              </w:rPr>
              <w:t>。</w:t>
            </w:r>
            <w:r w:rsidRPr="00E806E5">
              <w:rPr>
                <w:rFonts w:hint="eastAsia"/>
                <w:sz w:val="24"/>
                <w:szCs w:val="24"/>
              </w:rPr>
              <w:t>初中历史学科组教师教育教学理念先进，能创新教学方法和策略，建构基于课程标准的教学实践模型，形成鲜明教学特色，并获得显著的相关研究成果，</w:t>
            </w:r>
            <w:r w:rsidR="002D25B8">
              <w:rPr>
                <w:rFonts w:hint="eastAsia"/>
                <w:sz w:val="24"/>
                <w:szCs w:val="24"/>
              </w:rPr>
              <w:t>滕州市至善学校初中</w:t>
            </w:r>
            <w:proofErr w:type="gramStart"/>
            <w:r w:rsidR="002D25B8">
              <w:rPr>
                <w:rFonts w:hint="eastAsia"/>
                <w:sz w:val="24"/>
                <w:szCs w:val="24"/>
              </w:rPr>
              <w:t>部现有</w:t>
            </w:r>
            <w:proofErr w:type="gramEnd"/>
            <w:r w:rsidR="002D25B8">
              <w:rPr>
                <w:rFonts w:hint="eastAsia"/>
                <w:sz w:val="24"/>
                <w:szCs w:val="24"/>
              </w:rPr>
              <w:t>历史老师</w:t>
            </w:r>
            <w:r w:rsidR="002D25B8">
              <w:rPr>
                <w:rFonts w:hint="eastAsia"/>
                <w:sz w:val="24"/>
                <w:szCs w:val="24"/>
              </w:rPr>
              <w:t>17</w:t>
            </w:r>
            <w:r w:rsidR="002D25B8">
              <w:rPr>
                <w:rFonts w:hint="eastAsia"/>
                <w:sz w:val="24"/>
                <w:szCs w:val="24"/>
              </w:rPr>
              <w:t>人，正高级教师</w:t>
            </w:r>
            <w:r w:rsidR="002D25B8">
              <w:rPr>
                <w:rFonts w:hint="eastAsia"/>
                <w:sz w:val="24"/>
                <w:szCs w:val="24"/>
              </w:rPr>
              <w:t>1</w:t>
            </w:r>
            <w:r w:rsidR="002D25B8">
              <w:rPr>
                <w:rFonts w:hint="eastAsia"/>
                <w:sz w:val="24"/>
                <w:szCs w:val="24"/>
              </w:rPr>
              <w:t>人，副高级教师</w:t>
            </w:r>
            <w:r w:rsidR="002D25B8">
              <w:rPr>
                <w:rFonts w:hint="eastAsia"/>
                <w:sz w:val="24"/>
                <w:szCs w:val="24"/>
              </w:rPr>
              <w:t>1</w:t>
            </w:r>
            <w:r w:rsidR="002D25B8">
              <w:rPr>
                <w:rFonts w:hint="eastAsia"/>
                <w:sz w:val="24"/>
                <w:szCs w:val="24"/>
              </w:rPr>
              <w:t>人，中级教师</w:t>
            </w:r>
            <w:r w:rsidR="002D25B8">
              <w:rPr>
                <w:rFonts w:hint="eastAsia"/>
                <w:sz w:val="24"/>
                <w:szCs w:val="24"/>
              </w:rPr>
              <w:t>11</w:t>
            </w:r>
            <w:r w:rsidR="002D25B8">
              <w:rPr>
                <w:rFonts w:hint="eastAsia"/>
                <w:sz w:val="24"/>
                <w:szCs w:val="24"/>
              </w:rPr>
              <w:t>人，初级教师</w:t>
            </w:r>
            <w:r w:rsidR="002D25B8">
              <w:rPr>
                <w:rFonts w:hint="eastAsia"/>
                <w:sz w:val="24"/>
                <w:szCs w:val="24"/>
              </w:rPr>
              <w:t>4</w:t>
            </w:r>
            <w:r w:rsidR="002D25B8">
              <w:rPr>
                <w:rFonts w:hint="eastAsia"/>
                <w:sz w:val="24"/>
                <w:szCs w:val="24"/>
              </w:rPr>
              <w:t>人，研究生</w:t>
            </w:r>
            <w:r w:rsidR="002D25B8">
              <w:rPr>
                <w:rFonts w:hint="eastAsia"/>
                <w:sz w:val="24"/>
                <w:szCs w:val="24"/>
              </w:rPr>
              <w:t>4</w:t>
            </w:r>
            <w:r w:rsidR="002D25B8">
              <w:rPr>
                <w:rFonts w:hint="eastAsia"/>
                <w:sz w:val="24"/>
                <w:szCs w:val="24"/>
              </w:rPr>
              <w:t>人</w:t>
            </w:r>
            <w:r w:rsidR="00384E18">
              <w:rPr>
                <w:rFonts w:hint="eastAsia"/>
                <w:sz w:val="24"/>
                <w:szCs w:val="24"/>
              </w:rPr>
              <w:t>。</w:t>
            </w:r>
            <w:r w:rsidR="002D25B8">
              <w:rPr>
                <w:rFonts w:hint="eastAsia"/>
                <w:sz w:val="24"/>
                <w:szCs w:val="24"/>
              </w:rPr>
              <w:t>其中滕州名师</w:t>
            </w:r>
            <w:r w:rsidR="002D25B8">
              <w:rPr>
                <w:rFonts w:hint="eastAsia"/>
                <w:sz w:val="24"/>
                <w:szCs w:val="24"/>
              </w:rPr>
              <w:t>1</w:t>
            </w:r>
            <w:r w:rsidR="002D25B8">
              <w:rPr>
                <w:rFonts w:hint="eastAsia"/>
                <w:sz w:val="24"/>
                <w:szCs w:val="24"/>
              </w:rPr>
              <w:t>人，枣庄市教学能手</w:t>
            </w:r>
            <w:r w:rsidR="002D25B8">
              <w:rPr>
                <w:rFonts w:hint="eastAsia"/>
                <w:sz w:val="24"/>
                <w:szCs w:val="24"/>
              </w:rPr>
              <w:t>2</w:t>
            </w:r>
            <w:r w:rsidR="002D25B8">
              <w:rPr>
                <w:rFonts w:hint="eastAsia"/>
                <w:sz w:val="24"/>
                <w:szCs w:val="24"/>
              </w:rPr>
              <w:t>人，学科带头人</w:t>
            </w:r>
            <w:r w:rsidR="002D25B8">
              <w:rPr>
                <w:rFonts w:hint="eastAsia"/>
                <w:sz w:val="24"/>
                <w:szCs w:val="24"/>
              </w:rPr>
              <w:t>2</w:t>
            </w:r>
            <w:r w:rsidR="002D25B8">
              <w:rPr>
                <w:rFonts w:hint="eastAsia"/>
                <w:sz w:val="24"/>
                <w:szCs w:val="24"/>
              </w:rPr>
              <w:t>人，滕州市教学能手</w:t>
            </w:r>
            <w:r w:rsidR="002D25B8">
              <w:rPr>
                <w:rFonts w:hint="eastAsia"/>
                <w:sz w:val="24"/>
                <w:szCs w:val="24"/>
              </w:rPr>
              <w:t>3</w:t>
            </w:r>
            <w:r w:rsidR="002D25B8">
              <w:rPr>
                <w:rFonts w:hint="eastAsia"/>
                <w:sz w:val="24"/>
                <w:szCs w:val="24"/>
              </w:rPr>
              <w:t>人，滕州市骨干教师</w:t>
            </w:r>
            <w:r w:rsidR="002D25B8">
              <w:rPr>
                <w:rFonts w:hint="eastAsia"/>
                <w:sz w:val="24"/>
                <w:szCs w:val="24"/>
              </w:rPr>
              <w:t>8</w:t>
            </w:r>
            <w:r w:rsidR="002D25B8">
              <w:rPr>
                <w:rFonts w:hint="eastAsia"/>
                <w:sz w:val="24"/>
                <w:szCs w:val="24"/>
              </w:rPr>
              <w:t>人。</w:t>
            </w:r>
          </w:p>
          <w:p w14:paraId="2FF05DE4" w14:textId="4C27D982" w:rsidR="002D25B8" w:rsidRDefault="002D25B8" w:rsidP="0062000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马田老师现为枣庄市历史中心团队成员，</w:t>
            </w:r>
            <w:r w:rsidR="00E806E5">
              <w:rPr>
                <w:rFonts w:hint="eastAsia"/>
                <w:sz w:val="24"/>
                <w:szCs w:val="24"/>
              </w:rPr>
              <w:t>枣庄市兼职教研员，</w:t>
            </w:r>
            <w:r>
              <w:rPr>
                <w:rFonts w:hint="eastAsia"/>
                <w:sz w:val="24"/>
                <w:szCs w:val="24"/>
              </w:rPr>
              <w:t>名师工作室主持人，曹慧、袁爱萍、秦真鹏、张露文、张忠福等多位老师为工作室成员。</w:t>
            </w:r>
            <w:r w:rsidR="00620001">
              <w:rPr>
                <w:rFonts w:hint="eastAsia"/>
                <w:sz w:val="24"/>
                <w:szCs w:val="24"/>
              </w:rPr>
              <w:t>工作室成员积极进行理论提升，精进教学技能，深化课题研究，加强团队建设，交流和共享资源，不断总结教学经验和进行教学反思。</w:t>
            </w:r>
            <w:r w:rsidR="00384E18">
              <w:rPr>
                <w:rFonts w:hint="eastAsia"/>
                <w:sz w:val="24"/>
                <w:szCs w:val="24"/>
              </w:rPr>
              <w:t>团队成员</w:t>
            </w:r>
            <w:r>
              <w:rPr>
                <w:rFonts w:hint="eastAsia"/>
                <w:sz w:val="24"/>
                <w:szCs w:val="24"/>
              </w:rPr>
              <w:t>多次参与滕州市组建的送课下乡活动</w:t>
            </w:r>
            <w:r w:rsidR="00384E18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担任滕州市历史优质课评委</w:t>
            </w:r>
            <w:r w:rsidR="00384E18">
              <w:rPr>
                <w:rFonts w:hint="eastAsia"/>
                <w:sz w:val="24"/>
                <w:szCs w:val="24"/>
              </w:rPr>
              <w:t>。</w:t>
            </w:r>
          </w:p>
          <w:p w14:paraId="334EBF0F" w14:textId="6AE52D1A" w:rsidR="002D25B8" w:rsidRPr="00435D75" w:rsidRDefault="002D25B8" w:rsidP="0062000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</w:t>
            </w:r>
            <w:proofErr w:type="gramStart"/>
            <w:r>
              <w:rPr>
                <w:rFonts w:hint="eastAsia"/>
                <w:sz w:val="24"/>
                <w:szCs w:val="24"/>
              </w:rPr>
              <w:t>校历史组教师</w:t>
            </w:r>
            <w:proofErr w:type="gramEnd"/>
            <w:r>
              <w:rPr>
                <w:rFonts w:hint="eastAsia"/>
                <w:sz w:val="24"/>
                <w:szCs w:val="24"/>
              </w:rPr>
              <w:t>不仅具备历史专业知识，而且积极参与历史教科研工作。先后参与了《“备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评一致性”在初中历史课堂中的实施策略研究》、《中学生心理健康教育的研究》</w:t>
            </w:r>
            <w:r w:rsidR="00E806E5">
              <w:rPr>
                <w:rFonts w:hint="eastAsia"/>
                <w:sz w:val="24"/>
                <w:szCs w:val="24"/>
              </w:rPr>
              <w:t>、《少先队仪式规范化与育人功能发挥研究》</w:t>
            </w:r>
            <w:r>
              <w:rPr>
                <w:rFonts w:hint="eastAsia"/>
                <w:sz w:val="24"/>
                <w:szCs w:val="24"/>
              </w:rPr>
              <w:t>等课题，并顺利结题。发表论文数篇，有《“互联网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教育”下的初中历史教与学方式的转变》、《初中历史学科教学中渗透德育教育的探究》</w:t>
            </w:r>
            <w:r w:rsidR="00E806E5">
              <w:rPr>
                <w:rFonts w:hint="eastAsia"/>
                <w:sz w:val="24"/>
                <w:szCs w:val="24"/>
              </w:rPr>
              <w:t>、《试论多媒体手段在历史课堂教学中的作用》、《教师讲述与学生学习关系之我见》、《“夏商周的更替”教学设计与实施》等。</w:t>
            </w:r>
          </w:p>
          <w:p w14:paraId="436FA5CD" w14:textId="4404E869" w:rsidR="00BF4456" w:rsidRPr="00620001" w:rsidRDefault="002D25B8" w:rsidP="00384E1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马田老师</w:t>
            </w:r>
            <w:r w:rsidR="00E806E5">
              <w:rPr>
                <w:rFonts w:hint="eastAsia"/>
                <w:sz w:val="24"/>
                <w:szCs w:val="24"/>
              </w:rPr>
              <w:t>曾</w:t>
            </w:r>
            <w:r>
              <w:rPr>
                <w:rFonts w:hint="eastAsia"/>
                <w:sz w:val="24"/>
                <w:szCs w:val="24"/>
              </w:rPr>
              <w:t>执教山东省工作坊活动公开课</w:t>
            </w:r>
            <w:r w:rsidR="00E806E5">
              <w:rPr>
                <w:rFonts w:hint="eastAsia"/>
                <w:sz w:val="24"/>
                <w:szCs w:val="24"/>
              </w:rPr>
              <w:t>《戊戌变法》</w:t>
            </w:r>
            <w:r>
              <w:rPr>
                <w:rFonts w:hint="eastAsia"/>
                <w:sz w:val="24"/>
                <w:szCs w:val="24"/>
              </w:rPr>
              <w:t>，张忠福老师荣获</w:t>
            </w:r>
            <w:r w:rsidR="00E806E5">
              <w:rPr>
                <w:rFonts w:hint="eastAsia"/>
                <w:sz w:val="24"/>
                <w:szCs w:val="24"/>
              </w:rPr>
              <w:t>山东省优质课二等奖，</w:t>
            </w:r>
            <w:r>
              <w:rPr>
                <w:rFonts w:hint="eastAsia"/>
                <w:sz w:val="24"/>
                <w:szCs w:val="24"/>
              </w:rPr>
              <w:t>枣庄市优质课一等奖，王芳芳老师荣获枣庄市一师</w:t>
            </w:r>
            <w:proofErr w:type="gramStart"/>
            <w:r>
              <w:rPr>
                <w:rFonts w:hint="eastAsia"/>
                <w:sz w:val="24"/>
                <w:szCs w:val="24"/>
              </w:rPr>
              <w:t>一优课</w:t>
            </w:r>
            <w:proofErr w:type="gramEnd"/>
            <w:r>
              <w:rPr>
                <w:rFonts w:hint="eastAsia"/>
                <w:sz w:val="24"/>
                <w:szCs w:val="24"/>
              </w:rPr>
              <w:t>一等奖，</w:t>
            </w:r>
            <w:r w:rsidR="00384E18">
              <w:rPr>
                <w:rFonts w:hint="eastAsia"/>
                <w:sz w:val="24"/>
                <w:szCs w:val="24"/>
              </w:rPr>
              <w:t>多</w:t>
            </w:r>
            <w:r>
              <w:rPr>
                <w:rFonts w:hint="eastAsia"/>
                <w:sz w:val="24"/>
                <w:szCs w:val="24"/>
              </w:rPr>
              <w:t>位老师荣获枣庄市优质课二等奖</w:t>
            </w:r>
            <w:r w:rsidR="00384E18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张露文老师在山东省</w:t>
            </w:r>
            <w:r w:rsidR="00E806E5">
              <w:rPr>
                <w:rFonts w:hint="eastAsia"/>
                <w:sz w:val="24"/>
                <w:szCs w:val="24"/>
              </w:rPr>
              <w:t>优秀</w:t>
            </w:r>
            <w:r>
              <w:rPr>
                <w:rFonts w:hint="eastAsia"/>
                <w:sz w:val="24"/>
                <w:szCs w:val="24"/>
              </w:rPr>
              <w:t>作业设计</w:t>
            </w:r>
            <w:r w:rsidR="00E806E5">
              <w:rPr>
                <w:rFonts w:hint="eastAsia"/>
                <w:sz w:val="24"/>
                <w:szCs w:val="24"/>
              </w:rPr>
              <w:t>评选</w:t>
            </w:r>
            <w:r>
              <w:rPr>
                <w:rFonts w:hint="eastAsia"/>
                <w:sz w:val="24"/>
                <w:szCs w:val="24"/>
              </w:rPr>
              <w:t>活动中取得三等奖，多位老师多次参与枣庄市举办的单元</w:t>
            </w:r>
            <w:proofErr w:type="gramStart"/>
            <w:r>
              <w:rPr>
                <w:rFonts w:hint="eastAsia"/>
                <w:sz w:val="24"/>
                <w:szCs w:val="24"/>
              </w:rPr>
              <w:t>学历案</w:t>
            </w:r>
            <w:proofErr w:type="gramEnd"/>
            <w:r>
              <w:rPr>
                <w:rFonts w:hint="eastAsia"/>
                <w:sz w:val="24"/>
                <w:szCs w:val="24"/>
              </w:rPr>
              <w:t>评选活动和优秀作业设计展评活动，取得枣庄市一等奖的好成绩。马田、秦真鹏老师参与了新课堂达标教学基本功（学习目标的叙写和评价任务的设计）比赛，取得了枣庄市一等奖和滕州市一等奖的成绩。历史组在学校举行了历史学科思维导图设计</w:t>
            </w:r>
            <w:r w:rsidR="007C7C4A">
              <w:rPr>
                <w:rFonts w:hint="eastAsia"/>
                <w:sz w:val="24"/>
                <w:szCs w:val="24"/>
              </w:rPr>
              <w:t>和历史小故事主题手抄报等多项活动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7C7C4A">
              <w:rPr>
                <w:rFonts w:hint="eastAsia"/>
                <w:sz w:val="24"/>
                <w:szCs w:val="24"/>
              </w:rPr>
              <w:t>在全校历史教师的共同努力下，</w:t>
            </w:r>
            <w:r>
              <w:rPr>
                <w:rFonts w:hint="eastAsia"/>
                <w:sz w:val="24"/>
                <w:szCs w:val="24"/>
              </w:rPr>
              <w:t>八年级多次在联考中获得第一名的成绩，九年级在中考中取得前七名的好成绩。</w:t>
            </w:r>
          </w:p>
        </w:tc>
      </w:tr>
      <w:tr w:rsidR="00BF4456" w14:paraId="1722B285" w14:textId="77777777">
        <w:trPr>
          <w:trHeight w:val="7907"/>
        </w:trPr>
        <w:tc>
          <w:tcPr>
            <w:tcW w:w="1119" w:type="dxa"/>
            <w:vAlign w:val="center"/>
          </w:tcPr>
          <w:p w14:paraId="6AA83607" w14:textId="77777777" w:rsidR="00BF4456" w:rsidRDefault="002459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创建</w:t>
            </w:r>
          </w:p>
          <w:p w14:paraId="522D9876" w14:textId="77777777" w:rsidR="00BF4456" w:rsidRDefault="002459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</w:t>
            </w:r>
          </w:p>
        </w:tc>
        <w:tc>
          <w:tcPr>
            <w:tcW w:w="7638" w:type="dxa"/>
            <w:gridSpan w:val="3"/>
            <w:vAlign w:val="center"/>
          </w:tcPr>
          <w:p w14:paraId="3E7616D9" w14:textId="1028719C" w:rsidR="009E5552" w:rsidRPr="009E5552" w:rsidRDefault="00384E18" w:rsidP="009E5552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  <w:r w:rsidR="009E5552" w:rsidRPr="009E5552">
              <w:rPr>
                <w:rFonts w:ascii="宋体" w:hAnsi="宋体" w:cs="宋体" w:hint="eastAsia"/>
                <w:sz w:val="24"/>
                <w:szCs w:val="24"/>
              </w:rPr>
              <w:t>、具体措施</w:t>
            </w:r>
          </w:p>
          <w:p w14:paraId="535759D3" w14:textId="55553452" w:rsidR="009E5552" w:rsidRPr="009E5552" w:rsidRDefault="009E5552" w:rsidP="009E5552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9E5552">
              <w:rPr>
                <w:rFonts w:ascii="宋体" w:hAnsi="宋体" w:cs="宋体" w:hint="eastAsia"/>
                <w:sz w:val="24"/>
                <w:szCs w:val="24"/>
              </w:rPr>
              <w:t>（一）教学研究与改革</w:t>
            </w:r>
          </w:p>
          <w:p w14:paraId="2BB88342" w14:textId="3753E0B4" w:rsidR="009E5552" w:rsidRPr="009E5552" w:rsidRDefault="009E5552" w:rsidP="009E5552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9E5552">
              <w:rPr>
                <w:rFonts w:ascii="宋体" w:hAnsi="宋体" w:cs="宋体" w:hint="eastAsia"/>
                <w:sz w:val="24"/>
                <w:szCs w:val="24"/>
              </w:rPr>
              <w:t>1.定期开展教学研讨活动</w:t>
            </w:r>
            <w:r w:rsidR="00384E18"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Pr="009E5552">
              <w:rPr>
                <w:rFonts w:ascii="宋体" w:hAnsi="宋体" w:cs="宋体" w:hint="eastAsia"/>
                <w:sz w:val="24"/>
                <w:szCs w:val="24"/>
              </w:rPr>
              <w:t>每</w:t>
            </w:r>
            <w:r>
              <w:rPr>
                <w:rFonts w:ascii="宋体" w:hAnsi="宋体" w:cs="宋体" w:hint="eastAsia"/>
                <w:sz w:val="24"/>
                <w:szCs w:val="24"/>
              </w:rPr>
              <w:t>周</w:t>
            </w:r>
            <w:r w:rsidRPr="009E5552">
              <w:rPr>
                <w:rFonts w:ascii="宋体" w:hAnsi="宋体" w:cs="宋体" w:hint="eastAsia"/>
                <w:sz w:val="24"/>
                <w:szCs w:val="24"/>
              </w:rPr>
              <w:t>组织至少</w:t>
            </w: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  <w:r w:rsidRPr="009E5552">
              <w:rPr>
                <w:rFonts w:ascii="宋体" w:hAnsi="宋体" w:cs="宋体" w:hint="eastAsia"/>
                <w:sz w:val="24"/>
                <w:szCs w:val="24"/>
              </w:rPr>
              <w:t>次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集备通课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活动</w:t>
            </w:r>
            <w:r w:rsidRPr="009E5552"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充分利用半天无课日，</w:t>
            </w:r>
            <w:r w:rsidRPr="009E5552">
              <w:rPr>
                <w:rFonts w:ascii="宋体" w:hAnsi="宋体" w:cs="宋体" w:hint="eastAsia"/>
                <w:sz w:val="24"/>
                <w:szCs w:val="24"/>
              </w:rPr>
              <w:t>共同探讨教学重难点、教学方法和策略</w:t>
            </w:r>
            <w:r w:rsidR="00384E18"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Pr="009E5552">
              <w:rPr>
                <w:rFonts w:ascii="宋体" w:hAnsi="宋体" w:cs="宋体" w:hint="eastAsia"/>
                <w:sz w:val="24"/>
                <w:szCs w:val="24"/>
              </w:rPr>
              <w:t>每学期举行不少于四次的教学观摩活动，互相学习、交流教学经验。</w:t>
            </w:r>
          </w:p>
          <w:p w14:paraId="3AEE4F2C" w14:textId="723C7EE7" w:rsidR="009E5552" w:rsidRPr="009E5552" w:rsidRDefault="009E5552" w:rsidP="009E5552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9E5552">
              <w:rPr>
                <w:rFonts w:ascii="宋体" w:hAnsi="宋体" w:cs="宋体" w:hint="eastAsia"/>
                <w:sz w:val="24"/>
                <w:szCs w:val="24"/>
              </w:rPr>
              <w:t>2.推进课程改革</w:t>
            </w:r>
            <w:r w:rsidR="00384E18"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Pr="009E5552">
              <w:rPr>
                <w:rFonts w:ascii="宋体" w:hAnsi="宋体" w:cs="宋体" w:hint="eastAsia"/>
                <w:sz w:val="24"/>
                <w:szCs w:val="24"/>
              </w:rPr>
              <w:t>结合新课程标准，开发具有特色的校本历史课程。</w:t>
            </w:r>
          </w:p>
          <w:p w14:paraId="34905A98" w14:textId="584B3BF3" w:rsidR="009E5552" w:rsidRPr="009E5552" w:rsidRDefault="009E5552" w:rsidP="009E5552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9E5552">
              <w:rPr>
                <w:rFonts w:ascii="宋体" w:hAnsi="宋体" w:cs="宋体" w:hint="eastAsia"/>
                <w:sz w:val="24"/>
                <w:szCs w:val="24"/>
              </w:rPr>
              <w:t>3.加强教学资源建设</w:t>
            </w:r>
            <w:r w:rsidR="00384E18"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Pr="009E5552">
              <w:rPr>
                <w:rFonts w:ascii="宋体" w:hAnsi="宋体" w:cs="宋体" w:hint="eastAsia"/>
                <w:sz w:val="24"/>
                <w:szCs w:val="24"/>
              </w:rPr>
              <w:t>鼓励教师制作优质的教学课件、</w:t>
            </w:r>
            <w:proofErr w:type="gramStart"/>
            <w:r w:rsidRPr="009E5552">
              <w:rPr>
                <w:rFonts w:ascii="宋体" w:hAnsi="宋体" w:cs="宋体" w:hint="eastAsia"/>
                <w:sz w:val="24"/>
                <w:szCs w:val="24"/>
              </w:rPr>
              <w:t>微课等</w:t>
            </w:r>
            <w:proofErr w:type="gramEnd"/>
            <w:r w:rsidRPr="009E5552">
              <w:rPr>
                <w:rFonts w:ascii="宋体" w:hAnsi="宋体" w:cs="宋体" w:hint="eastAsia"/>
                <w:sz w:val="24"/>
                <w:szCs w:val="24"/>
              </w:rPr>
              <w:t>数字化教学资源。</w:t>
            </w:r>
          </w:p>
          <w:p w14:paraId="3FE5AA27" w14:textId="2CB44F4A" w:rsidR="009E5552" w:rsidRPr="009E5552" w:rsidRDefault="009E5552" w:rsidP="009E5552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9E5552">
              <w:rPr>
                <w:rFonts w:ascii="宋体" w:hAnsi="宋体" w:cs="宋体" w:hint="eastAsia"/>
                <w:sz w:val="24"/>
                <w:szCs w:val="24"/>
              </w:rPr>
              <w:t>（二）教师专业发展</w:t>
            </w:r>
          </w:p>
          <w:p w14:paraId="532E02CB" w14:textId="1DAE17FB" w:rsidR="009E5552" w:rsidRPr="009E5552" w:rsidRDefault="007C7C4A" w:rsidP="009E5552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</w:t>
            </w:r>
            <w:r w:rsidR="009E5552" w:rsidRPr="009E5552">
              <w:rPr>
                <w:rFonts w:ascii="宋体" w:hAnsi="宋体" w:cs="宋体" w:hint="eastAsia"/>
                <w:sz w:val="24"/>
                <w:szCs w:val="24"/>
              </w:rPr>
              <w:t>培训与学习</w:t>
            </w:r>
            <w:r w:rsidR="00384E18"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="009E5552" w:rsidRPr="009E5552">
              <w:rPr>
                <w:rFonts w:ascii="宋体" w:hAnsi="宋体" w:cs="宋体" w:hint="eastAsia"/>
                <w:sz w:val="24"/>
                <w:szCs w:val="24"/>
              </w:rPr>
              <w:t>每年安排教师参加专业培训、学术会议等，拓宽教师视野</w:t>
            </w:r>
            <w:r w:rsidR="00384E18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14:paraId="50659255" w14:textId="62306E25" w:rsidR="009E5552" w:rsidRPr="009E5552" w:rsidRDefault="007C7C4A" w:rsidP="009E5552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</w:t>
            </w:r>
            <w:r w:rsidR="009E5552" w:rsidRPr="009E5552">
              <w:rPr>
                <w:rFonts w:ascii="宋体" w:hAnsi="宋体" w:cs="宋体" w:hint="eastAsia"/>
                <w:sz w:val="24"/>
                <w:szCs w:val="24"/>
              </w:rPr>
              <w:t>教学反思与总结</w:t>
            </w:r>
            <w:r w:rsidR="00384E18"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="009E5552" w:rsidRPr="009E5552">
              <w:rPr>
                <w:rFonts w:ascii="宋体" w:hAnsi="宋体" w:cs="宋体" w:hint="eastAsia"/>
                <w:sz w:val="24"/>
                <w:szCs w:val="24"/>
              </w:rPr>
              <w:t>教师每月撰写教学反思，总结教学中的经验与不足。每学期组织教师进行教学工作总结交流，促进共同进步。</w:t>
            </w:r>
          </w:p>
          <w:p w14:paraId="7B174FC8" w14:textId="6CEFEAE6" w:rsidR="009E5552" w:rsidRPr="009E5552" w:rsidRDefault="007C7C4A" w:rsidP="009E5552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</w:t>
            </w:r>
            <w:r w:rsidR="009E5552" w:rsidRPr="009E5552">
              <w:rPr>
                <w:rFonts w:ascii="宋体" w:hAnsi="宋体" w:cs="宋体" w:hint="eastAsia"/>
                <w:sz w:val="24"/>
                <w:szCs w:val="24"/>
              </w:rPr>
              <w:t>开展课题研究</w:t>
            </w:r>
            <w:r w:rsidR="00384E18"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="009E5552" w:rsidRPr="009E5552">
              <w:rPr>
                <w:rFonts w:ascii="宋体" w:hAnsi="宋体" w:cs="宋体" w:hint="eastAsia"/>
                <w:sz w:val="24"/>
                <w:szCs w:val="24"/>
              </w:rPr>
              <w:t>鼓励教师积极申报各级各类历史学科课题，提高科研能力。定期组织课题研究进展汇报与交流活动。</w:t>
            </w:r>
          </w:p>
          <w:p w14:paraId="485C9CDF" w14:textId="1D86B7BC" w:rsidR="009E5552" w:rsidRPr="009E5552" w:rsidRDefault="009E5552" w:rsidP="009E5552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9E5552">
              <w:rPr>
                <w:rFonts w:ascii="宋体" w:hAnsi="宋体" w:cs="宋体" w:hint="eastAsia"/>
                <w:sz w:val="24"/>
                <w:szCs w:val="24"/>
              </w:rPr>
              <w:t>（三）学生培养与发展</w:t>
            </w:r>
          </w:p>
          <w:p w14:paraId="773C383B" w14:textId="159C83FB" w:rsidR="009E5552" w:rsidRPr="009E5552" w:rsidRDefault="009E5552" w:rsidP="009E5552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9E5552">
              <w:rPr>
                <w:rFonts w:ascii="宋体" w:hAnsi="宋体" w:cs="宋体" w:hint="eastAsia"/>
                <w:sz w:val="24"/>
                <w:szCs w:val="24"/>
              </w:rPr>
              <w:t>1.丰富教学活动</w:t>
            </w:r>
            <w:r w:rsidR="00384E18"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Pr="009E5552">
              <w:rPr>
                <w:rFonts w:ascii="宋体" w:hAnsi="宋体" w:cs="宋体" w:hint="eastAsia"/>
                <w:sz w:val="24"/>
                <w:szCs w:val="24"/>
              </w:rPr>
              <w:t>举办历史知识竞赛、历史剧表演、历史主题演讲等活动，增强学生学习兴趣。组织学生参观历史博物馆、古迹遗址等，提高学生的历史感知和实践能力。</w:t>
            </w:r>
          </w:p>
          <w:p w14:paraId="3047FE82" w14:textId="05FFA2CA" w:rsidR="009E5552" w:rsidRPr="009E5552" w:rsidRDefault="009E5552" w:rsidP="009E5552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9E5552">
              <w:rPr>
                <w:rFonts w:ascii="宋体" w:hAnsi="宋体" w:cs="宋体" w:hint="eastAsia"/>
                <w:sz w:val="24"/>
                <w:szCs w:val="24"/>
              </w:rPr>
              <w:t>2.个性化辅导</w:t>
            </w:r>
            <w:r w:rsidR="00384E18"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Pr="009E5552">
              <w:rPr>
                <w:rFonts w:ascii="宋体" w:hAnsi="宋体" w:cs="宋体" w:hint="eastAsia"/>
                <w:sz w:val="24"/>
                <w:szCs w:val="24"/>
              </w:rPr>
              <w:t>针对学习困难学生，制定个性化辅导计划，帮助他们提高成绩</w:t>
            </w:r>
            <w:r w:rsidR="00384E18"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Pr="009E5552">
              <w:rPr>
                <w:rFonts w:ascii="宋体" w:hAnsi="宋体" w:cs="宋体" w:hint="eastAsia"/>
                <w:sz w:val="24"/>
                <w:szCs w:val="24"/>
              </w:rPr>
              <w:t>对学有余力的学生，提供拓展学习的机会和资源。</w:t>
            </w:r>
          </w:p>
          <w:p w14:paraId="4C02BFB9" w14:textId="03734704" w:rsidR="009E5552" w:rsidRPr="009E5552" w:rsidRDefault="009E5552" w:rsidP="009E5552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9E5552">
              <w:rPr>
                <w:rFonts w:ascii="宋体" w:hAnsi="宋体" w:cs="宋体" w:hint="eastAsia"/>
                <w:sz w:val="24"/>
                <w:szCs w:val="24"/>
              </w:rPr>
              <w:t>3.建立学生学习档案</w:t>
            </w:r>
            <w:r w:rsidR="00384E18"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Pr="009E5552">
              <w:rPr>
                <w:rFonts w:ascii="宋体" w:hAnsi="宋体" w:cs="宋体" w:hint="eastAsia"/>
                <w:sz w:val="24"/>
                <w:szCs w:val="24"/>
              </w:rPr>
              <w:t>记录学生的学习过程、成绩变化和综合素质发展情况。根据学生学习档案，及时调整教学策略和方法。</w:t>
            </w:r>
          </w:p>
          <w:p w14:paraId="2081F9B8" w14:textId="2A9BB444" w:rsidR="009E5552" w:rsidRPr="009E5552" w:rsidRDefault="00384E18" w:rsidP="009E5552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  <w:r w:rsidR="009E5552" w:rsidRPr="009E5552">
              <w:rPr>
                <w:rFonts w:ascii="宋体" w:hAnsi="宋体" w:cs="宋体" w:hint="eastAsia"/>
                <w:sz w:val="24"/>
                <w:szCs w:val="24"/>
              </w:rPr>
              <w:t>、实施步骤</w:t>
            </w:r>
          </w:p>
          <w:p w14:paraId="7E6FC3C4" w14:textId="68DF8F18" w:rsidR="009E5552" w:rsidRPr="009E5552" w:rsidRDefault="009E5552" w:rsidP="009E5552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9E5552">
              <w:rPr>
                <w:rFonts w:ascii="宋体" w:hAnsi="宋体" w:cs="宋体" w:hint="eastAsia"/>
                <w:sz w:val="24"/>
                <w:szCs w:val="24"/>
              </w:rPr>
              <w:t>1.第一阶段（</w:t>
            </w:r>
            <w:r>
              <w:rPr>
                <w:rFonts w:ascii="宋体" w:hAnsi="宋体" w:cs="宋体" w:hint="eastAsia"/>
                <w:sz w:val="24"/>
                <w:szCs w:val="24"/>
              </w:rPr>
              <w:t>2024年9月-10月</w:t>
            </w:r>
            <w:r w:rsidRPr="009E5552">
              <w:rPr>
                <w:rFonts w:ascii="宋体" w:hAnsi="宋体" w:cs="宋体" w:hint="eastAsia"/>
                <w:sz w:val="24"/>
                <w:szCs w:val="24"/>
              </w:rPr>
              <w:t>）</w:t>
            </w:r>
            <w:r w:rsidR="00384E18">
              <w:rPr>
                <w:rFonts w:ascii="宋体" w:hAnsi="宋体" w:cs="宋体" w:hint="eastAsia"/>
                <w:sz w:val="24"/>
                <w:szCs w:val="24"/>
              </w:rPr>
              <w:t>制</w:t>
            </w:r>
            <w:r w:rsidRPr="009E5552">
              <w:rPr>
                <w:rFonts w:ascii="宋体" w:hAnsi="宋体" w:cs="宋体" w:hint="eastAsia"/>
                <w:sz w:val="24"/>
                <w:szCs w:val="24"/>
              </w:rPr>
              <w:t>定示范学科组建设方案，明确目标和任务。开展教学现状调研，了解教师和学生的需求。</w:t>
            </w:r>
          </w:p>
          <w:p w14:paraId="63A296FC" w14:textId="4FFACEFF" w:rsidR="009E5552" w:rsidRPr="009E5552" w:rsidRDefault="009E5552" w:rsidP="009E5552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9E5552">
              <w:rPr>
                <w:rFonts w:ascii="宋体" w:hAnsi="宋体" w:cs="宋体" w:hint="eastAsia"/>
                <w:sz w:val="24"/>
                <w:szCs w:val="24"/>
              </w:rPr>
              <w:t>2.第二阶段（</w:t>
            </w:r>
            <w:r>
              <w:rPr>
                <w:rFonts w:ascii="宋体" w:hAnsi="宋体" w:cs="宋体" w:hint="eastAsia"/>
                <w:sz w:val="24"/>
                <w:szCs w:val="24"/>
              </w:rPr>
              <w:t>2024年11</w:t>
            </w:r>
            <w:r w:rsidR="007C7C4A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-12月</w:t>
            </w:r>
            <w:r w:rsidRPr="009E5552">
              <w:rPr>
                <w:rFonts w:ascii="宋体" w:hAnsi="宋体" w:cs="宋体" w:hint="eastAsia"/>
                <w:sz w:val="24"/>
                <w:szCs w:val="24"/>
              </w:rPr>
              <w:t>） 按照建设方案，逐步实施各项措施。定期进行检查和评估，及时调整建设方案。</w:t>
            </w:r>
          </w:p>
          <w:p w14:paraId="3A3ED29D" w14:textId="0C49B869" w:rsidR="00BF4456" w:rsidRDefault="009E5552" w:rsidP="00B26FE3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9E5552">
              <w:rPr>
                <w:rFonts w:ascii="宋体" w:hAnsi="宋体" w:cs="宋体" w:hint="eastAsia"/>
                <w:sz w:val="24"/>
                <w:szCs w:val="24"/>
              </w:rPr>
              <w:t>3.第三阶段（</w:t>
            </w:r>
            <w:r>
              <w:rPr>
                <w:rFonts w:ascii="宋体" w:hAnsi="宋体" w:cs="宋体" w:hint="eastAsia"/>
                <w:sz w:val="24"/>
                <w:szCs w:val="24"/>
              </w:rPr>
              <w:t>2025年</w:t>
            </w:r>
            <w:r w:rsidR="007C7C4A"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月-</w:t>
            </w:r>
            <w:r w:rsidR="007C7C4A"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9E5552">
              <w:rPr>
                <w:rFonts w:ascii="宋体" w:hAnsi="宋体" w:cs="宋体" w:hint="eastAsia"/>
                <w:sz w:val="24"/>
                <w:szCs w:val="24"/>
              </w:rPr>
              <w:t>）总结建设成果，形成示范学科组建</w:t>
            </w:r>
            <w:proofErr w:type="gramStart"/>
            <w:r w:rsidRPr="009E5552">
              <w:rPr>
                <w:rFonts w:ascii="宋体" w:hAnsi="宋体" w:cs="宋体" w:hint="eastAsia"/>
                <w:sz w:val="24"/>
                <w:szCs w:val="24"/>
              </w:rPr>
              <w:t>设经验</w:t>
            </w:r>
            <w:proofErr w:type="gramEnd"/>
            <w:r w:rsidRPr="009E5552">
              <w:rPr>
                <w:rFonts w:ascii="宋体" w:hAnsi="宋体" w:cs="宋体" w:hint="eastAsia"/>
                <w:sz w:val="24"/>
                <w:szCs w:val="24"/>
              </w:rPr>
              <w:t>报告。推广示范学科组建设经验，发挥示范引领作用。</w:t>
            </w:r>
          </w:p>
        </w:tc>
      </w:tr>
      <w:tr w:rsidR="00BF4456" w14:paraId="066186A9" w14:textId="77777777" w:rsidTr="00F22479">
        <w:trPr>
          <w:trHeight w:val="2280"/>
        </w:trPr>
        <w:tc>
          <w:tcPr>
            <w:tcW w:w="1119" w:type="dxa"/>
            <w:vAlign w:val="center"/>
          </w:tcPr>
          <w:p w14:paraId="292757DB" w14:textId="77777777" w:rsidR="00BF4456" w:rsidRDefault="002459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单位推荐意见</w:t>
            </w:r>
          </w:p>
        </w:tc>
        <w:tc>
          <w:tcPr>
            <w:tcW w:w="7638" w:type="dxa"/>
            <w:gridSpan w:val="3"/>
          </w:tcPr>
          <w:p w14:paraId="65624798" w14:textId="77777777" w:rsidR="00BF4456" w:rsidRDefault="00BF445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BF4456" w14:paraId="69B047DF" w14:textId="77777777">
        <w:trPr>
          <w:trHeight w:val="1892"/>
        </w:trPr>
        <w:tc>
          <w:tcPr>
            <w:tcW w:w="1119" w:type="dxa"/>
            <w:vAlign w:val="center"/>
          </w:tcPr>
          <w:p w14:paraId="6677BF35" w14:textId="77777777" w:rsidR="00BF4456" w:rsidRDefault="002459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市级认证结果</w:t>
            </w:r>
          </w:p>
        </w:tc>
        <w:tc>
          <w:tcPr>
            <w:tcW w:w="7638" w:type="dxa"/>
            <w:gridSpan w:val="3"/>
          </w:tcPr>
          <w:p w14:paraId="1AEF4ED7" w14:textId="77777777" w:rsidR="00BF4456" w:rsidRDefault="00BF445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14:paraId="77E8CAAD" w14:textId="77777777" w:rsidR="00BF4456" w:rsidRDefault="00BF4456">
      <w:pPr>
        <w:tabs>
          <w:tab w:val="left" w:pos="726"/>
        </w:tabs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BF445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5A334" w14:textId="77777777" w:rsidR="00FA4914" w:rsidRDefault="00FA4914" w:rsidP="002D25B8">
      <w:r>
        <w:separator/>
      </w:r>
    </w:p>
  </w:endnote>
  <w:endnote w:type="continuationSeparator" w:id="0">
    <w:p w14:paraId="6F230E53" w14:textId="77777777" w:rsidR="00FA4914" w:rsidRDefault="00FA4914" w:rsidP="002D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JP">
    <w:altName w:val="Segoe Print"/>
    <w:charset w:val="00"/>
    <w:family w:val="roman"/>
    <w:pitch w:val="default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4F0E3" w14:textId="77777777" w:rsidR="00FA4914" w:rsidRDefault="00FA4914" w:rsidP="002D25B8">
      <w:r>
        <w:separator/>
      </w:r>
    </w:p>
  </w:footnote>
  <w:footnote w:type="continuationSeparator" w:id="0">
    <w:p w14:paraId="4C1677E1" w14:textId="77777777" w:rsidR="00FA4914" w:rsidRDefault="00FA4914" w:rsidP="002D2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lhMDRkODQ2OWYzNTQ3ZmI0N2Q1YTkxNDRjYjg0MGUifQ=="/>
  </w:docVars>
  <w:rsids>
    <w:rsidRoot w:val="27211BB6"/>
    <w:rsid w:val="000122C5"/>
    <w:rsid w:val="000D1F10"/>
    <w:rsid w:val="001F626B"/>
    <w:rsid w:val="00224420"/>
    <w:rsid w:val="002315F2"/>
    <w:rsid w:val="00237038"/>
    <w:rsid w:val="00245954"/>
    <w:rsid w:val="00273363"/>
    <w:rsid w:val="00287592"/>
    <w:rsid w:val="002B1474"/>
    <w:rsid w:val="002D25B8"/>
    <w:rsid w:val="002E6C71"/>
    <w:rsid w:val="002F1341"/>
    <w:rsid w:val="0034233A"/>
    <w:rsid w:val="00362AEA"/>
    <w:rsid w:val="00384E18"/>
    <w:rsid w:val="003A73E1"/>
    <w:rsid w:val="003B2AA8"/>
    <w:rsid w:val="003B79E0"/>
    <w:rsid w:val="004074AB"/>
    <w:rsid w:val="00467B29"/>
    <w:rsid w:val="004A5AFB"/>
    <w:rsid w:val="004D67CB"/>
    <w:rsid w:val="004F342E"/>
    <w:rsid w:val="005C305D"/>
    <w:rsid w:val="00620001"/>
    <w:rsid w:val="006506EB"/>
    <w:rsid w:val="006955A0"/>
    <w:rsid w:val="006A569F"/>
    <w:rsid w:val="006F3525"/>
    <w:rsid w:val="00707110"/>
    <w:rsid w:val="00713D68"/>
    <w:rsid w:val="0076543F"/>
    <w:rsid w:val="007C7C4A"/>
    <w:rsid w:val="007D1FFD"/>
    <w:rsid w:val="007E6400"/>
    <w:rsid w:val="007F3C10"/>
    <w:rsid w:val="00826861"/>
    <w:rsid w:val="00873095"/>
    <w:rsid w:val="009411C8"/>
    <w:rsid w:val="009617CF"/>
    <w:rsid w:val="009860F3"/>
    <w:rsid w:val="009D5C18"/>
    <w:rsid w:val="009E5552"/>
    <w:rsid w:val="00A136C7"/>
    <w:rsid w:val="00A33F7E"/>
    <w:rsid w:val="00A63E59"/>
    <w:rsid w:val="00AF5E75"/>
    <w:rsid w:val="00B02A08"/>
    <w:rsid w:val="00B14825"/>
    <w:rsid w:val="00B20336"/>
    <w:rsid w:val="00B24B83"/>
    <w:rsid w:val="00B26FE3"/>
    <w:rsid w:val="00B32B05"/>
    <w:rsid w:val="00B90647"/>
    <w:rsid w:val="00BD68FA"/>
    <w:rsid w:val="00BF10EC"/>
    <w:rsid w:val="00BF3CED"/>
    <w:rsid w:val="00BF4456"/>
    <w:rsid w:val="00C55A41"/>
    <w:rsid w:val="00D26BB3"/>
    <w:rsid w:val="00D342FA"/>
    <w:rsid w:val="00DD10F4"/>
    <w:rsid w:val="00E219DC"/>
    <w:rsid w:val="00E678EE"/>
    <w:rsid w:val="00E806E5"/>
    <w:rsid w:val="00ED19B2"/>
    <w:rsid w:val="00F22479"/>
    <w:rsid w:val="00FA4914"/>
    <w:rsid w:val="00FC1D56"/>
    <w:rsid w:val="00FD6CE8"/>
    <w:rsid w:val="00FF6F0C"/>
    <w:rsid w:val="01657E23"/>
    <w:rsid w:val="02B31B7A"/>
    <w:rsid w:val="03884856"/>
    <w:rsid w:val="03B4564B"/>
    <w:rsid w:val="055E3AC1"/>
    <w:rsid w:val="062F07A4"/>
    <w:rsid w:val="07771447"/>
    <w:rsid w:val="0FC5304C"/>
    <w:rsid w:val="13A434B2"/>
    <w:rsid w:val="13E6281E"/>
    <w:rsid w:val="14E44553"/>
    <w:rsid w:val="27211BB6"/>
    <w:rsid w:val="2BCD5E45"/>
    <w:rsid w:val="31633C5C"/>
    <w:rsid w:val="3854098F"/>
    <w:rsid w:val="3E837E92"/>
    <w:rsid w:val="3FA85B23"/>
    <w:rsid w:val="43420014"/>
    <w:rsid w:val="47DA173E"/>
    <w:rsid w:val="49FE27EA"/>
    <w:rsid w:val="4B526B2C"/>
    <w:rsid w:val="57193F55"/>
    <w:rsid w:val="58FC1D80"/>
    <w:rsid w:val="5CCE758F"/>
    <w:rsid w:val="62DF285B"/>
    <w:rsid w:val="67746990"/>
    <w:rsid w:val="6857154B"/>
    <w:rsid w:val="71F4202C"/>
    <w:rsid w:val="7F4F00E0"/>
    <w:rsid w:val="7FAB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62E44"/>
  <w15:docId w15:val="{87C29DED-8D2F-4EB1-BF9C-5801E788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6"/>
    </w:pPr>
    <w:rPr>
      <w:rFonts w:ascii="Noto Serif CJK JP" w:eastAsia="Noto Serif CJK JP" w:hAnsi="Noto Serif CJK JP" w:cs="Noto Serif CJK JP"/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semiHidden/>
    <w:qFormat/>
    <w:pPr>
      <w:spacing w:line="660" w:lineRule="exact"/>
    </w:pPr>
    <w:rPr>
      <w:rFonts w:ascii="仿宋_GB2312" w:cs="仿宋_GB2312"/>
      <w:color w:val="000000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26E5" w:themeColor="hyperlink"/>
      <w:u w:val="single"/>
    </w:rPr>
  </w:style>
  <w:style w:type="paragraph" w:customStyle="1" w:styleId="TableParagraph">
    <w:name w:val="Table Paragraph"/>
    <w:basedOn w:val="a"/>
    <w:autoRedefine/>
    <w:uiPriority w:val="1"/>
    <w:qFormat/>
    <w:pPr>
      <w:jc w:val="center"/>
    </w:pPr>
    <w:rPr>
      <w:rFonts w:ascii="Noto Serif CJK JP" w:eastAsia="Noto Serif CJK JP" w:hAnsi="Noto Serif CJK JP" w:cs="Noto Serif CJK JP"/>
    </w:rPr>
  </w:style>
  <w:style w:type="character" w:customStyle="1" w:styleId="a7">
    <w:name w:val="页眉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听心</dc:creator>
  <cp:lastModifiedBy>浩 孙</cp:lastModifiedBy>
  <cp:revision>7</cp:revision>
  <cp:lastPrinted>2024-11-11T03:15:00Z</cp:lastPrinted>
  <dcterms:created xsi:type="dcterms:W3CDTF">2024-11-12T23:40:00Z</dcterms:created>
  <dcterms:modified xsi:type="dcterms:W3CDTF">2024-11-13T03:13:00Z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976A646119F0466CB4872FC321DBD401_13</vt:lpwstr>
  </property>
</Properties>
</file>