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1E" w:rsidRDefault="00813AD6">
      <w:pPr>
        <w:jc w:val="center"/>
        <w:rPr>
          <w:rFonts w:ascii="宋体" w:eastAsia="宋体" w:hAnsi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sz w:val="32"/>
          <w:szCs w:val="32"/>
        </w:rPr>
        <w:t>滕州一中艺</w:t>
      </w:r>
      <w:r w:rsidR="00F077E8">
        <w:rPr>
          <w:rFonts w:ascii="宋体" w:eastAsia="宋体" w:hAnsi="宋体" w:hint="eastAsia"/>
          <w:sz w:val="32"/>
          <w:szCs w:val="32"/>
        </w:rPr>
        <w:t>术教育工作自评报表</w:t>
      </w:r>
    </w:p>
    <w:p w:rsidR="00B2571E" w:rsidRDefault="00F077E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学校名称</w:t>
      </w:r>
      <w:r>
        <w:rPr>
          <w:rFonts w:ascii="宋体" w:eastAsia="宋体" w:hAnsi="宋体"/>
          <w:sz w:val="28"/>
          <w:szCs w:val="28"/>
        </w:rPr>
        <w:t xml:space="preserve">: </w:t>
      </w:r>
      <w:r>
        <w:rPr>
          <w:rFonts w:ascii="宋体" w:eastAsia="宋体" w:hAnsi="宋体"/>
          <w:sz w:val="28"/>
          <w:szCs w:val="28"/>
        </w:rPr>
        <w:t>滕州市第一中学</w:t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>联系电话</w:t>
      </w:r>
      <w:r>
        <w:rPr>
          <w:rFonts w:ascii="宋体" w:eastAsia="宋体" w:hAnsi="宋体"/>
          <w:sz w:val="28"/>
          <w:szCs w:val="28"/>
        </w:rPr>
        <w:t>: 06325513445</w:t>
      </w:r>
    </w:p>
    <w:p w:rsidR="00B2571E" w:rsidRDefault="00F077E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学校类别</w:t>
      </w:r>
      <w:r>
        <w:rPr>
          <w:rFonts w:ascii="宋体" w:eastAsia="宋体" w:hAnsi="宋体"/>
          <w:sz w:val="28"/>
          <w:szCs w:val="28"/>
        </w:rPr>
        <w:t xml:space="preserve">: </w:t>
      </w:r>
      <w:r>
        <w:rPr>
          <w:rFonts w:ascii="宋体" w:eastAsia="宋体" w:hAnsi="宋体"/>
          <w:sz w:val="28"/>
          <w:szCs w:val="28"/>
        </w:rPr>
        <w:t>普通高中</w:t>
      </w:r>
    </w:p>
    <w:p w:rsidR="00B2571E" w:rsidRDefault="00F077E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教学班总数</w:t>
      </w:r>
      <w:r>
        <w:rPr>
          <w:rFonts w:ascii="宋体" w:eastAsia="宋体" w:hAnsi="宋体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ab/>
        <w:t>1</w:t>
      </w:r>
      <w:r>
        <w:rPr>
          <w:rFonts w:ascii="宋体" w:eastAsia="宋体" w:hAnsi="宋体" w:hint="eastAsia"/>
          <w:sz w:val="28"/>
          <w:szCs w:val="28"/>
        </w:rPr>
        <w:t>76</w:t>
      </w:r>
      <w:r>
        <w:rPr>
          <w:rFonts w:ascii="宋体" w:eastAsia="宋体" w:hAnsi="宋体"/>
          <w:sz w:val="28"/>
          <w:szCs w:val="28"/>
        </w:rPr>
        <w:t>个</w:t>
      </w:r>
    </w:p>
    <w:p w:rsidR="00B2571E" w:rsidRDefault="00F077E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在校学生总数</w:t>
      </w:r>
      <w:r>
        <w:rPr>
          <w:rFonts w:ascii="宋体" w:eastAsia="宋体" w:hAnsi="宋体" w:hint="eastAsia"/>
          <w:sz w:val="28"/>
          <w:szCs w:val="28"/>
        </w:rPr>
        <w:t>:</w:t>
      </w:r>
      <w:r>
        <w:rPr>
          <w:rFonts w:ascii="宋体" w:eastAsia="宋体" w:hAnsi="宋体"/>
          <w:sz w:val="28"/>
          <w:szCs w:val="28"/>
        </w:rPr>
        <w:t xml:space="preserve"> 8</w:t>
      </w:r>
      <w:r>
        <w:rPr>
          <w:rFonts w:ascii="宋体" w:eastAsia="宋体" w:hAnsi="宋体" w:hint="eastAsia"/>
          <w:sz w:val="28"/>
          <w:szCs w:val="28"/>
        </w:rPr>
        <w:t>559</w:t>
      </w:r>
      <w:r>
        <w:rPr>
          <w:rFonts w:ascii="宋体" w:eastAsia="宋体" w:hAnsi="宋体" w:hint="eastAsia"/>
          <w:sz w:val="28"/>
          <w:szCs w:val="28"/>
        </w:rPr>
        <w:t>名</w:t>
      </w:r>
    </w:p>
    <w:p w:rsidR="00B2571E" w:rsidRDefault="00F077E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专任教师总数</w:t>
      </w:r>
      <w:r>
        <w:rPr>
          <w:rFonts w:ascii="宋体" w:eastAsia="宋体" w:hAnsi="宋体"/>
          <w:sz w:val="28"/>
          <w:szCs w:val="28"/>
        </w:rPr>
        <w:t xml:space="preserve">: 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名</w:t>
      </w:r>
    </w:p>
    <w:p w:rsidR="00B2571E" w:rsidRDefault="00B2571E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</w:p>
    <w:tbl>
      <w:tblPr>
        <w:tblpPr w:leftFromText="180" w:rightFromText="180" w:vertAnchor="text" w:horzAnchor="margin" w:tblpY="256"/>
        <w:tblW w:w="142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9"/>
        <w:gridCol w:w="2596"/>
        <w:gridCol w:w="4110"/>
        <w:gridCol w:w="1620"/>
        <w:gridCol w:w="883"/>
        <w:gridCol w:w="1681"/>
        <w:gridCol w:w="1590"/>
      </w:tblGrid>
      <w:tr w:rsidR="00B2571E">
        <w:trPr>
          <w:trHeight w:hRule="exact" w:val="7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bookmarkStart w:id="1" w:name="_Hlk113896773"/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自评项目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B2571E">
        <w:trPr>
          <w:trHeight w:hRule="exact" w:val="36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艺术课程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(30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按照国家要求开齐开足上好音乐、美术等艺术课程。利用当地教育资源，开发具有民族、地域特色的艺术课程，推进教学改革，提高教学质量。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36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6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综合艺术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15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B2571E" w:rsidRDefault="00F077E8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70"/>
        <w:gridCol w:w="2596"/>
        <w:gridCol w:w="1185"/>
        <w:gridCol w:w="765"/>
        <w:gridCol w:w="894"/>
        <w:gridCol w:w="66"/>
        <w:gridCol w:w="784"/>
        <w:gridCol w:w="992"/>
        <w:gridCol w:w="54"/>
        <w:gridCol w:w="939"/>
        <w:gridCol w:w="934"/>
        <w:gridCol w:w="1681"/>
        <w:gridCol w:w="1589"/>
      </w:tblGrid>
      <w:tr w:rsidR="00B2571E">
        <w:trPr>
          <w:trHeight w:hRule="exact" w:val="72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6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B2571E">
        <w:trPr>
          <w:trHeight w:hRule="exact" w:val="28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艺术活动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面向全体学生组织开展艺术活动，因地制宜建立学生艺术社团或兴趣小组，保证每周有固定的艺术活动时间，每年组织合唱节、美术展览和艺术节等活动。充分利用学校校歌、广播、电视、网络以及校园、教室、走廊、宣传栏、活动场所等，营造格调高雅、富有美感、充满朝气的校园文化艺术环境。</w:t>
            </w: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学校开展艺术节等活动场次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场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活动频次不高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更多开展各项活动</w:t>
            </w:r>
          </w:p>
        </w:tc>
      </w:tr>
      <w:tr w:rsidR="00B2571E">
        <w:trPr>
          <w:trHeight w:hRule="exact" w:val="3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每周开展艺术活动频次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次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42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4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校级学生艺术社团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兴趣小组数量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列出学生艺术社团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兴趣小组项目（如合唱、民乐、管乐、交响乐、舞蹈、戏剧、戏曲、美术、书法等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7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滕州一中合唱队、滕州一中舞蹈队、音乐社团、书法、国画、摄影、街舞社团、广播站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095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7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艺术活动学生参与面（占学校学生总数比例）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36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校园文化艺术环境基本情况</w:t>
            </w:r>
          </w:p>
        </w:tc>
        <w:tc>
          <w:tcPr>
            <w:tcW w:w="449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学生社团在校团委指导下每周开展一次，基本情况良好。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503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9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20"/>
        </w:trPr>
        <w:tc>
          <w:tcPr>
            <w:tcW w:w="1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在学校核定的编制总额内，按照国家课程方案规定的课时数和学校班级数配备艺术教师，满足艺术教育基本需求，加强教师培训，提高队伍素质。</w:t>
            </w:r>
          </w:p>
        </w:tc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艺术教师总数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专任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艺术教师、专业教师需要更多培训。</w:t>
            </w:r>
          </w:p>
        </w:tc>
        <w:tc>
          <w:tcPr>
            <w:tcW w:w="1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积极参加各种培训</w:t>
            </w:r>
          </w:p>
        </w:tc>
      </w:tr>
      <w:tr w:rsidR="00B2571E">
        <w:trPr>
          <w:trHeight w:hRule="exact" w:val="2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兼职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6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44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艺术教师生师比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教学班数与艺术教师配备比例</w:t>
            </w: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音乐学科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8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1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美术学科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  <w:t>:1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4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艺术教师平均周课时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课时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40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艺术教师缺额数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010"/>
        </w:trPr>
        <w:tc>
          <w:tcPr>
            <w:tcW w:w="1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本学年艺术教师参加县级以上培训人数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</w:tbl>
    <w:p w:rsidR="00B2571E" w:rsidRDefault="00F077E8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4"/>
        <w:gridCol w:w="1800"/>
        <w:gridCol w:w="2540"/>
        <w:gridCol w:w="1984"/>
        <w:gridCol w:w="1188"/>
        <w:gridCol w:w="230"/>
        <w:gridCol w:w="760"/>
        <w:gridCol w:w="883"/>
        <w:gridCol w:w="1498"/>
        <w:gridCol w:w="1772"/>
      </w:tblGrid>
      <w:tr w:rsidR="00B2571E">
        <w:trPr>
          <w:trHeight w:hRule="exact" w:val="72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6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B2571E">
        <w:trPr>
          <w:trHeight w:hRule="exact" w:val="240"/>
        </w:trPr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条件保障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(20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设置艺术专用教室和艺术活动室，并按照国家标准配备艺术课程教学和艺术活动器材。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艺术专用教室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活动室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艺术专业教室还不能完全满足实际需要。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增加学校艺术工作室的利用率。</w:t>
            </w:r>
          </w:p>
        </w:tc>
      </w:tr>
      <w:tr w:rsidR="00B2571E">
        <w:trPr>
          <w:trHeight w:hRule="exact" w:val="26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4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美术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4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其它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0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626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列出艺术专用教室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活动室名称</w:t>
            </w:r>
          </w:p>
        </w:tc>
        <w:tc>
          <w:tcPr>
            <w:tcW w:w="4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音乐教室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个，舞蹈房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个，演播厅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个，钢琴房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小乐器琴房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个，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书法活动室，国画活动室，摄影活动室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艺术场馆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面积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㎡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54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72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列出艺术场馆名称</w:t>
            </w:r>
          </w:p>
        </w:tc>
        <w:tc>
          <w:tcPr>
            <w:tcW w:w="4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六艺楼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多功能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演播厅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0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是否按照国家标准配备艺术课程教学和艺术活动器材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527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特色发展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(10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发挥本校艺术教育资源优势、依托本地民族民间优秀传统文化艺术资源，形成学校艺术教育发展特色。充分利用社会艺术教育资源，利用当地文化艺术场地资源开展艺术教学、实践活动和校园文化建设，学校与社会艺术团体及社区建立合作关系。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列举学校艺术教育特色发展成果</w:t>
            </w:r>
          </w:p>
        </w:tc>
        <w:tc>
          <w:tcPr>
            <w:tcW w:w="416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依托滕州市汉画像石馆开展了《滕州汉画像石研究》课题研究与实施教学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课程开设不足</w:t>
            </w:r>
          </w:p>
        </w:tc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288" w:lineRule="exact"/>
              <w:ind w:left="2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充分利用社会艺术教育资源，利用当地文化艺术场地资源开展艺术教学、实践活动和校园文化建设，学校与社会艺术团体及社区建立合作关系。</w:t>
            </w: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280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4604"/>
        </w:trPr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2571E" w:rsidRDefault="00F077E8">
      <w:pPr>
        <w:autoSpaceDE w:val="0"/>
        <w:autoSpaceDN w:val="0"/>
        <w:adjustRightInd w:val="0"/>
        <w:jc w:val="left"/>
        <w:rPr>
          <w:rFonts w:ascii="Times New Roman" w:eastAsia="等线" w:hAnsi="Times New Roman" w:cs="Times New Roman"/>
          <w:kern w:val="0"/>
          <w:sz w:val="2"/>
          <w:szCs w:val="2"/>
        </w:rPr>
      </w:pPr>
      <w:r>
        <w:rPr>
          <w:rFonts w:ascii="Times New Roman" w:eastAsia="等线" w:hAnsi="Times New Roman" w:cs="Times New Roman"/>
          <w:kern w:val="0"/>
          <w:sz w:val="2"/>
          <w:szCs w:val="2"/>
        </w:rPr>
        <w:br w:type="page"/>
      </w:r>
    </w:p>
    <w:tbl>
      <w:tblPr>
        <w:tblW w:w="1424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9"/>
        <w:gridCol w:w="765"/>
        <w:gridCol w:w="1831"/>
        <w:gridCol w:w="1185"/>
        <w:gridCol w:w="765"/>
        <w:gridCol w:w="1470"/>
        <w:gridCol w:w="1320"/>
        <w:gridCol w:w="990"/>
        <w:gridCol w:w="883"/>
        <w:gridCol w:w="1681"/>
        <w:gridCol w:w="1590"/>
      </w:tblGrid>
      <w:tr w:rsidR="00B2571E">
        <w:trPr>
          <w:trHeight w:hRule="exact" w:val="72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lastRenderedPageBreak/>
              <w:t>自评项目</w:t>
            </w:r>
          </w:p>
        </w:tc>
        <w:tc>
          <w:tcPr>
            <w:tcW w:w="2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自评内容</w:t>
            </w:r>
          </w:p>
        </w:tc>
        <w:tc>
          <w:tcPr>
            <w:tcW w:w="5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自评记录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存在的主要问题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改进措施</w:t>
            </w:r>
          </w:p>
        </w:tc>
      </w:tr>
      <w:tr w:rsidR="00B2571E">
        <w:trPr>
          <w:trHeight w:hRule="exact" w:val="48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学生艺术素质测评</w:t>
            </w:r>
          </w:p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加分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分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5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认真组织实施学生艺术素质测评</w:t>
            </w:r>
          </w:p>
        </w:tc>
        <w:tc>
          <w:tcPr>
            <w:tcW w:w="47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实施学生艺术素质测评的起始学年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B2571E">
        <w:trPr>
          <w:trHeight w:hRule="exact" w:val="32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74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本学年学生艺术素质测评的覆盖面（占学校学生总数比例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)(%)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4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本学年学生艺术素质测评结果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上学期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下学期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1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良好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合格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0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不合格</w:t>
            </w: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(%)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right="20"/>
              <w:jc w:val="righ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280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</w:p>
        </w:tc>
      </w:tr>
      <w:tr w:rsidR="00B2571E">
        <w:trPr>
          <w:trHeight w:hRule="exact" w:val="300"/>
        </w:trPr>
        <w:tc>
          <w:tcPr>
            <w:tcW w:w="1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left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自评结果</w:t>
            </w:r>
          </w:p>
        </w:tc>
        <w:tc>
          <w:tcPr>
            <w:tcW w:w="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spacing w:line="336" w:lineRule="exact"/>
              <w:ind w:left="20"/>
              <w:jc w:val="center"/>
              <w:rPr>
                <w:rFonts w:ascii="Dialog" w:eastAsia="Dialog" w:hAnsi="Times New Roman" w:cs="Dialog"/>
                <w:color w:val="000000"/>
                <w:kern w:val="0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646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F077E8">
            <w:pPr>
              <w:autoSpaceDE w:val="0"/>
              <w:autoSpaceDN w:val="0"/>
              <w:adjustRightInd w:val="0"/>
              <w:jc w:val="center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  <w:r>
              <w:rPr>
                <w:rFonts w:ascii="Dialog.plain" w:eastAsia="Dialog.plain" w:hAnsi="Times New Roman" w:cs="Dialog.plain" w:hint="eastAsia"/>
                <w:kern w:val="0"/>
                <w:sz w:val="28"/>
                <w:szCs w:val="28"/>
              </w:rPr>
              <w:t>优秀</w:t>
            </w:r>
          </w:p>
        </w:tc>
      </w:tr>
      <w:bookmarkEnd w:id="1"/>
      <w:tr w:rsidR="00B2571E">
        <w:trPr>
          <w:trHeight w:hRule="exact" w:val="394"/>
        </w:trPr>
        <w:tc>
          <w:tcPr>
            <w:tcW w:w="1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  <w:tc>
          <w:tcPr>
            <w:tcW w:w="646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71E" w:rsidRDefault="00B2571E">
            <w:pPr>
              <w:autoSpaceDE w:val="0"/>
              <w:autoSpaceDN w:val="0"/>
              <w:adjustRightInd w:val="0"/>
              <w:jc w:val="left"/>
              <w:rPr>
                <w:rFonts w:ascii="Dialog.plain" w:eastAsia="Dialog.plain" w:hAnsi="Times New Roman" w:cs="Dialog.plain"/>
                <w:kern w:val="0"/>
                <w:sz w:val="28"/>
                <w:szCs w:val="28"/>
              </w:rPr>
            </w:pPr>
          </w:p>
        </w:tc>
      </w:tr>
    </w:tbl>
    <w:p w:rsidR="00B2571E" w:rsidRDefault="00B2571E">
      <w:pPr>
        <w:autoSpaceDE w:val="0"/>
        <w:autoSpaceDN w:val="0"/>
        <w:adjustRightInd w:val="0"/>
        <w:jc w:val="left"/>
        <w:rPr>
          <w:rFonts w:ascii="Arial" w:eastAsia="等线" w:hAnsi="Arial" w:cs="Arial"/>
          <w:color w:val="000000"/>
          <w:kern w:val="0"/>
          <w:sz w:val="24"/>
          <w:szCs w:val="24"/>
        </w:rPr>
      </w:pPr>
    </w:p>
    <w:p w:rsidR="00B2571E" w:rsidRDefault="00B2571E">
      <w:pPr>
        <w:rPr>
          <w:rFonts w:ascii="宋体" w:eastAsia="宋体" w:hAnsi="宋体"/>
          <w:sz w:val="28"/>
          <w:szCs w:val="28"/>
        </w:rPr>
      </w:pPr>
    </w:p>
    <w:sectPr w:rsidR="00B2571E" w:rsidSect="00B257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E8" w:rsidRDefault="00F077E8" w:rsidP="00813AD6">
      <w:r>
        <w:separator/>
      </w:r>
    </w:p>
  </w:endnote>
  <w:endnote w:type="continuationSeparator" w:id="1">
    <w:p w:rsidR="00F077E8" w:rsidRDefault="00F077E8" w:rsidP="0081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alog">
    <w:altName w:val="宋体"/>
    <w:charset w:val="86"/>
    <w:family w:val="roman"/>
    <w:pitch w:val="default"/>
    <w:sig w:usb0="00000000" w:usb1="00000000" w:usb2="00000010" w:usb3="00000000" w:csb0="00040000" w:csb1="00000000"/>
  </w:font>
  <w:font w:name="Dialog.plain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E8" w:rsidRDefault="00F077E8" w:rsidP="00813AD6">
      <w:r>
        <w:separator/>
      </w:r>
    </w:p>
  </w:footnote>
  <w:footnote w:type="continuationSeparator" w:id="1">
    <w:p w:rsidR="00F077E8" w:rsidRDefault="00F077E8" w:rsidP="00813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kOGIxMzRiZjA1ZTVlN2MyMDFiYjI2ZGIxOWRhMjIifQ=="/>
  </w:docVars>
  <w:rsids>
    <w:rsidRoot w:val="00401592"/>
    <w:rsid w:val="003B1A36"/>
    <w:rsid w:val="003D07F2"/>
    <w:rsid w:val="00401592"/>
    <w:rsid w:val="006B75CB"/>
    <w:rsid w:val="00813AD6"/>
    <w:rsid w:val="00B2571E"/>
    <w:rsid w:val="00F077E8"/>
    <w:rsid w:val="00F56A5D"/>
    <w:rsid w:val="00FE005A"/>
    <w:rsid w:val="06A33CE4"/>
    <w:rsid w:val="0854278F"/>
    <w:rsid w:val="0AF22FED"/>
    <w:rsid w:val="1C770118"/>
    <w:rsid w:val="36F5305F"/>
    <w:rsid w:val="44F92119"/>
    <w:rsid w:val="6DA700B4"/>
    <w:rsid w:val="6DB11A28"/>
    <w:rsid w:val="6E5D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25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25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257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57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dcterms:created xsi:type="dcterms:W3CDTF">2022-09-12T09:33:00Z</dcterms:created>
  <dcterms:modified xsi:type="dcterms:W3CDTF">2023-04-28T00:59:00Z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2B4C7C9086934B7CAB159DE114BE0ECC</vt:lpwstr>
  </property>
</Properties>
</file>