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F6388">
      <w:pPr>
        <w:pStyle w:val="4"/>
        <w:widowControl/>
        <w:spacing w:line="580" w:lineRule="exact"/>
        <w:jc w:val="center"/>
        <w:rPr>
          <w:rFonts w:ascii="方正小标宋简体" w:hAnsi="宋体" w:eastAsia="方正小标宋简体" w:cs="宋体"/>
          <w:b/>
          <w:bCs/>
          <w:color w:val="000000"/>
          <w:sz w:val="44"/>
          <w:szCs w:val="44"/>
        </w:rPr>
      </w:pPr>
      <w:r>
        <w:rPr>
          <w:rFonts w:hint="eastAsia" w:ascii="方正小标宋简体" w:hAnsi="宋体" w:eastAsia="方正小标宋简体" w:cs="宋体"/>
          <w:b/>
          <w:bCs/>
          <w:color w:val="000000"/>
          <w:sz w:val="44"/>
          <w:szCs w:val="44"/>
        </w:rPr>
        <w:t>滕州五中校园欺凌防治预案</w:t>
      </w:r>
    </w:p>
    <w:p w14:paraId="6ECBFDA4">
      <w:pPr>
        <w:pStyle w:val="4"/>
        <w:widowControl/>
        <w:spacing w:line="58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为有效防范校园内发生欺凌事件，切实保障广大师生人身和国家财产的安全，及时处置侵害师生安全的恶性事件，维护学校的稳定，按照学校突发事件“沉着应付、措施果断、快速反应、高效处置”的总体要求，在认真做好学校安全保卫和综合整治等工作的基础上，为保障师生生命财产安全，维护学校和社会的稳定，特制定本方案。</w:t>
      </w:r>
    </w:p>
    <w:p w14:paraId="0A3D8833">
      <w:pPr>
        <w:pStyle w:val="4"/>
        <w:widowControl/>
        <w:spacing w:line="580" w:lineRule="exact"/>
        <w:rPr>
          <w:rFonts w:ascii="黑体" w:hAnsi="黑体" w:eastAsia="黑体"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s="宋体"/>
          <w:color w:val="000000"/>
          <w:sz w:val="32"/>
          <w:szCs w:val="32"/>
        </w:rPr>
        <w:t xml:space="preserve"> 一、工作原则</w:t>
      </w:r>
    </w:p>
    <w:p w14:paraId="73FCC3A2">
      <w:pPr>
        <w:pStyle w:val="4"/>
        <w:widowControl/>
        <w:spacing w:line="58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抓平时，敲警钟，以防为主，统一领导，分级负责，措施果断，快速反应，高效处置。</w:t>
      </w:r>
    </w:p>
    <w:p w14:paraId="4E8EA957">
      <w:pPr>
        <w:pStyle w:val="4"/>
        <w:widowControl/>
        <w:spacing w:line="580" w:lineRule="exact"/>
        <w:rPr>
          <w:rFonts w:ascii="黑体" w:hAnsi="黑体" w:eastAsia="黑体"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s="宋体"/>
          <w:color w:val="000000"/>
          <w:sz w:val="32"/>
          <w:szCs w:val="32"/>
        </w:rPr>
        <w:t>二、组织管理</w:t>
      </w:r>
    </w:p>
    <w:p w14:paraId="2D0FA6BF">
      <w:pPr>
        <w:pStyle w:val="4"/>
        <w:widowControl/>
        <w:spacing w:line="58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学校校长负总责，亲自抓，分管领导具体负责。切实加强领导，成立校园防欺凌工作领导小组，具体负责学校防欺凌事件处置工作，一旦发生欺凌事件，立即启动应急预案，处置领导小组快速有效开展工作。</w:t>
      </w:r>
    </w:p>
    <w:p w14:paraId="32D808BC">
      <w:pPr>
        <w:pStyle w:val="4"/>
        <w:widowControl/>
        <w:spacing w:line="58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校园防欺凌事件处置领导小组：</w:t>
      </w:r>
    </w:p>
    <w:p w14:paraId="5C95B981">
      <w:pPr>
        <w:rPr>
          <w:rFonts w:hint="eastAsia" w:ascii="仿宋_GB2312" w:eastAsia="仿宋_GB2312"/>
          <w:sz w:val="32"/>
          <w:szCs w:val="32"/>
        </w:rPr>
      </w:pPr>
      <w:r>
        <w:rPr>
          <w:rFonts w:hint="eastAsia" w:ascii="仿宋_GB2312" w:eastAsia="仿宋_GB2312"/>
          <w:sz w:val="32"/>
          <w:szCs w:val="32"/>
        </w:rPr>
        <w:t>组  长：</w:t>
      </w:r>
      <w:r>
        <w:rPr>
          <w:rFonts w:hint="eastAsia" w:ascii="仿宋_GB2312" w:eastAsia="仿宋_GB2312"/>
          <w:sz w:val="32"/>
          <w:szCs w:val="32"/>
          <w:lang w:val="en-US" w:eastAsia="zh-CN"/>
        </w:rPr>
        <w:t>陈  强</w:t>
      </w:r>
      <w:r>
        <w:rPr>
          <w:rFonts w:hint="eastAsia" w:ascii="仿宋_GB2312" w:eastAsia="仿宋_GB2312"/>
          <w:sz w:val="32"/>
          <w:szCs w:val="32"/>
        </w:rPr>
        <w:t xml:space="preserve"> 李瑞平</w:t>
      </w:r>
    </w:p>
    <w:p w14:paraId="2DC7F1E4">
      <w:pPr>
        <w:rPr>
          <w:rFonts w:hint="eastAsia" w:ascii="仿宋_GB2312" w:eastAsia="仿宋_GB2312"/>
          <w:sz w:val="32"/>
          <w:szCs w:val="32"/>
          <w:lang w:val="en-US" w:eastAsia="zh-CN"/>
        </w:rPr>
      </w:pPr>
      <w:r>
        <w:rPr>
          <w:rFonts w:hint="eastAsia" w:ascii="仿宋_GB2312" w:eastAsia="仿宋_GB2312"/>
          <w:sz w:val="32"/>
          <w:szCs w:val="32"/>
        </w:rPr>
        <w:t xml:space="preserve">副组长：李新军 周后勤 </w:t>
      </w:r>
      <w:r>
        <w:rPr>
          <w:rFonts w:hint="eastAsia" w:ascii="仿宋_GB2312" w:eastAsia="仿宋_GB2312"/>
          <w:sz w:val="32"/>
          <w:szCs w:val="32"/>
          <w:lang w:val="en-US" w:eastAsia="zh-CN"/>
        </w:rPr>
        <w:t xml:space="preserve">赵曰敏 </w:t>
      </w:r>
      <w:r>
        <w:rPr>
          <w:rFonts w:hint="eastAsia" w:ascii="仿宋_GB2312" w:eastAsia="仿宋_GB2312"/>
          <w:sz w:val="32"/>
          <w:szCs w:val="32"/>
        </w:rPr>
        <w:t>常福聚</w:t>
      </w:r>
      <w:r>
        <w:rPr>
          <w:rFonts w:hint="eastAsia" w:ascii="仿宋_GB2312" w:eastAsia="仿宋_GB2312"/>
          <w:sz w:val="32"/>
          <w:szCs w:val="32"/>
          <w:lang w:val="en-US" w:eastAsia="zh-CN"/>
        </w:rPr>
        <w:t xml:space="preserve"> </w:t>
      </w:r>
      <w:r>
        <w:rPr>
          <w:rFonts w:hint="eastAsia" w:ascii="仿宋_GB2312" w:eastAsia="仿宋_GB2312"/>
          <w:sz w:val="32"/>
          <w:szCs w:val="32"/>
        </w:rPr>
        <w:t>张令峰</w:t>
      </w:r>
    </w:p>
    <w:p w14:paraId="7ABE36D3">
      <w:pPr>
        <w:rPr>
          <w:rFonts w:hint="eastAsia" w:ascii="仿宋_GB2312" w:eastAsia="仿宋_GB2312"/>
          <w:sz w:val="32"/>
          <w:szCs w:val="32"/>
        </w:rPr>
      </w:pPr>
      <w:r>
        <w:rPr>
          <w:rFonts w:hint="eastAsia" w:ascii="仿宋_GB2312" w:eastAsia="仿宋_GB2312"/>
          <w:sz w:val="32"/>
          <w:szCs w:val="32"/>
        </w:rPr>
        <w:t>成  员：张茂峰 张令堂 李成东</w:t>
      </w:r>
      <w:r>
        <w:rPr>
          <w:rFonts w:hint="eastAsia" w:ascii="仿宋_GB2312" w:eastAsia="仿宋_GB2312"/>
          <w:sz w:val="32"/>
          <w:szCs w:val="32"/>
          <w:lang w:val="en-US" w:eastAsia="zh-CN"/>
        </w:rPr>
        <w:t xml:space="preserve"> </w:t>
      </w:r>
      <w:r>
        <w:rPr>
          <w:rFonts w:hint="eastAsia" w:ascii="仿宋_GB2312" w:eastAsia="仿宋_GB2312"/>
          <w:sz w:val="32"/>
          <w:szCs w:val="32"/>
        </w:rPr>
        <w:t>耿  哲 赵守夏</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王华伟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14:paraId="76C957E0">
      <w:pPr>
        <w:ind w:firstLine="1280" w:firstLineChars="400"/>
        <w:rPr>
          <w:rFonts w:hint="eastAsia" w:ascii="仿宋_GB2312" w:eastAsia="仿宋_GB2312"/>
          <w:sz w:val="32"/>
          <w:szCs w:val="32"/>
        </w:rPr>
      </w:pPr>
      <w:r>
        <w:rPr>
          <w:rFonts w:hint="eastAsia" w:ascii="仿宋_GB2312" w:eastAsia="仿宋_GB2312"/>
          <w:sz w:val="32"/>
          <w:szCs w:val="32"/>
        </w:rPr>
        <w:t xml:space="preserve">谢 </w:t>
      </w:r>
      <w:r>
        <w:rPr>
          <w:rFonts w:hint="eastAsia" w:ascii="仿宋_GB2312" w:eastAsia="仿宋_GB2312"/>
          <w:sz w:val="32"/>
          <w:szCs w:val="32"/>
          <w:lang w:val="en-US" w:eastAsia="zh-CN"/>
        </w:rPr>
        <w:t xml:space="preserve"> </w:t>
      </w:r>
      <w:r>
        <w:rPr>
          <w:rFonts w:hint="eastAsia" w:ascii="仿宋_GB2312" w:eastAsia="仿宋_GB2312"/>
          <w:sz w:val="32"/>
          <w:szCs w:val="32"/>
        </w:rPr>
        <w:t>磊 刘宏伟</w:t>
      </w:r>
      <w:r>
        <w:rPr>
          <w:rFonts w:hint="eastAsia" w:ascii="仿宋_GB2312" w:eastAsia="仿宋_GB2312"/>
          <w:sz w:val="32"/>
          <w:szCs w:val="32"/>
          <w:lang w:val="en-US" w:eastAsia="zh-CN"/>
        </w:rPr>
        <w:t xml:space="preserve"> </w:t>
      </w:r>
      <w:r>
        <w:rPr>
          <w:rFonts w:ascii="仿宋_GB2312" w:eastAsia="仿宋_GB2312"/>
          <w:sz w:val="32"/>
          <w:szCs w:val="32"/>
        </w:rPr>
        <w:t>刘通超</w:t>
      </w:r>
      <w:r>
        <w:rPr>
          <w:rFonts w:hint="eastAsia" w:ascii="仿宋_GB2312" w:eastAsia="仿宋_GB2312"/>
          <w:sz w:val="32"/>
          <w:szCs w:val="32"/>
        </w:rPr>
        <w:t xml:space="preserve"> 赵永刚</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杨振江 时均河 </w:t>
      </w:r>
    </w:p>
    <w:p w14:paraId="5A039951">
      <w:pPr>
        <w:ind w:firstLine="1280" w:firstLineChars="400"/>
        <w:rPr>
          <w:rFonts w:hint="eastAsia" w:ascii="仿宋_GB2312" w:eastAsia="仿宋_GB2312"/>
          <w:sz w:val="32"/>
          <w:szCs w:val="32"/>
          <w:lang w:val="en-US" w:eastAsia="zh-CN"/>
        </w:rPr>
      </w:pPr>
      <w:r>
        <w:rPr>
          <w:rFonts w:hint="eastAsia" w:ascii="仿宋_GB2312" w:eastAsia="仿宋_GB2312"/>
          <w:sz w:val="32"/>
          <w:szCs w:val="32"/>
        </w:rPr>
        <w:t>李维彦</w:t>
      </w:r>
      <w:r>
        <w:rPr>
          <w:rFonts w:hint="eastAsia" w:ascii="仿宋_GB2312" w:eastAsia="仿宋_GB2312"/>
          <w:sz w:val="32"/>
          <w:szCs w:val="32"/>
          <w:lang w:val="en-US" w:eastAsia="zh-CN"/>
        </w:rPr>
        <w:t xml:space="preserve"> </w:t>
      </w:r>
      <w:r>
        <w:rPr>
          <w:rFonts w:ascii="仿宋_GB2312" w:eastAsia="仿宋_GB2312"/>
          <w:sz w:val="32"/>
          <w:szCs w:val="32"/>
        </w:rPr>
        <w:t>张光鑫</w:t>
      </w:r>
      <w:r>
        <w:rPr>
          <w:rFonts w:hint="eastAsia" w:ascii="仿宋_GB2312" w:eastAsia="仿宋_GB2312"/>
          <w:sz w:val="32"/>
          <w:szCs w:val="32"/>
        </w:rPr>
        <w:t xml:space="preserve"> </w:t>
      </w:r>
      <w:r>
        <w:rPr>
          <w:rFonts w:ascii="仿宋_GB2312" w:eastAsia="仿宋_GB2312"/>
          <w:sz w:val="32"/>
          <w:szCs w:val="32"/>
        </w:rPr>
        <w:t>王鹏程</w:t>
      </w:r>
      <w:r>
        <w:rPr>
          <w:rFonts w:hint="eastAsia" w:ascii="仿宋_GB2312" w:eastAsia="仿宋_GB2312"/>
          <w:sz w:val="32"/>
          <w:szCs w:val="32"/>
        </w:rPr>
        <w:t xml:space="preserve"> </w:t>
      </w:r>
      <w:r>
        <w:rPr>
          <w:rFonts w:ascii="仿宋_GB2312" w:eastAsia="仿宋_GB2312"/>
          <w:sz w:val="32"/>
          <w:szCs w:val="32"/>
        </w:rPr>
        <w:t xml:space="preserve">李中宝 </w:t>
      </w:r>
      <w:r>
        <w:rPr>
          <w:rFonts w:hint="eastAsia" w:ascii="仿宋_GB2312" w:eastAsia="仿宋_GB2312"/>
          <w:sz w:val="32"/>
          <w:szCs w:val="32"/>
        </w:rPr>
        <w:t>闫帅池</w:t>
      </w:r>
      <w:r>
        <w:rPr>
          <w:rFonts w:hint="eastAsia" w:ascii="仿宋_GB2312" w:eastAsia="仿宋_GB2312"/>
          <w:sz w:val="32"/>
          <w:szCs w:val="32"/>
          <w:lang w:val="en-US" w:eastAsia="zh-CN"/>
        </w:rPr>
        <w:t xml:space="preserve"> 马运发 </w:t>
      </w:r>
    </w:p>
    <w:p w14:paraId="1D367530">
      <w:pPr>
        <w:ind w:firstLine="1280" w:firstLineChars="400"/>
        <w:rPr>
          <w:rFonts w:ascii="仿宋_GB2312" w:eastAsia="仿宋_GB2312"/>
          <w:sz w:val="32"/>
          <w:szCs w:val="32"/>
        </w:rPr>
      </w:pPr>
      <w:r>
        <w:rPr>
          <w:rFonts w:ascii="仿宋_GB2312" w:eastAsia="仿宋_GB2312"/>
          <w:sz w:val="32"/>
          <w:szCs w:val="32"/>
        </w:rPr>
        <w:t>徐</w:t>
      </w:r>
      <w:r>
        <w:rPr>
          <w:rFonts w:hint="eastAsia" w:ascii="仿宋_GB2312" w:eastAsia="仿宋_GB2312"/>
          <w:sz w:val="32"/>
          <w:szCs w:val="32"/>
          <w:lang w:val="en-US" w:eastAsia="zh-CN"/>
        </w:rPr>
        <w:t xml:space="preserve">  </w:t>
      </w:r>
      <w:r>
        <w:rPr>
          <w:rFonts w:ascii="仿宋_GB2312" w:eastAsia="仿宋_GB2312"/>
          <w:sz w:val="32"/>
          <w:szCs w:val="32"/>
        </w:rPr>
        <w:t>亮</w:t>
      </w:r>
    </w:p>
    <w:p w14:paraId="2DD5FCC3">
      <w:pPr>
        <w:rPr>
          <w:rFonts w:hint="eastAsia" w:ascii="仿宋_GB2312" w:hAnsi="宋体" w:eastAsia="仿宋_GB2312" w:cs="宋体"/>
          <w:color w:val="000000"/>
          <w:sz w:val="32"/>
          <w:szCs w:val="32"/>
        </w:rPr>
      </w:pPr>
    </w:p>
    <w:p w14:paraId="28E251AE">
      <w:pPr>
        <w:rPr>
          <w:rFonts w:ascii="仿宋_GB2312" w:hAnsi="宋体" w:eastAsia="仿宋_GB2312" w:cs="宋体"/>
          <w:color w:val="000000"/>
          <w:sz w:val="32"/>
          <w:szCs w:val="32"/>
        </w:rPr>
      </w:pPr>
      <w:r>
        <w:rPr>
          <w:rFonts w:hint="eastAsia" w:ascii="仿宋_GB2312" w:hAnsi="宋体" w:eastAsia="仿宋_GB2312" w:cs="宋体"/>
          <w:color w:val="000000"/>
          <w:sz w:val="32"/>
          <w:szCs w:val="32"/>
        </w:rPr>
        <w:t>工作职责：</w:t>
      </w:r>
    </w:p>
    <w:p w14:paraId="6DFD9074">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组长：对校园欺凌专项治理负总责。审订《校园欺凌专项治理预案》，对此次治理活动督查并评定实施情况。</w:t>
      </w:r>
    </w:p>
    <w:p w14:paraId="5BFB5C3C">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副组长：对《校园欺凌专项治理预案》的科学性、可操作性进行评审，治理过程督促班主任、安保员、宣传员宣传教育到位，确保各项工作落实到位。并召开以预防校园欺凌为主题的知识讲座。</w:t>
      </w:r>
    </w:p>
    <w:p w14:paraId="596FBCF8">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成员：服从领导，各司其职。总务主任备好“三防”等相应防范器械；安保员做好门卫出入安全管理工作和校园巡查监督工作；班主任等做好对学生的一日安全教育管理、宣传工作，为学生保驾护航。</w:t>
      </w:r>
    </w:p>
    <w:p w14:paraId="16517E3B">
      <w:pPr>
        <w:pStyle w:val="4"/>
        <w:widowControl/>
        <w:spacing w:line="580" w:lineRule="exact"/>
        <w:ind w:firstLine="630"/>
        <w:rPr>
          <w:rFonts w:ascii="黑体" w:hAnsi="黑体" w:eastAsia="黑体" w:cs="宋体"/>
          <w:color w:val="000000"/>
          <w:sz w:val="32"/>
          <w:szCs w:val="32"/>
        </w:rPr>
      </w:pPr>
      <w:r>
        <w:rPr>
          <w:rFonts w:hint="eastAsia" w:ascii="黑体" w:hAnsi="黑体" w:eastAsia="黑体" w:cs="宋体"/>
          <w:color w:val="000000"/>
          <w:sz w:val="32"/>
          <w:szCs w:val="32"/>
        </w:rPr>
        <w:t>三、引发校园欺凌事件原因：</w:t>
      </w:r>
    </w:p>
    <w:p w14:paraId="5B07B067">
      <w:pPr>
        <w:pStyle w:val="4"/>
        <w:widowControl/>
        <w:spacing w:line="580" w:lineRule="exact"/>
        <w:ind w:firstLine="630"/>
        <w:rPr>
          <w:rFonts w:ascii="仿宋_GB2312" w:hAnsi="宋体" w:eastAsia="仿宋_GB2312" w:cs="宋体"/>
          <w:color w:val="000000"/>
          <w:sz w:val="32"/>
          <w:szCs w:val="32"/>
        </w:rPr>
      </w:pPr>
      <w:r>
        <w:rPr>
          <w:rFonts w:hint="eastAsia" w:ascii="仿宋_GB2312" w:hAnsi="宋体" w:eastAsia="仿宋_GB2312" w:cs="宋体"/>
          <w:color w:val="000000"/>
          <w:sz w:val="32"/>
          <w:szCs w:val="32"/>
        </w:rPr>
        <w:t>学生之间，蓄意或恶意通过肢体、语言及网络等手段，实施欺负、侮辱造成伤害的事件或者是校外不良青年对学生进行的欺凌事件。</w:t>
      </w:r>
    </w:p>
    <w:p w14:paraId="248B6589">
      <w:pPr>
        <w:pStyle w:val="4"/>
        <w:widowControl/>
        <w:spacing w:line="580" w:lineRule="exact"/>
        <w:rPr>
          <w:rFonts w:ascii="黑体" w:hAnsi="黑体" w:eastAsia="黑体"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s="宋体"/>
          <w:color w:val="000000"/>
          <w:sz w:val="32"/>
          <w:szCs w:val="32"/>
        </w:rPr>
        <w:t xml:space="preserve">  四、应急措施</w:t>
      </w:r>
    </w:p>
    <w:p w14:paraId="06410919">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1、学校门卫工作人员严格执行校门口来客登记制度，履行登记手续。如来客已闯入校内，门卫追赶不及，应立即电话通知有关部门领导，及时将闯入者逐出校门。</w:t>
      </w:r>
    </w:p>
    <w:p w14:paraId="2997097F">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2、各班级加大对班级学生防欺凌安全保护意识的教育，同时要加大对班级问题学生的重点关注，要及时与家长沟通，对学生中间的矛盾要及时化解。</w:t>
      </w:r>
    </w:p>
    <w:p w14:paraId="1FEBADAD">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3、各年级要定期召开本年级学生思想教育大会，对学生进行行为规则及文明习惯教育，学校每学期聘请法制副校长到学校对全体学生进行法律、法规宣传教育，提高学生遵纪守法的意识。</w:t>
      </w:r>
    </w:p>
    <w:p w14:paraId="3158A08B">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4、值周、值班领导及教师要认真履行值班职责，加大巡查力度，一经发现学生如有斗殴的矛盾苗头时，应及时职责，并向当事双方学生的班主任进行反馈，由班主任及时化解。</w:t>
      </w:r>
    </w:p>
    <w:p w14:paraId="606A87A5">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5、如果校园内已发生学生间的欺凌事件，任何获得事件信息的人员都应当在第一时间向学校领导或有关人员报告，由学校政教处协同年级组及班主任对事件进行调查处理，通知双方家长，共同做好事件的处理。</w:t>
      </w:r>
    </w:p>
    <w:p w14:paraId="0A045187">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6、如果校外不良少年进入校园对学生进行欺凌，任何获得事件信息的人员都应当在第一时间向学校领导或有关人员报告，并同时打110</w:t>
      </w:r>
    </w:p>
    <w:p w14:paraId="60287198">
      <w:pPr>
        <w:pStyle w:val="4"/>
        <w:widowControl/>
        <w:spacing w:line="58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报警。</w:t>
      </w:r>
    </w:p>
    <w:p w14:paraId="3C50DB35">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7、学校领导、值周值班领导或有关人员应迅速组织力量赶赴现场，对进入校园的不法分子进行劝阻或制服，使犯罪分子无法靠近学生，保护在场师生安全，防止事态扩大。</w:t>
      </w:r>
    </w:p>
    <w:p w14:paraId="1FD197AA">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8、为防止不法分子逃跑，在制止、制服前应关闭校门。</w:t>
      </w:r>
    </w:p>
    <w:p w14:paraId="35494948">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9、如有伤员，立即将受伤师生送往医院进行救治，并通知受伤人员的家长或家属到场。</w:t>
      </w:r>
    </w:p>
    <w:p w14:paraId="01F7E5F4">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10、负责组织班主任、教师把所有学生和无关人员撤离至安全区域。学校领导要作好师生的稳定工作。</w:t>
      </w:r>
    </w:p>
    <w:p w14:paraId="474E4FBF">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11、事件发生后，学校应当立即向上级部门报告。</w:t>
      </w:r>
    </w:p>
    <w:p w14:paraId="4562D590">
      <w:pPr>
        <w:pStyle w:val="4"/>
        <w:widowControl/>
        <w:spacing w:line="580" w:lineRule="exact"/>
        <w:rPr>
          <w:rFonts w:ascii="黑体" w:hAnsi="黑体" w:eastAsia="黑体"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s="宋体"/>
          <w:color w:val="000000"/>
          <w:sz w:val="32"/>
          <w:szCs w:val="32"/>
        </w:rPr>
        <w:t>五、预防措施</w:t>
      </w:r>
    </w:p>
    <w:p w14:paraId="0FF53315">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1、加强对师生进行法制和安全教育，自我保护意识。</w:t>
      </w:r>
    </w:p>
    <w:p w14:paraId="403178C0">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2、严格门卫登记、管理度，控制外来人员进入学校。</w:t>
      </w:r>
    </w:p>
    <w:p w14:paraId="07A9FBE4">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3、对学生中存在的矛盾冲突，班主任及相关工作人员要及时化解，做好双方调节工作，并告知学生家长，由家长进一步进行思想疏导教育。</w:t>
      </w:r>
    </w:p>
    <w:p w14:paraId="72EF3519">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4、如学生中已发生欺凌事件，对可能引起矛盾激化事件的当事人要耐心接待，尽力做好化解工作。</w:t>
      </w:r>
    </w:p>
    <w:p w14:paraId="4123BDBB">
      <w:pPr>
        <w:pStyle w:val="4"/>
        <w:widowControl/>
        <w:spacing w:line="580" w:lineRule="exact"/>
        <w:rPr>
          <w:rFonts w:ascii="黑体" w:hAnsi="黑体" w:eastAsia="黑体" w:cs="宋体"/>
          <w:color w:val="000000"/>
          <w:sz w:val="32"/>
          <w:szCs w:val="32"/>
        </w:rPr>
      </w:pPr>
      <w:r>
        <w:rPr>
          <w:rFonts w:hint="eastAsia" w:ascii="黑体" w:hAnsi="黑体" w:eastAsia="黑体" w:cs="宋体"/>
          <w:color w:val="000000"/>
          <w:sz w:val="32"/>
          <w:szCs w:val="32"/>
        </w:rPr>
        <w:t xml:space="preserve"> 六、处理程序</w:t>
      </w:r>
    </w:p>
    <w:p w14:paraId="3A317BAC">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一旦校园发生学校欺凌事件，一般按下列程序处理；</w:t>
      </w:r>
    </w:p>
    <w:p w14:paraId="32B2F164">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1、学生间的欺凌事件，视事件的程度，进行逐渐调查处理，轻微事件由班主任及年级组共同处理，告知家长，做好学生思想疏导工作，并将事件处理结果报学校政教处。</w:t>
      </w:r>
    </w:p>
    <w:p w14:paraId="7FD529D9">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2、对学生之间发生的严重欺凌事件或校外不良分子到校对学生进行的欺凌事件，一经发现要第一时间报警，拨打“110”报警电话。</w:t>
      </w:r>
    </w:p>
    <w:p w14:paraId="4C372A11">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3、以最快的速度把伤员送往就近县级以上医院抢救，并通知家长或家属。立即按要求逐级上报，可先口头后书面。</w:t>
      </w:r>
    </w:p>
    <w:p w14:paraId="035F5B5F">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4、学校第一时间成立由政教处、年级组、班主任组成的调查组，对事件进行调查，同时要做好师生安抚工作，特别是受欺凌同学家长的安抚工作，确保事件处理不会造成新的伤害隐患。</w:t>
      </w:r>
    </w:p>
    <w:p w14:paraId="65967397">
      <w:pPr>
        <w:pStyle w:val="4"/>
        <w:widowControl/>
        <w:spacing w:line="580" w:lineRule="exact"/>
        <w:rPr>
          <w:rFonts w:ascii="黑体" w:hAnsi="黑体" w:eastAsia="黑体" w:cs="宋体"/>
          <w:color w:val="000000"/>
          <w:sz w:val="32"/>
          <w:szCs w:val="32"/>
        </w:rPr>
      </w:pPr>
      <w:r>
        <w:rPr>
          <w:rFonts w:hint="eastAsia" w:ascii="仿宋_GB2312" w:hAnsi="宋体" w:eastAsia="仿宋_GB2312" w:cs="宋体"/>
          <w:color w:val="000000"/>
          <w:sz w:val="32"/>
          <w:szCs w:val="32"/>
        </w:rPr>
        <w:t xml:space="preserve"> </w:t>
      </w:r>
      <w:r>
        <w:rPr>
          <w:rFonts w:hint="eastAsia" w:ascii="黑体" w:hAnsi="黑体" w:eastAsia="黑体" w:cs="宋体"/>
          <w:color w:val="000000"/>
          <w:sz w:val="32"/>
          <w:szCs w:val="32"/>
        </w:rPr>
        <w:t>七、职责分工</w:t>
      </w:r>
    </w:p>
    <w:p w14:paraId="12372FFA">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1、门卫：严格门卫工作制度，对来往人员及时查问，切实做好登记制度，外来人员凭出入单进出校园。发现可疑人员及时与领导小组成员联系。</w:t>
      </w:r>
    </w:p>
    <w:p w14:paraId="36B21C9D">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2、值周领导：值班领导及值班教师与值班班级要加强值班和校园巡视，及时处置突出事件，做好学校的安全保卫工作。</w:t>
      </w:r>
    </w:p>
    <w:p w14:paraId="6E5117D0">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3、政教处：处理学生与学生之间矛盾、师生之间的矛盾，会同派出所、综治办处理打架，敲诈勒索、偷窃等事件。负责与学生家长联系，妥善处理突发事件。</w:t>
      </w:r>
    </w:p>
    <w:p w14:paraId="534E0EDC">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4、办公室：根据《学校学生伤害事故处理条例》，会同副校长，妥善处理学生的伤害事故，保障学生和学校的合法权益，维护正常的教育教学秩序。</w:t>
      </w:r>
    </w:p>
    <w:p w14:paraId="5266F0F9">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5、教务处，加强对学校内部网络的监控力度，封堵查处有害信息，同时预防利用计算机在网络上散步对学生人身攻击等事件。</w:t>
      </w:r>
    </w:p>
    <w:p w14:paraId="780387F5">
      <w:pPr>
        <w:pStyle w:val="4"/>
        <w:widowControl/>
        <w:spacing w:line="580" w:lineRule="exact"/>
        <w:ind w:firstLine="420"/>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6、总务处，加强学校内部设施安全检查，及时排查、消除安全隐患，避免人为投毒事件。</w:t>
      </w:r>
    </w:p>
    <w:p w14:paraId="5FC5CF3B">
      <w:pPr>
        <w:pStyle w:val="4"/>
        <w:widowControl/>
        <w:spacing w:line="580" w:lineRule="exact"/>
        <w:ind w:firstLine="420"/>
        <w:rPr>
          <w:rFonts w:ascii="仿宋_GB2312" w:hAnsi="宋体" w:eastAsia="仿宋_GB2312" w:cs="宋体"/>
          <w:color w:val="000000"/>
          <w:sz w:val="32"/>
          <w:szCs w:val="32"/>
        </w:rPr>
      </w:pPr>
    </w:p>
    <w:p w14:paraId="7D7226C5">
      <w:pPr>
        <w:pStyle w:val="4"/>
        <w:widowControl/>
        <w:spacing w:line="580" w:lineRule="exact"/>
        <w:ind w:firstLine="420"/>
        <w:rPr>
          <w:rFonts w:ascii="仿宋_GB2312" w:eastAsia="仿宋_GB2312"/>
          <w:sz w:val="32"/>
          <w:szCs w:val="32"/>
        </w:rPr>
      </w:pPr>
      <w:r>
        <w:rPr>
          <w:rFonts w:hint="eastAsia" w:ascii="仿宋_GB2312" w:hAnsi="宋体" w:eastAsia="仿宋_GB2312" w:cs="宋体"/>
          <w:color w:val="000000"/>
          <w:sz w:val="32"/>
          <w:szCs w:val="32"/>
        </w:rPr>
        <w:t xml:space="preserve">                                     </w:t>
      </w:r>
    </w:p>
    <w:p w14:paraId="57932787">
      <w:pPr>
        <w:pStyle w:val="4"/>
        <w:widowControl/>
        <w:spacing w:line="580" w:lineRule="exact"/>
        <w:ind w:firstLine="420"/>
        <w:jc w:val="right"/>
        <w:rPr>
          <w:rFonts w:ascii="仿宋_GB2312" w:eastAsia="仿宋_GB2312"/>
          <w:sz w:val="32"/>
          <w:szCs w:val="32"/>
        </w:rPr>
      </w:pPr>
      <w:r>
        <w:rPr>
          <w:rFonts w:hint="eastAsia" w:ascii="仿宋_GB2312" w:eastAsia="仿宋_GB2312"/>
          <w:sz w:val="32"/>
          <w:szCs w:val="32"/>
        </w:rPr>
        <w:t xml:space="preserve">         滕州市第五中学</w:t>
      </w:r>
    </w:p>
    <w:p w14:paraId="2512C66E">
      <w:pPr>
        <w:ind w:left="981" w:leftChars="467" w:right="480"/>
        <w:jc w:val="right"/>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月</w:t>
      </w:r>
      <w:bookmarkStart w:id="0" w:name="_GoBack"/>
    </w:p>
    <w:bookmarkEnd w:id="0"/>
    <w:p w14:paraId="10F8A276">
      <w:pPr>
        <w:spacing w:line="580" w:lineRule="exact"/>
        <w:ind w:firstLine="1920" w:firstLineChars="600"/>
        <w:jc w:val="right"/>
        <w:rPr>
          <w:rFonts w:ascii="仿宋_GB2312" w:eastAsia="仿宋_GB2312" w:hAnsiTheme="majorEastAsia"/>
          <w:sz w:val="32"/>
          <w:szCs w:val="32"/>
        </w:rPr>
      </w:pPr>
    </w:p>
    <w:p w14:paraId="6C5B612D">
      <w:pPr>
        <w:spacing w:line="580" w:lineRule="exact"/>
        <w:jc w:val="right"/>
        <w:rPr>
          <w:rFonts w:ascii="仿宋_GB2312" w:eastAsia="仿宋_GB2312" w:hAnsiTheme="minorEastAsia"/>
          <w:sz w:val="32"/>
          <w:szCs w:val="32"/>
        </w:rPr>
      </w:pPr>
    </w:p>
    <w:p w14:paraId="4F87B03D">
      <w:pPr>
        <w:spacing w:line="580" w:lineRule="exact"/>
        <w:rPr>
          <w:rFonts w:ascii="仿宋_GB2312" w:eastAsia="仿宋_GB2312" w:hAnsiTheme="minorEastAsia"/>
          <w:sz w:val="32"/>
          <w:szCs w:val="32"/>
        </w:rPr>
      </w:pPr>
    </w:p>
    <w:p w14:paraId="1CBC7775">
      <w:pPr>
        <w:spacing w:line="580" w:lineRule="exact"/>
        <w:rPr>
          <w:rFonts w:ascii="仿宋_GB2312" w:eastAsia="仿宋_GB2312" w:hAnsiTheme="minorEastAsia"/>
          <w:sz w:val="32"/>
          <w:szCs w:val="32"/>
        </w:rPr>
      </w:pPr>
    </w:p>
    <w:p w14:paraId="37334752">
      <w:pPr>
        <w:spacing w:line="580" w:lineRule="exact"/>
        <w:rPr>
          <w:rFonts w:ascii="仿宋_GB2312" w:eastAsia="仿宋_GB2312" w:hAnsiTheme="minorEastAsia"/>
          <w:sz w:val="32"/>
          <w:szCs w:val="32"/>
        </w:rPr>
      </w:pPr>
    </w:p>
    <w:p w14:paraId="01DB0991">
      <w:pPr>
        <w:spacing w:line="580" w:lineRule="exact"/>
        <w:rPr>
          <w:rFonts w:ascii="仿宋_GB2312" w:eastAsia="仿宋_GB2312" w:hAnsiTheme="minorEastAsia"/>
          <w:sz w:val="32"/>
          <w:szCs w:val="32"/>
        </w:rPr>
      </w:pPr>
    </w:p>
    <w:p w14:paraId="495BFB29">
      <w:pPr>
        <w:spacing w:line="580" w:lineRule="exact"/>
        <w:rPr>
          <w:rFonts w:ascii="仿宋_GB2312" w:eastAsia="仿宋_GB2312" w:hAnsiTheme="minorEastAsia"/>
          <w:sz w:val="32"/>
          <w:szCs w:val="32"/>
        </w:rPr>
      </w:pPr>
    </w:p>
    <w:p w14:paraId="6879046F">
      <w:pPr>
        <w:spacing w:line="580" w:lineRule="exact"/>
        <w:rPr>
          <w:rFonts w:ascii="仿宋_GB2312" w:eastAsia="仿宋_GB2312" w:hAnsiTheme="minorEastAsia"/>
          <w:sz w:val="32"/>
          <w:szCs w:val="32"/>
        </w:rPr>
      </w:pPr>
    </w:p>
    <w:p w14:paraId="0CD0B986">
      <w:pPr>
        <w:spacing w:line="580" w:lineRule="exact"/>
        <w:rPr>
          <w:rFonts w:ascii="仿宋_GB2312" w:eastAsia="仿宋_GB2312" w:hAnsiTheme="minorEastAsia"/>
          <w:sz w:val="32"/>
          <w:szCs w:val="32"/>
        </w:rPr>
      </w:pPr>
    </w:p>
    <w:p w14:paraId="0AB7F416">
      <w:pPr>
        <w:spacing w:line="580" w:lineRule="exact"/>
        <w:rPr>
          <w:rFonts w:ascii="仿宋_GB2312" w:eastAsia="仿宋_GB2312" w:hAnsiTheme="minorEastAsia"/>
          <w:sz w:val="32"/>
          <w:szCs w:val="32"/>
        </w:rPr>
      </w:pPr>
    </w:p>
    <w:p w14:paraId="353466E4">
      <w:pPr>
        <w:spacing w:line="580" w:lineRule="exact"/>
        <w:rPr>
          <w:rFonts w:ascii="仿宋_GB2312" w:eastAsia="仿宋_GB2312" w:hAnsiTheme="minorEastAsia"/>
          <w:sz w:val="32"/>
          <w:szCs w:val="32"/>
        </w:rPr>
      </w:pPr>
    </w:p>
    <w:p w14:paraId="22C7DAAD">
      <w:pPr>
        <w:spacing w:line="580" w:lineRule="exact"/>
        <w:rPr>
          <w:rFonts w:ascii="仿宋_GB2312" w:eastAsia="仿宋_GB2312" w:hAnsiTheme="minorEastAsia"/>
          <w:sz w:val="32"/>
          <w:szCs w:val="32"/>
        </w:rPr>
      </w:pPr>
    </w:p>
    <w:p w14:paraId="397B89DB">
      <w:pPr>
        <w:spacing w:line="580" w:lineRule="exact"/>
        <w:rPr>
          <w:rFonts w:ascii="仿宋_GB2312" w:eastAsia="仿宋_GB2312" w:hAnsiTheme="minorEastAsia"/>
          <w:sz w:val="32"/>
          <w:szCs w:val="32"/>
        </w:rPr>
      </w:pPr>
    </w:p>
    <w:p w14:paraId="752E95E9">
      <w:pPr>
        <w:spacing w:line="580" w:lineRule="exact"/>
        <w:rPr>
          <w:rFonts w:ascii="仿宋_GB2312" w:eastAsia="仿宋_GB2312" w:hAnsiTheme="minorEastAsia"/>
          <w:sz w:val="32"/>
          <w:szCs w:val="32"/>
        </w:rPr>
      </w:pPr>
    </w:p>
    <w:p w14:paraId="49F18F6E">
      <w:pPr>
        <w:spacing w:line="580" w:lineRule="exact"/>
        <w:rPr>
          <w:rFonts w:ascii="仿宋_GB2312" w:eastAsia="仿宋_GB2312" w:hAnsiTheme="minorEastAsia"/>
          <w:sz w:val="32"/>
          <w:szCs w:val="32"/>
        </w:rPr>
      </w:pPr>
    </w:p>
    <w:p w14:paraId="45ECF0F3">
      <w:pPr>
        <w:spacing w:line="580" w:lineRule="exact"/>
        <w:rPr>
          <w:rFonts w:ascii="仿宋_GB2312" w:eastAsia="仿宋_GB2312" w:hAnsiTheme="minorEastAsia"/>
          <w:sz w:val="32"/>
          <w:szCs w:val="32"/>
        </w:rPr>
      </w:pPr>
    </w:p>
    <w:p w14:paraId="09F191CC">
      <w:pPr>
        <w:spacing w:line="580" w:lineRule="exact"/>
        <w:rPr>
          <w:rFonts w:ascii="仿宋_GB2312" w:eastAsia="仿宋_GB2312" w:hAnsiTheme="minorEastAsia"/>
          <w:sz w:val="32"/>
          <w:szCs w:val="32"/>
        </w:rPr>
      </w:pPr>
    </w:p>
    <w:p w14:paraId="378762F7">
      <w:pPr>
        <w:spacing w:line="580" w:lineRule="exact"/>
        <w:rPr>
          <w:rFonts w:ascii="仿宋_GB2312" w:eastAsia="仿宋_GB2312" w:hAnsiTheme="minorEastAsia"/>
          <w:sz w:val="32"/>
          <w:szCs w:val="32"/>
        </w:rPr>
      </w:pPr>
    </w:p>
    <w:p w14:paraId="3979CFB4">
      <w:pPr>
        <w:spacing w:line="580" w:lineRule="exact"/>
        <w:rPr>
          <w:rFonts w:ascii="仿宋_GB2312" w:eastAsia="仿宋_GB2312" w:hAnsiTheme="minorEastAsia"/>
          <w:sz w:val="32"/>
          <w:szCs w:val="32"/>
        </w:rPr>
      </w:pPr>
    </w:p>
    <w:p w14:paraId="5C8939C2">
      <w:pPr>
        <w:spacing w:line="580" w:lineRule="exact"/>
        <w:rPr>
          <w:rFonts w:ascii="仿宋_GB2312" w:eastAsia="仿宋_GB2312" w:hAnsiTheme="minorEastAsia"/>
          <w:sz w:val="32"/>
          <w:szCs w:val="32"/>
        </w:rPr>
      </w:pPr>
    </w:p>
    <w:p w14:paraId="6DE68E9D">
      <w:pPr>
        <w:spacing w:line="580" w:lineRule="exact"/>
        <w:rPr>
          <w:rFonts w:ascii="仿宋_GB2312" w:eastAsia="仿宋_GB2312" w:hAnsiTheme="minorEastAsia"/>
          <w:sz w:val="32"/>
          <w:szCs w:val="32"/>
        </w:rPr>
      </w:pPr>
    </w:p>
    <w:p w14:paraId="36C206E0">
      <w:pPr>
        <w:spacing w:line="580" w:lineRule="exact"/>
        <w:rPr>
          <w:rFonts w:ascii="仿宋_GB2312" w:eastAsia="仿宋_GB2312" w:hAnsiTheme="minorEastAsia"/>
          <w:sz w:val="32"/>
          <w:szCs w:val="32"/>
        </w:rPr>
      </w:pPr>
    </w:p>
    <w:p w14:paraId="1155DEC7">
      <w:pPr>
        <w:spacing w:line="580" w:lineRule="exact"/>
        <w:rPr>
          <w:rFonts w:ascii="仿宋_GB2312" w:eastAsia="仿宋_GB2312" w:hAnsiTheme="minorEastAsia"/>
          <w:sz w:val="32"/>
          <w:szCs w:val="32"/>
        </w:rPr>
      </w:pPr>
    </w:p>
    <w:p w14:paraId="51DB7850">
      <w:pPr>
        <w:spacing w:line="580" w:lineRule="exact"/>
        <w:rPr>
          <w:rFonts w:ascii="仿宋_GB2312" w:eastAsia="仿宋_GB2312" w:hAnsiTheme="minorEastAsia"/>
          <w:sz w:val="32"/>
          <w:szCs w:val="32"/>
        </w:rPr>
      </w:pPr>
    </w:p>
    <w:p w14:paraId="30012B0B">
      <w:pPr>
        <w:spacing w:line="580" w:lineRule="exact"/>
        <w:rPr>
          <w:rFonts w:ascii="仿宋_GB2312" w:eastAsia="仿宋_GB2312" w:hAnsiTheme="minorEastAsia"/>
          <w:sz w:val="32"/>
          <w:szCs w:val="32"/>
        </w:rPr>
      </w:pPr>
    </w:p>
    <w:p w14:paraId="43808208">
      <w:pPr>
        <w:spacing w:line="580" w:lineRule="exact"/>
        <w:rPr>
          <w:rFonts w:ascii="仿宋_GB2312" w:eastAsia="仿宋_GB2312" w:hAnsiTheme="minorEastAsia"/>
          <w:sz w:val="32"/>
          <w:szCs w:val="32"/>
        </w:rPr>
      </w:pPr>
    </w:p>
    <w:p w14:paraId="27BB9E57">
      <w:pPr>
        <w:spacing w:line="580" w:lineRule="exact"/>
        <w:rPr>
          <w:rFonts w:ascii="仿宋_GB2312" w:eastAsia="仿宋_GB2312" w:hAnsiTheme="minorEastAsia"/>
          <w:sz w:val="32"/>
          <w:szCs w:val="32"/>
        </w:rPr>
      </w:pPr>
    </w:p>
    <w:p w14:paraId="179DB9E7">
      <w:pPr>
        <w:spacing w:line="580" w:lineRule="exact"/>
        <w:rPr>
          <w:rFonts w:ascii="仿宋_GB2312" w:eastAsia="仿宋_GB2312" w:hAnsiTheme="minorEastAsia"/>
          <w:sz w:val="32"/>
          <w:szCs w:val="32"/>
        </w:rPr>
      </w:pPr>
    </w:p>
    <w:p w14:paraId="2DA3FB56">
      <w:pPr>
        <w:spacing w:line="580" w:lineRule="exact"/>
        <w:rPr>
          <w:rFonts w:ascii="仿宋_GB2312" w:eastAsia="仿宋_GB2312" w:hAnsiTheme="minorEastAsia"/>
          <w:sz w:val="32"/>
          <w:szCs w:val="32"/>
        </w:rPr>
      </w:pPr>
    </w:p>
    <w:p w14:paraId="3F9BFA0E">
      <w:pPr>
        <w:spacing w:line="580" w:lineRule="exact"/>
        <w:rPr>
          <w:rFonts w:ascii="仿宋_GB2312" w:eastAsia="仿宋_GB2312" w:hAnsiTheme="minorEastAsia"/>
          <w:sz w:val="32"/>
          <w:szCs w:val="32"/>
        </w:rPr>
      </w:pPr>
    </w:p>
    <w:p w14:paraId="33962526">
      <w:pPr>
        <w:spacing w:line="580" w:lineRule="exact"/>
        <w:rPr>
          <w:rFonts w:ascii="仿宋_GB2312" w:eastAsia="仿宋_GB2312" w:hAnsiTheme="minorEastAsia"/>
          <w:sz w:val="32"/>
          <w:szCs w:val="32"/>
        </w:rPr>
      </w:pPr>
    </w:p>
    <w:p w14:paraId="0E940B25">
      <w:pPr>
        <w:spacing w:line="580" w:lineRule="exact"/>
        <w:rPr>
          <w:rFonts w:ascii="仿宋_GB2312" w:eastAsia="仿宋_GB2312" w:hAnsiTheme="minorEastAsia"/>
          <w:sz w:val="32"/>
          <w:szCs w:val="32"/>
        </w:rPr>
      </w:pPr>
    </w:p>
    <w:p w14:paraId="186E5937">
      <w:pPr>
        <w:spacing w:line="580" w:lineRule="exact"/>
        <w:rPr>
          <w:rFonts w:ascii="仿宋_GB2312" w:eastAsia="仿宋_GB2312" w:hAnsiTheme="minorEastAsia"/>
          <w:sz w:val="32"/>
          <w:szCs w:val="32"/>
        </w:rPr>
      </w:pPr>
    </w:p>
    <w:p w14:paraId="79283372">
      <w:pPr>
        <w:spacing w:line="580" w:lineRule="exact"/>
        <w:rPr>
          <w:rFonts w:ascii="仿宋_GB2312" w:eastAsia="仿宋_GB2312" w:hAnsiTheme="minorEastAsia"/>
          <w:sz w:val="32"/>
          <w:szCs w:val="32"/>
        </w:rPr>
      </w:pPr>
    </w:p>
    <w:p w14:paraId="1ED19B92">
      <w:pPr>
        <w:spacing w:line="580" w:lineRule="exact"/>
        <w:rPr>
          <w:rFonts w:ascii="仿宋_GB2312" w:eastAsia="仿宋_GB2312" w:hAnsiTheme="minorEastAsia"/>
          <w:sz w:val="32"/>
          <w:szCs w:val="32"/>
        </w:rPr>
      </w:pPr>
    </w:p>
    <w:p w14:paraId="000029C4">
      <w:pPr>
        <w:spacing w:line="580" w:lineRule="exact"/>
        <w:rPr>
          <w:rFonts w:ascii="仿宋_GB2312" w:eastAsia="仿宋_GB2312" w:hAnsiTheme="minorEastAsia"/>
          <w:sz w:val="32"/>
          <w:szCs w:val="32"/>
        </w:rPr>
      </w:pPr>
    </w:p>
    <w:p w14:paraId="1BAB3C74">
      <w:pPr>
        <w:spacing w:line="580" w:lineRule="exact"/>
        <w:rPr>
          <w:rFonts w:ascii="仿宋_GB2312" w:eastAsia="仿宋_GB2312" w:hAnsiTheme="minorEastAsia"/>
          <w:sz w:val="32"/>
          <w:szCs w:val="32"/>
        </w:rPr>
      </w:pPr>
    </w:p>
    <w:p w14:paraId="507A03F4">
      <w:pPr>
        <w:spacing w:line="580" w:lineRule="exact"/>
        <w:rPr>
          <w:rFonts w:ascii="仿宋_GB2312" w:eastAsia="仿宋_GB2312" w:hAnsiTheme="minorEastAsia"/>
          <w:sz w:val="32"/>
          <w:szCs w:val="32"/>
        </w:rPr>
      </w:pPr>
    </w:p>
    <w:p w14:paraId="39759BA5">
      <w:pPr>
        <w:spacing w:line="580" w:lineRule="exact"/>
        <w:rPr>
          <w:rFonts w:ascii="仿宋_GB2312" w:eastAsia="仿宋_GB2312" w:hAnsiTheme="minorEastAsia"/>
          <w:sz w:val="32"/>
          <w:szCs w:val="32"/>
        </w:rPr>
      </w:pPr>
    </w:p>
    <w:p w14:paraId="66CA7E91">
      <w:pPr>
        <w:spacing w:line="580" w:lineRule="exact"/>
        <w:rPr>
          <w:rFonts w:ascii="仿宋_GB2312" w:eastAsia="仿宋_GB2312" w:hAnsiTheme="minorEastAsia"/>
          <w:sz w:val="32"/>
          <w:szCs w:val="32"/>
        </w:rPr>
      </w:pPr>
    </w:p>
    <w:p w14:paraId="769BE847">
      <w:pPr>
        <w:spacing w:line="580" w:lineRule="exact"/>
        <w:rPr>
          <w:rFonts w:ascii="仿宋_GB2312" w:eastAsia="仿宋_GB2312" w:hAnsiTheme="minorEastAsia"/>
          <w:sz w:val="32"/>
          <w:szCs w:val="32"/>
        </w:rPr>
      </w:pPr>
    </w:p>
    <w:p w14:paraId="47336001">
      <w:pPr>
        <w:spacing w:line="580" w:lineRule="exact"/>
        <w:rPr>
          <w:rFonts w:ascii="仿宋_GB2312" w:eastAsia="仿宋_GB2312" w:hAnsiTheme="minorEastAsia"/>
          <w:sz w:val="32"/>
          <w:szCs w:val="32"/>
        </w:rPr>
      </w:pPr>
    </w:p>
    <w:p w14:paraId="708B31F4">
      <w:pPr>
        <w:spacing w:line="580" w:lineRule="exact"/>
        <w:rPr>
          <w:rFonts w:ascii="仿宋_GB2312" w:eastAsia="仿宋_GB2312" w:hAnsiTheme="minorEastAsia"/>
          <w:sz w:val="32"/>
          <w:szCs w:val="32"/>
        </w:rPr>
      </w:pPr>
    </w:p>
    <w:p w14:paraId="4147F752">
      <w:pPr>
        <w:spacing w:line="580" w:lineRule="exact"/>
        <w:rPr>
          <w:rFonts w:ascii="仿宋_GB2312" w:eastAsia="仿宋_GB2312" w:hAnsiTheme="minorEastAsia"/>
          <w:sz w:val="32"/>
          <w:szCs w:val="32"/>
        </w:rPr>
      </w:pPr>
    </w:p>
    <w:p w14:paraId="3647D86F">
      <w:pPr>
        <w:spacing w:line="580" w:lineRule="exact"/>
        <w:rPr>
          <w:rFonts w:ascii="仿宋_GB2312" w:eastAsia="仿宋_GB2312" w:hAnsiTheme="minorEastAsia"/>
          <w:sz w:val="32"/>
          <w:szCs w:val="32"/>
        </w:rPr>
      </w:pPr>
    </w:p>
    <w:p w14:paraId="00662763">
      <w:pPr>
        <w:spacing w:line="580" w:lineRule="exact"/>
        <w:rPr>
          <w:rFonts w:ascii="仿宋_GB2312" w:hAnsi="楷体" w:eastAsia="仿宋_GB2312"/>
          <w:sz w:val="32"/>
          <w:szCs w:val="32"/>
        </w:rPr>
      </w:pPr>
    </w:p>
    <w:sectPr>
      <w:footerReference r:id="rId3" w:type="default"/>
      <w:pgSz w:w="11906" w:h="16838"/>
      <w:pgMar w:top="1701"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FFBA0F-FCAA-43F0-9853-6D14006350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30C689-8028-4F8E-8F8B-D6DB89BB5377}"/>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997B994D-5D8D-4E11-A6DC-1F2D545284AC}"/>
  </w:font>
  <w:font w:name="仿宋_GB2312">
    <w:panose1 w:val="02010609030101010101"/>
    <w:charset w:val="86"/>
    <w:family w:val="modern"/>
    <w:pitch w:val="default"/>
    <w:sig w:usb0="00000001" w:usb1="080E0000" w:usb2="00000000" w:usb3="00000000" w:csb0="00040000" w:csb1="00000000"/>
    <w:embedRegular r:id="rId4" w:fontKey="{8E53A190-6D98-4AE3-A06F-7CC21386E82E}"/>
  </w:font>
  <w:font w:name="楷体">
    <w:panose1 w:val="02010609060101010101"/>
    <w:charset w:val="86"/>
    <w:family w:val="modern"/>
    <w:pitch w:val="default"/>
    <w:sig w:usb0="800002BF" w:usb1="38CF7CFA" w:usb2="00000016" w:usb3="00000000" w:csb0="00040001" w:csb1="00000000"/>
    <w:embedRegular r:id="rId5" w:fontKey="{9E92707B-973F-4B10-9892-A7C5C1FCCC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63510"/>
      <w:docPartObj>
        <w:docPartGallery w:val="autotext"/>
      </w:docPartObj>
    </w:sdtPr>
    <w:sdtContent>
      <w:p w14:paraId="675EE4A4">
        <w:pPr>
          <w:pStyle w:val="2"/>
          <w:jc w:val="center"/>
        </w:pPr>
        <w:r>
          <w:rPr>
            <w:rFonts w:hint="eastAsia"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5</w:t>
        </w:r>
        <w:r>
          <w:rPr>
            <w:rFonts w:ascii="宋体" w:hAnsi="宋体" w:eastAsia="宋体"/>
            <w:sz w:val="24"/>
            <w:szCs w:val="24"/>
          </w:rPr>
          <w:fldChar w:fldCharType="end"/>
        </w:r>
        <w:r>
          <w:rPr>
            <w:rFonts w:hint="eastAsia" w:ascii="宋体" w:hAnsi="宋体" w:eastAsia="宋体"/>
            <w:sz w:val="24"/>
            <w:szCs w:val="24"/>
          </w:rPr>
          <w:t>-</w:t>
        </w:r>
      </w:p>
    </w:sdtContent>
  </w:sdt>
  <w:p w14:paraId="4D27AB0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4E4C"/>
    <w:rsid w:val="0001488B"/>
    <w:rsid w:val="000D6DB8"/>
    <w:rsid w:val="00200B2B"/>
    <w:rsid w:val="004B6428"/>
    <w:rsid w:val="004D5642"/>
    <w:rsid w:val="00547CE8"/>
    <w:rsid w:val="006229A0"/>
    <w:rsid w:val="006E411A"/>
    <w:rsid w:val="00744E4C"/>
    <w:rsid w:val="00792AC9"/>
    <w:rsid w:val="008B1273"/>
    <w:rsid w:val="008C2934"/>
    <w:rsid w:val="00A44804"/>
    <w:rsid w:val="00A63CC6"/>
    <w:rsid w:val="00BF0FEE"/>
    <w:rsid w:val="00C75A46"/>
    <w:rsid w:val="00D03BA3"/>
    <w:rsid w:val="00D2290D"/>
    <w:rsid w:val="00D5641E"/>
    <w:rsid w:val="00DB55D5"/>
    <w:rsid w:val="67A96394"/>
    <w:rsid w:val="6F304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paragraph" w:styleId="5">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qFormat/>
    <w:uiPriority w:val="99"/>
    <w:rPr>
      <w:sz w:val="18"/>
      <w:szCs w:val="18"/>
    </w:rPr>
  </w:style>
  <w:style w:type="character" w:customStyle="1" w:styleId="10">
    <w:name w:val="标题 Char"/>
    <w:basedOn w:val="7"/>
    <w:link w:val="5"/>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6DC3A5-6ECF-48AC-B885-8C33E8B2F1A1}">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2183</Words>
  <Characters>2192</Characters>
  <Lines>17</Lines>
  <Paragraphs>4</Paragraphs>
  <TotalTime>0</TotalTime>
  <ScaleCrop>false</ScaleCrop>
  <LinksUpToDate>false</LinksUpToDate>
  <CharactersWithSpaces>2334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2022-08-30T13:46:00Z</dcterms:created>
  <dc:creator>Administrator</dc:creator>
  <cp:lastModifiedBy>博弈</cp:lastModifiedBy>
  <cp:lastPrinted>2021-11-18T11:31:00Z</cp:lastPrinted>
  <dcterms:modified xsi:type="dcterms:W3CDTF">2026-05-07T07:22:52Z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eyJoZGlkIjoiZTI3NzE2ZjAxM2E5YWI0ODJjZjljZGRmMDY0ZDU5Y2MiLCJ1c2VySWQiOiI1ODI3MTY4MzQifQ==</vt:lpwstr>
  </property>
  <property fmtid="{D5CDD505-2E9C-101B-9397-08002B2CF9AE}" pid="3" name="KSOProductBuildVer">
    <vt:lpwstr>2052-12.1.0.25225</vt:lpwstr>
  </property>
  <property fmtid="{D5CDD505-2E9C-101B-9397-08002B2CF9AE}" pid="4" name="ICV">
    <vt:lpwstr>27B6F2E97A4342DEA5558BB8B621784E_12</vt:lpwstr>
  </property>
</Properties>
</file>