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D6AE9">
      <w:pPr>
        <w:tabs>
          <w:tab w:val="left" w:pos="642"/>
        </w:tabs>
        <w:spacing w:line="560" w:lineRule="exact"/>
        <w:jc w:val="center"/>
        <w:rPr>
          <w:rFonts w:ascii="黑体" w:hAnsi="黑体" w:eastAsia="黑体" w:cs="仿宋"/>
          <w:b/>
          <w:bCs/>
          <w:sz w:val="36"/>
          <w:szCs w:val="36"/>
        </w:rPr>
      </w:pPr>
      <w:r>
        <w:rPr>
          <w:rFonts w:hint="eastAsia" w:ascii="黑体" w:hAnsi="黑体" w:eastAsia="黑体" w:cs="仿宋"/>
          <w:b/>
          <w:bCs/>
          <w:sz w:val="44"/>
          <w:szCs w:val="44"/>
        </w:rPr>
        <w:t>滕州市第五中学</w:t>
      </w:r>
    </w:p>
    <w:p w14:paraId="320C6D01">
      <w:pPr>
        <w:tabs>
          <w:tab w:val="left" w:pos="642"/>
        </w:tabs>
        <w:spacing w:line="560" w:lineRule="exact"/>
        <w:jc w:val="center"/>
        <w:rPr>
          <w:rFonts w:hint="eastAsia" w:ascii="黑体" w:hAnsi="黑体" w:eastAsia="黑体" w:cs="仿宋"/>
          <w:b/>
          <w:bCs/>
          <w:sz w:val="44"/>
          <w:szCs w:val="44"/>
        </w:rPr>
      </w:pPr>
      <w:r>
        <w:rPr>
          <w:rFonts w:hint="eastAsia" w:ascii="黑体" w:hAnsi="黑体" w:eastAsia="黑体" w:cs="仿宋"/>
          <w:b/>
          <w:bCs/>
          <w:sz w:val="44"/>
          <w:szCs w:val="44"/>
          <w:lang w:eastAsia="zh-CN"/>
        </w:rPr>
        <w:t>“</w:t>
      </w:r>
      <w:r>
        <w:rPr>
          <w:rFonts w:hint="eastAsia" w:ascii="黑体" w:hAnsi="黑体" w:eastAsia="黑体" w:cs="仿宋"/>
          <w:b/>
          <w:bCs/>
          <w:sz w:val="44"/>
          <w:szCs w:val="44"/>
          <w:lang w:val="en-US" w:eastAsia="zh-CN"/>
        </w:rPr>
        <w:t>1235</w:t>
      </w:r>
      <w:r>
        <w:rPr>
          <w:rFonts w:hint="eastAsia" w:ascii="黑体" w:hAnsi="黑体" w:eastAsia="黑体" w:cs="仿宋"/>
          <w:b/>
          <w:bCs/>
          <w:sz w:val="44"/>
          <w:szCs w:val="44"/>
          <w:lang w:eastAsia="zh-CN"/>
        </w:rPr>
        <w:t>”</w:t>
      </w:r>
      <w:r>
        <w:rPr>
          <w:rFonts w:hint="eastAsia" w:ascii="黑体" w:hAnsi="黑体" w:eastAsia="黑体" w:cs="仿宋"/>
          <w:b/>
          <w:bCs/>
          <w:sz w:val="44"/>
          <w:szCs w:val="44"/>
        </w:rPr>
        <w:t>主题式半日教研活动实施方案</w:t>
      </w:r>
    </w:p>
    <w:p w14:paraId="7F0E66FE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</w:p>
    <w:p w14:paraId="6445C013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为贯彻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落实枣庄市教科院</w:t>
      </w:r>
      <w:r>
        <w:rPr>
          <w:rFonts w:hint="eastAsia" w:ascii="仿宋" w:hAnsi="仿宋" w:eastAsia="仿宋" w:cs="仿宋"/>
          <w:sz w:val="32"/>
          <w:szCs w:val="40"/>
        </w:rPr>
        <w:t>《关于统一全市普通高中学科集体教研时间的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通知</w:t>
      </w:r>
      <w:r>
        <w:rPr>
          <w:rFonts w:hint="eastAsia" w:ascii="仿宋" w:hAnsi="仿宋" w:eastAsia="仿宋" w:cs="仿宋"/>
          <w:sz w:val="32"/>
          <w:szCs w:val="40"/>
        </w:rPr>
        <w:t>》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精神和滕州市教体局教学工作会议要求，</w:t>
      </w:r>
      <w:r>
        <w:rPr>
          <w:rFonts w:hint="eastAsia" w:ascii="仿宋" w:hAnsi="仿宋" w:eastAsia="仿宋" w:cs="仿宋"/>
          <w:sz w:val="32"/>
          <w:szCs w:val="40"/>
        </w:rPr>
        <w:t>充分发挥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教研组长、</w:t>
      </w:r>
      <w:r>
        <w:rPr>
          <w:rFonts w:hint="eastAsia" w:ascii="仿宋" w:hAnsi="仿宋" w:eastAsia="仿宋" w:cs="仿宋"/>
          <w:sz w:val="32"/>
          <w:szCs w:val="40"/>
        </w:rPr>
        <w:t>备课组长的作用，扎实开展教学研究，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提升教研深度和实效，促进</w:t>
      </w:r>
      <w:r>
        <w:rPr>
          <w:rFonts w:hint="eastAsia" w:ascii="仿宋" w:hAnsi="仿宋" w:eastAsia="仿宋" w:cs="仿宋"/>
          <w:sz w:val="32"/>
          <w:szCs w:val="40"/>
        </w:rPr>
        <w:t>教育教学质量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的全面提高。我校积极探索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“2+1”模式半日主题教研活动，坚持集中和分散相结合。2为教研组集中教研2节课，1为备课组分散“一课一研”1节课。</w:t>
      </w:r>
    </w:p>
    <w:p w14:paraId="3CAE2D8B">
      <w:pPr>
        <w:numPr>
          <w:ilvl w:val="0"/>
          <w:numId w:val="0"/>
        </w:numPr>
        <w:ind w:firstLine="643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一、指导思想</w:t>
      </w:r>
    </w:p>
    <w:p w14:paraId="4E9FA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en-US"/>
        </w:rPr>
      </w:pPr>
      <w:r>
        <w:rPr>
          <w:rFonts w:hint="eastAsia" w:ascii="仿宋" w:hAnsi="仿宋" w:eastAsia="仿宋" w:cs="仿宋"/>
          <w:sz w:val="32"/>
          <w:szCs w:val="40"/>
          <w:lang w:val="en-US" w:eastAsia="en-US"/>
        </w:rPr>
        <w:t>以提升育人质量为主题，以教学改革为中心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en-US"/>
        </w:rPr>
        <w:t>以新课堂达标为驱动，对标先进经验，积极推进教研提质增效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en-US"/>
        </w:rPr>
        <w:t>努力打造高效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、实效</w:t>
      </w:r>
      <w:r>
        <w:rPr>
          <w:rFonts w:hint="eastAsia" w:ascii="仿宋" w:hAnsi="仿宋" w:eastAsia="仿宋" w:cs="仿宋"/>
          <w:sz w:val="32"/>
          <w:szCs w:val="40"/>
          <w:lang w:val="en-US" w:eastAsia="en-US"/>
        </w:rPr>
        <w:t>课堂，突破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现有</w:t>
      </w:r>
      <w:r>
        <w:rPr>
          <w:rFonts w:hint="eastAsia" w:ascii="仿宋" w:hAnsi="仿宋" w:eastAsia="仿宋" w:cs="仿宋"/>
          <w:sz w:val="32"/>
          <w:szCs w:val="40"/>
          <w:lang w:val="en-US" w:eastAsia="en-US"/>
        </w:rPr>
        <w:t>发展瓶颈，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构建</w:t>
      </w:r>
      <w:r>
        <w:rPr>
          <w:rFonts w:hint="eastAsia" w:ascii="仿宋" w:hAnsi="仿宋" w:eastAsia="仿宋" w:cs="仿宋"/>
          <w:sz w:val="32"/>
          <w:szCs w:val="40"/>
          <w:lang w:val="en-US" w:eastAsia="en-US"/>
        </w:rPr>
        <w:t>“同一主题、同一时间、同频共振、同向发力”的学科大教研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新</w:t>
      </w:r>
      <w:r>
        <w:rPr>
          <w:rFonts w:hint="eastAsia" w:ascii="仿宋" w:hAnsi="仿宋" w:eastAsia="仿宋" w:cs="仿宋"/>
          <w:sz w:val="32"/>
          <w:szCs w:val="40"/>
          <w:lang w:val="en-US" w:eastAsia="en-US"/>
        </w:rPr>
        <w:t>格局。</w:t>
      </w:r>
    </w:p>
    <w:p w14:paraId="580710B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40" w:leftChars="0" w:right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工作措施</w:t>
      </w:r>
    </w:p>
    <w:p w14:paraId="5564A335">
      <w:pPr>
        <w:pStyle w:val="2"/>
        <w:numPr>
          <w:ilvl w:val="0"/>
          <w:numId w:val="0"/>
        </w:numPr>
        <w:spacing w:before="18" w:line="287" w:lineRule="auto"/>
        <w:ind w:right="155" w:rightChars="0" w:firstLine="640" w:firstLineChars="200"/>
        <w:rPr>
          <w:rFonts w:hint="eastAsia" w:ascii="仿宋" w:hAnsi="仿宋" w:eastAsia="仿宋" w:cs="仿宋"/>
          <w:kern w:val="2"/>
          <w:sz w:val="32"/>
          <w:szCs w:val="40"/>
          <w:lang w:val="en-US" w:eastAsia="en-US" w:bidi="ar-SA"/>
        </w:rPr>
      </w:pPr>
      <w:r>
        <w:rPr>
          <w:rFonts w:hint="eastAsia" w:cs="仿宋"/>
          <w:kern w:val="2"/>
          <w:sz w:val="32"/>
          <w:szCs w:val="40"/>
          <w:lang w:val="en-US" w:eastAsia="zh-CN" w:bidi="ar-SA"/>
        </w:rPr>
        <w:t>1.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en-US" w:bidi="ar-SA"/>
        </w:rPr>
        <w:t>按照通知规定的时间，安排每周一次的学科半日集体教研(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见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en-US" w:bidi="ar-SA"/>
        </w:rPr>
        <w:t>附件)。集体教研期间，相应学科组不安排上课。</w:t>
      </w:r>
    </w:p>
    <w:p w14:paraId="32E68B00">
      <w:pPr>
        <w:pStyle w:val="2"/>
        <w:numPr>
          <w:ilvl w:val="0"/>
          <w:numId w:val="0"/>
        </w:numPr>
        <w:spacing w:before="18" w:line="287" w:lineRule="auto"/>
        <w:ind w:right="155" w:rightChars="0" w:firstLine="640" w:firstLineChars="200"/>
        <w:rPr>
          <w:rFonts w:hint="eastAsia" w:ascii="仿宋" w:hAnsi="仿宋" w:eastAsia="仿宋" w:cs="仿宋"/>
          <w:kern w:val="2"/>
          <w:sz w:val="32"/>
          <w:szCs w:val="40"/>
          <w:lang w:val="en-US" w:eastAsia="en-US" w:bidi="ar-SA"/>
        </w:rPr>
      </w:pPr>
      <w:r>
        <w:rPr>
          <w:rFonts w:hint="eastAsia" w:cs="仿宋"/>
          <w:kern w:val="2"/>
          <w:sz w:val="32"/>
          <w:szCs w:val="40"/>
          <w:lang w:val="en-US" w:eastAsia="zh-CN" w:bidi="ar-SA"/>
        </w:rPr>
        <w:t>2.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en-US" w:bidi="ar-SA"/>
        </w:rPr>
        <w:t>坚持问题导向，</w:t>
      </w:r>
      <w:r>
        <w:rPr>
          <w:rFonts w:hint="eastAsia" w:cs="仿宋"/>
          <w:kern w:val="2"/>
          <w:sz w:val="32"/>
          <w:szCs w:val="40"/>
          <w:lang w:val="en-US" w:eastAsia="zh-CN" w:bidi="ar-SA"/>
        </w:rPr>
        <w:t>市教科院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en-US" w:bidi="ar-SA"/>
        </w:rPr>
        <w:t>每月确定一个活动主题，常态化组织现场(或线上)项目式教研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，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en-US" w:bidi="ar-SA"/>
        </w:rPr>
        <w:t>针对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课标解读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en-US" w:bidi="ar-SA"/>
        </w:rPr>
        <w:t>、教材使用、课例研讨、资源开发、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备考策略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en-US" w:bidi="ar-SA"/>
        </w:rPr>
        <w:t>、</w:t>
      </w:r>
      <w:r>
        <w:rPr>
          <w:rFonts w:hint="eastAsia" w:cs="仿宋"/>
          <w:kern w:val="2"/>
          <w:sz w:val="32"/>
          <w:szCs w:val="40"/>
          <w:lang w:val="en-US" w:eastAsia="zh-CN" w:bidi="ar-SA"/>
        </w:rPr>
        <w:t>命题指导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en-US" w:bidi="ar-SA"/>
        </w:rPr>
        <w:t>等不同专题开展项目化研究</w:t>
      </w:r>
      <w:r>
        <w:rPr>
          <w:rFonts w:hint="eastAsia" w:cs="仿宋"/>
          <w:kern w:val="2"/>
          <w:sz w:val="32"/>
          <w:szCs w:val="40"/>
          <w:lang w:val="en-US" w:eastAsia="zh-CN" w:bidi="ar-SA"/>
        </w:rPr>
        <w:t>，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en-US" w:bidi="ar-SA"/>
        </w:rPr>
        <w:t>定期开展研讨交流。</w:t>
      </w:r>
    </w:p>
    <w:p w14:paraId="0B8F21F3">
      <w:pPr>
        <w:ind w:firstLine="640" w:firstLineChars="200"/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kern w:val="2"/>
          <w:sz w:val="32"/>
          <w:szCs w:val="40"/>
          <w:lang w:val="en-US" w:eastAsia="zh-CN" w:bidi="ar-SA"/>
        </w:rPr>
        <w:t>3.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en-US" w:bidi="ar-SA"/>
        </w:rPr>
        <w:t>各</w:t>
      </w:r>
      <w:r>
        <w:rPr>
          <w:rFonts w:hint="eastAsia" w:cs="仿宋"/>
          <w:kern w:val="2"/>
          <w:sz w:val="32"/>
          <w:szCs w:val="40"/>
          <w:lang w:val="en-US" w:eastAsia="zh-CN" w:bidi="ar-SA"/>
        </w:rPr>
        <w:t>教研组、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en-US" w:bidi="ar-SA"/>
        </w:rPr>
        <w:t>备课组要基于主题，做好具体活动设计，明确每次活动的目标、内容和组织形式，开展深度教研。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教研组大教研推行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“123”主题式教研，暨1位老师主讲公开课，2位老师进行主评，3位老师围绕教研主题分享。备课组小教研要求“5”</w:t>
      </w:r>
      <w:r>
        <w:rPr>
          <w:rStyle w:val="5"/>
          <w:rFonts w:hint="eastAsia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必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有，每次</w:t>
      </w:r>
      <w:r>
        <w:rPr>
          <w:rStyle w:val="5"/>
          <w:rFonts w:hint="eastAsia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要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有主备人，有评议人、有研案，有课件，有作业设计，注重实效。</w:t>
      </w:r>
      <w:r>
        <w:rPr>
          <w:rStyle w:val="5"/>
          <w:rFonts w:hint="eastAsia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</w:t>
      </w:r>
    </w:p>
    <w:p w14:paraId="38EA1218">
      <w:pPr>
        <w:pStyle w:val="2"/>
        <w:numPr>
          <w:ilvl w:val="0"/>
          <w:numId w:val="0"/>
        </w:numPr>
        <w:spacing w:before="18" w:line="287" w:lineRule="auto"/>
        <w:ind w:right="155" w:rightChars="0" w:firstLine="640" w:firstLineChars="200"/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创新教研方式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每位教研员联系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农村高中学校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，指导开展校本教研。深入学校参加教研活动时间，原则上每周不少于一个半天；每学期听评课数量不少于30节次。</w:t>
      </w:r>
    </w:p>
    <w:p w14:paraId="147686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5.构建校际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en-US" w:bidi="ar-SA"/>
        </w:rPr>
        <w:t>教研共同体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，每学期组织不少于2次的联研活动。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en-US" w:bidi="ar-SA"/>
        </w:rPr>
        <w:t>市教科院制定学年度教研规划，确定学期、月度重点教研项目、采用“线上随时研讨+线下定期集中”模式，开展项目式、菜单式、订单式主题教研。</w:t>
      </w:r>
    </w:p>
    <w:p w14:paraId="4EA2AA3E">
      <w:pPr>
        <w:pStyle w:val="2"/>
        <w:numPr>
          <w:ilvl w:val="0"/>
          <w:numId w:val="0"/>
        </w:numPr>
        <w:spacing w:before="18" w:line="287" w:lineRule="auto"/>
        <w:ind w:right="155" w:rightChars="0" w:firstLine="640" w:firstLineChars="200"/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凝练教研成果，建立“研—训—用”教研成果转化机制，开发覆盖全学科的高质量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的教案、课件、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单元和课时学历案、单元检测题、表现性评价任务设计和跨学科主题学习案例等资源库。</w:t>
      </w:r>
    </w:p>
    <w:p w14:paraId="74C553F6">
      <w:pPr>
        <w:pStyle w:val="2"/>
        <w:numPr>
          <w:ilvl w:val="0"/>
          <w:numId w:val="0"/>
        </w:numPr>
        <w:spacing w:before="18" w:line="287" w:lineRule="auto"/>
        <w:ind w:right="155" w:rightChars="0" w:firstLine="640" w:firstLineChars="200"/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7.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要进一步加强集体教研管理，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制作教研简报</w:t>
      </w:r>
      <w:r>
        <w:rPr>
          <w:rStyle w:val="5"/>
          <w:rFonts w:hint="eastAsia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反馈。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落实干部承包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教研组、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备课组制度。要统筹兼顾，继续抓好“一课一研”,切实提高校本教研活动质效。</w:t>
      </w:r>
    </w:p>
    <w:p w14:paraId="09CBFCE6">
      <w:pPr>
        <w:pStyle w:val="2"/>
        <w:numPr>
          <w:ilvl w:val="0"/>
          <w:numId w:val="0"/>
        </w:numPr>
        <w:spacing w:before="18" w:line="287" w:lineRule="auto"/>
        <w:ind w:right="155" w:rightChars="0" w:firstLine="643" w:firstLineChars="200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三、活动要求</w:t>
      </w:r>
    </w:p>
    <w:p w14:paraId="20938AB0">
      <w:pPr>
        <w:ind w:firstLine="640" w:firstLineChars="200"/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教研组长负责召集本学科全体教师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按照学校规定的流程和要求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开展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教研活动，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及时上交</w:t>
      </w:r>
      <w:r>
        <w:rPr>
          <w:rFonts w:hint="eastAsia" w:ascii="仿宋" w:hAnsi="仿宋" w:eastAsia="仿宋" w:cs="仿宋"/>
          <w:sz w:val="32"/>
          <w:szCs w:val="32"/>
        </w:rPr>
        <w:t>活动记录本及教研活动材料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0C341329">
      <w:pPr>
        <w:rPr>
          <w:rStyle w:val="5"/>
          <w:rFonts w:hint="default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2.备课组长负责“一课一研”活动的召集，并按照要求</w:t>
      </w:r>
      <w:r>
        <w:rPr>
          <w:rFonts w:hint="eastAsia" w:ascii="仿宋" w:hAnsi="仿宋" w:eastAsia="仿宋" w:cs="仿宋"/>
          <w:sz w:val="32"/>
          <w:szCs w:val="40"/>
        </w:rPr>
        <w:t>保质保量完成教研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，及时上交记录本</w:t>
      </w:r>
      <w:r>
        <w:rPr>
          <w:rFonts w:hint="eastAsia" w:ascii="仿宋" w:hAnsi="仿宋" w:eastAsia="仿宋" w:cs="仿宋"/>
          <w:sz w:val="32"/>
          <w:szCs w:val="40"/>
        </w:rPr>
        <w:t>。</w:t>
      </w: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同时做好月度学科资源的收集上报。</w:t>
      </w:r>
    </w:p>
    <w:p w14:paraId="12B7E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3.学</w:t>
      </w:r>
      <w:r>
        <w:rPr>
          <w:rFonts w:hint="eastAsia" w:ascii="仿宋" w:hAnsi="仿宋" w:eastAsia="仿宋" w:cs="仿宋"/>
          <w:sz w:val="32"/>
          <w:szCs w:val="32"/>
        </w:rPr>
        <w:t>校领导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班子</w:t>
      </w:r>
      <w:r>
        <w:rPr>
          <w:rFonts w:hint="eastAsia" w:ascii="仿宋" w:hAnsi="仿宋" w:eastAsia="仿宋" w:cs="仿宋"/>
          <w:sz w:val="32"/>
          <w:szCs w:val="32"/>
        </w:rPr>
        <w:t>成员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包组</w:t>
      </w:r>
      <w:r>
        <w:rPr>
          <w:rFonts w:hint="eastAsia" w:ascii="仿宋" w:hAnsi="仿宋" w:eastAsia="仿宋" w:cs="仿宋"/>
          <w:sz w:val="32"/>
          <w:szCs w:val="32"/>
        </w:rPr>
        <w:t>分工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时参加各学科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教研</w:t>
      </w:r>
      <w:r>
        <w:rPr>
          <w:rFonts w:hint="eastAsia" w:ascii="仿宋" w:hAnsi="仿宋" w:eastAsia="仿宋" w:cs="仿宋"/>
          <w:sz w:val="32"/>
          <w:szCs w:val="32"/>
        </w:rPr>
        <w:t>活动，要加强指导，跟踪督导，抓好落实，保证效果。</w:t>
      </w:r>
    </w:p>
    <w:p w14:paraId="296EB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pacing w:val="2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40"/>
        </w:rPr>
        <w:t>教导处每周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组织人员</w:t>
      </w:r>
      <w:r>
        <w:rPr>
          <w:rFonts w:hint="eastAsia" w:ascii="仿宋" w:hAnsi="仿宋" w:eastAsia="仿宋" w:cs="仿宋"/>
          <w:sz w:val="32"/>
          <w:szCs w:val="40"/>
        </w:rPr>
        <w:t>对“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半日教研</w:t>
      </w:r>
      <w:r>
        <w:rPr>
          <w:rFonts w:hint="eastAsia" w:ascii="仿宋" w:hAnsi="仿宋" w:eastAsia="仿宋" w:cs="仿宋"/>
          <w:sz w:val="32"/>
          <w:szCs w:val="40"/>
        </w:rPr>
        <w:t>”的开展情况进行督导检查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40"/>
        </w:rPr>
        <w:t>学期末对开展好的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教研组、</w:t>
      </w:r>
      <w:r>
        <w:rPr>
          <w:rFonts w:hint="eastAsia" w:ascii="仿宋" w:hAnsi="仿宋" w:eastAsia="仿宋" w:cs="仿宋"/>
          <w:sz w:val="32"/>
          <w:szCs w:val="40"/>
        </w:rPr>
        <w:t>备课组进行表彰奖励。</w:t>
      </w:r>
    </w:p>
    <w:p w14:paraId="541317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2"/>
          <w:sz w:val="28"/>
          <w:szCs w:val="28"/>
        </w:rPr>
        <w:t>附件：全市普通高中学科集体教研时间安排</w:t>
      </w:r>
    </w:p>
    <w:tbl>
      <w:tblPr>
        <w:tblStyle w:val="6"/>
        <w:tblW w:w="7659" w:type="dxa"/>
        <w:tblInd w:w="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598"/>
        <w:gridCol w:w="1824"/>
        <w:gridCol w:w="1373"/>
        <w:gridCol w:w="1391"/>
      </w:tblGrid>
      <w:tr w14:paraId="543AD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3071" w:type="dxa"/>
            <w:gridSpan w:val="2"/>
            <w:vAlign w:val="top"/>
          </w:tcPr>
          <w:p w14:paraId="1A60332D">
            <w:pPr>
              <w:spacing w:before="250" w:line="360" w:lineRule="auto"/>
              <w:ind w:firstLine="1232" w:firstLineChars="4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</w:rPr>
              <w:t>间</w:t>
            </w:r>
          </w:p>
        </w:tc>
        <w:tc>
          <w:tcPr>
            <w:tcW w:w="4588" w:type="dxa"/>
            <w:gridSpan w:val="3"/>
            <w:vAlign w:val="top"/>
          </w:tcPr>
          <w:p w14:paraId="671E0C6F">
            <w:pPr>
              <w:spacing w:before="245" w:line="360" w:lineRule="auto"/>
              <w:ind w:firstLine="1740" w:firstLineChars="6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科</w:t>
            </w:r>
          </w:p>
        </w:tc>
      </w:tr>
      <w:tr w14:paraId="3530F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473" w:type="dxa"/>
            <w:tcBorders>
              <w:top w:val="nil"/>
            </w:tcBorders>
            <w:vAlign w:val="top"/>
          </w:tcPr>
          <w:p w14:paraId="12F8528B">
            <w:pPr>
              <w:pStyle w:val="7"/>
              <w:ind w:firstLine="290" w:firstLineChars="1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星期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eastAsia="zh-CN"/>
              </w:rPr>
              <w:t>一</w:t>
            </w:r>
          </w:p>
        </w:tc>
        <w:tc>
          <w:tcPr>
            <w:tcW w:w="1598" w:type="dxa"/>
            <w:vAlign w:val="top"/>
          </w:tcPr>
          <w:p w14:paraId="745DFF7A">
            <w:pPr>
              <w:spacing w:before="234" w:line="220" w:lineRule="auto"/>
              <w:ind w:left="50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下午</w:t>
            </w:r>
          </w:p>
        </w:tc>
        <w:tc>
          <w:tcPr>
            <w:tcW w:w="1824" w:type="dxa"/>
            <w:vAlign w:val="top"/>
          </w:tcPr>
          <w:p w14:paraId="0BEFF42C">
            <w:pPr>
              <w:spacing w:before="234" w:line="220" w:lineRule="auto"/>
              <w:ind w:left="78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音乐</w:t>
            </w:r>
          </w:p>
        </w:tc>
        <w:tc>
          <w:tcPr>
            <w:tcW w:w="1373" w:type="dxa"/>
            <w:vAlign w:val="top"/>
          </w:tcPr>
          <w:p w14:paraId="27687D97">
            <w:pPr>
              <w:spacing w:before="234" w:line="219" w:lineRule="auto"/>
              <w:ind w:firstLine="292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美术</w:t>
            </w:r>
          </w:p>
        </w:tc>
        <w:tc>
          <w:tcPr>
            <w:tcW w:w="1391" w:type="dxa"/>
            <w:vAlign w:val="top"/>
          </w:tcPr>
          <w:p w14:paraId="2E52B19D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093E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473" w:type="dxa"/>
            <w:vMerge w:val="restart"/>
            <w:tcBorders>
              <w:bottom w:val="nil"/>
            </w:tcBorders>
            <w:vAlign w:val="top"/>
          </w:tcPr>
          <w:p w14:paraId="6EEF4BDD">
            <w:pPr>
              <w:pStyle w:val="7"/>
              <w:spacing w:line="26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495C14">
            <w:pPr>
              <w:spacing w:before="94" w:line="220" w:lineRule="auto"/>
              <w:ind w:firstLine="29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星期二</w:t>
            </w:r>
          </w:p>
        </w:tc>
        <w:tc>
          <w:tcPr>
            <w:tcW w:w="1598" w:type="dxa"/>
            <w:vAlign w:val="top"/>
          </w:tcPr>
          <w:p w14:paraId="36B302F8">
            <w:pPr>
              <w:spacing w:before="235" w:line="220" w:lineRule="auto"/>
              <w:ind w:left="50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上午</w:t>
            </w:r>
          </w:p>
        </w:tc>
        <w:tc>
          <w:tcPr>
            <w:tcW w:w="1824" w:type="dxa"/>
            <w:vAlign w:val="top"/>
          </w:tcPr>
          <w:p w14:paraId="6244BBA4">
            <w:pPr>
              <w:spacing w:before="236" w:line="221" w:lineRule="auto"/>
              <w:ind w:left="78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物理</w:t>
            </w:r>
          </w:p>
        </w:tc>
        <w:tc>
          <w:tcPr>
            <w:tcW w:w="1373" w:type="dxa"/>
            <w:vAlign w:val="top"/>
          </w:tcPr>
          <w:p w14:paraId="5F5B2351">
            <w:pPr>
              <w:spacing w:before="236" w:line="221" w:lineRule="auto"/>
              <w:ind w:firstLine="294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化学</w:t>
            </w:r>
          </w:p>
        </w:tc>
        <w:tc>
          <w:tcPr>
            <w:tcW w:w="1391" w:type="dxa"/>
            <w:vAlign w:val="top"/>
          </w:tcPr>
          <w:p w14:paraId="4CAECED2">
            <w:pPr>
              <w:spacing w:before="236" w:line="221" w:lineRule="auto"/>
              <w:ind w:firstLine="29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生物学</w:t>
            </w:r>
          </w:p>
        </w:tc>
      </w:tr>
      <w:tr w14:paraId="0350C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73" w:type="dxa"/>
            <w:vMerge w:val="continue"/>
            <w:tcBorders>
              <w:top w:val="nil"/>
            </w:tcBorders>
            <w:vAlign w:val="top"/>
          </w:tcPr>
          <w:p w14:paraId="64076721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8" w:type="dxa"/>
            <w:vAlign w:val="top"/>
          </w:tcPr>
          <w:p w14:paraId="7ABF9052">
            <w:pPr>
              <w:spacing w:before="246" w:line="220" w:lineRule="auto"/>
              <w:ind w:left="50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下午</w:t>
            </w:r>
          </w:p>
        </w:tc>
        <w:tc>
          <w:tcPr>
            <w:tcW w:w="1824" w:type="dxa"/>
            <w:vAlign w:val="top"/>
          </w:tcPr>
          <w:p w14:paraId="1D99A609">
            <w:pPr>
              <w:spacing w:before="246" w:line="219" w:lineRule="auto"/>
              <w:ind w:left="78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数学</w:t>
            </w:r>
          </w:p>
        </w:tc>
        <w:tc>
          <w:tcPr>
            <w:tcW w:w="1373" w:type="dxa"/>
            <w:vAlign w:val="top"/>
          </w:tcPr>
          <w:p w14:paraId="5E7E2BF1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  <w:vAlign w:val="top"/>
          </w:tcPr>
          <w:p w14:paraId="2C21326A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7EDA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473" w:type="dxa"/>
            <w:vMerge w:val="restart"/>
            <w:tcBorders>
              <w:bottom w:val="nil"/>
            </w:tcBorders>
            <w:vAlign w:val="top"/>
          </w:tcPr>
          <w:p w14:paraId="51F581DF">
            <w:pPr>
              <w:pStyle w:val="7"/>
              <w:spacing w:line="27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B1C0E1B">
            <w:pPr>
              <w:spacing w:before="94" w:line="220" w:lineRule="auto"/>
              <w:ind w:firstLine="286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星期三</w:t>
            </w:r>
          </w:p>
        </w:tc>
        <w:tc>
          <w:tcPr>
            <w:tcW w:w="1598" w:type="dxa"/>
            <w:vAlign w:val="top"/>
          </w:tcPr>
          <w:p w14:paraId="63719821">
            <w:pPr>
              <w:spacing w:before="247" w:line="220" w:lineRule="auto"/>
              <w:ind w:left="50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上午</w:t>
            </w:r>
          </w:p>
        </w:tc>
        <w:tc>
          <w:tcPr>
            <w:tcW w:w="1824" w:type="dxa"/>
            <w:vAlign w:val="top"/>
          </w:tcPr>
          <w:p w14:paraId="73D11764">
            <w:pPr>
              <w:spacing w:before="247" w:line="219" w:lineRule="auto"/>
              <w:ind w:firstLine="284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体育与健康</w:t>
            </w:r>
          </w:p>
        </w:tc>
        <w:tc>
          <w:tcPr>
            <w:tcW w:w="1373" w:type="dxa"/>
            <w:vAlign w:val="top"/>
          </w:tcPr>
          <w:p w14:paraId="06811617">
            <w:pPr>
              <w:spacing w:before="247" w:line="219" w:lineRule="auto"/>
              <w:ind w:firstLine="292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技术</w:t>
            </w:r>
          </w:p>
        </w:tc>
        <w:tc>
          <w:tcPr>
            <w:tcW w:w="1391" w:type="dxa"/>
            <w:vAlign w:val="top"/>
          </w:tcPr>
          <w:p w14:paraId="1A5185B0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7A2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73" w:type="dxa"/>
            <w:vMerge w:val="continue"/>
            <w:tcBorders>
              <w:top w:val="nil"/>
            </w:tcBorders>
            <w:vAlign w:val="top"/>
          </w:tcPr>
          <w:p w14:paraId="0DC52C85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8" w:type="dxa"/>
            <w:vAlign w:val="top"/>
          </w:tcPr>
          <w:p w14:paraId="74663B89">
            <w:pPr>
              <w:spacing w:before="248" w:line="220" w:lineRule="auto"/>
              <w:ind w:left="50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下午</w:t>
            </w:r>
          </w:p>
        </w:tc>
        <w:tc>
          <w:tcPr>
            <w:tcW w:w="1824" w:type="dxa"/>
            <w:vAlign w:val="top"/>
          </w:tcPr>
          <w:p w14:paraId="6AD061BF">
            <w:pPr>
              <w:spacing w:before="248" w:line="220" w:lineRule="auto"/>
              <w:ind w:left="78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  <w:lang w:eastAsia="zh-CN"/>
              </w:rPr>
              <w:t>外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语</w:t>
            </w:r>
          </w:p>
        </w:tc>
        <w:tc>
          <w:tcPr>
            <w:tcW w:w="1373" w:type="dxa"/>
            <w:vAlign w:val="top"/>
          </w:tcPr>
          <w:p w14:paraId="416B19CA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  <w:vAlign w:val="top"/>
          </w:tcPr>
          <w:p w14:paraId="6223DB9D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166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473" w:type="dxa"/>
            <w:vMerge w:val="restart"/>
            <w:tcBorders>
              <w:bottom w:val="nil"/>
            </w:tcBorders>
            <w:vAlign w:val="top"/>
          </w:tcPr>
          <w:p w14:paraId="29CBC06D">
            <w:pPr>
              <w:pStyle w:val="7"/>
              <w:spacing w:line="271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291574F">
            <w:pPr>
              <w:spacing w:before="94" w:line="220" w:lineRule="auto"/>
              <w:ind w:firstLine="30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星期四</w:t>
            </w:r>
          </w:p>
        </w:tc>
        <w:tc>
          <w:tcPr>
            <w:tcW w:w="1598" w:type="dxa"/>
            <w:vAlign w:val="top"/>
          </w:tcPr>
          <w:p w14:paraId="10AC8FA5">
            <w:pPr>
              <w:spacing w:before="249" w:line="220" w:lineRule="auto"/>
              <w:ind w:left="50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上午</w:t>
            </w:r>
          </w:p>
        </w:tc>
        <w:tc>
          <w:tcPr>
            <w:tcW w:w="1824" w:type="dxa"/>
            <w:vAlign w:val="top"/>
          </w:tcPr>
          <w:p w14:paraId="5987FB3B">
            <w:pPr>
              <w:spacing w:before="250" w:line="221" w:lineRule="auto"/>
              <w:ind w:firstLine="292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思想政治</w:t>
            </w:r>
          </w:p>
        </w:tc>
        <w:tc>
          <w:tcPr>
            <w:tcW w:w="1373" w:type="dxa"/>
            <w:vAlign w:val="top"/>
          </w:tcPr>
          <w:p w14:paraId="783A2F7E">
            <w:pPr>
              <w:spacing w:before="249" w:line="220" w:lineRule="auto"/>
              <w:ind w:firstLine="292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历史</w:t>
            </w:r>
          </w:p>
        </w:tc>
        <w:tc>
          <w:tcPr>
            <w:tcW w:w="1391" w:type="dxa"/>
            <w:vAlign w:val="top"/>
          </w:tcPr>
          <w:p w14:paraId="4D05BBC4">
            <w:pPr>
              <w:spacing w:before="262" w:line="229" w:lineRule="auto"/>
              <w:ind w:firstLine="29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地理</w:t>
            </w:r>
          </w:p>
        </w:tc>
      </w:tr>
      <w:tr w14:paraId="5F516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473" w:type="dxa"/>
            <w:vMerge w:val="continue"/>
            <w:tcBorders>
              <w:top w:val="nil"/>
            </w:tcBorders>
            <w:vAlign w:val="top"/>
          </w:tcPr>
          <w:p w14:paraId="3D2223FE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8" w:type="dxa"/>
            <w:vAlign w:val="top"/>
          </w:tcPr>
          <w:p w14:paraId="4730770B">
            <w:pPr>
              <w:spacing w:before="250" w:line="220" w:lineRule="auto"/>
              <w:ind w:left="50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下午</w:t>
            </w:r>
          </w:p>
        </w:tc>
        <w:tc>
          <w:tcPr>
            <w:tcW w:w="1824" w:type="dxa"/>
            <w:vAlign w:val="top"/>
          </w:tcPr>
          <w:p w14:paraId="52C9AF8F">
            <w:pPr>
              <w:spacing w:before="253" w:line="221" w:lineRule="auto"/>
              <w:ind w:left="78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语文</w:t>
            </w:r>
          </w:p>
        </w:tc>
        <w:tc>
          <w:tcPr>
            <w:tcW w:w="1373" w:type="dxa"/>
            <w:vAlign w:val="top"/>
          </w:tcPr>
          <w:p w14:paraId="3B870513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  <w:vAlign w:val="top"/>
          </w:tcPr>
          <w:p w14:paraId="3FBDE826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79642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left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C013B4"/>
    <w:multiLevelType w:val="singleLevel"/>
    <w:tmpl w:val="F9C013B4"/>
    <w:lvl w:ilvl="0" w:tentative="0">
      <w:start w:val="2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F76AF"/>
    <w:rsid w:val="08961E02"/>
    <w:rsid w:val="09226B0F"/>
    <w:rsid w:val="0B995089"/>
    <w:rsid w:val="0D3D1A44"/>
    <w:rsid w:val="0E9B4C74"/>
    <w:rsid w:val="109B53FF"/>
    <w:rsid w:val="11796EDC"/>
    <w:rsid w:val="15001CD4"/>
    <w:rsid w:val="18610CDC"/>
    <w:rsid w:val="187A3B4C"/>
    <w:rsid w:val="18B84674"/>
    <w:rsid w:val="19687E48"/>
    <w:rsid w:val="1AF06347"/>
    <w:rsid w:val="1D1236EA"/>
    <w:rsid w:val="234E4553"/>
    <w:rsid w:val="23601CC6"/>
    <w:rsid w:val="260809E9"/>
    <w:rsid w:val="260C4B89"/>
    <w:rsid w:val="27286E69"/>
    <w:rsid w:val="27D019DA"/>
    <w:rsid w:val="27E45486"/>
    <w:rsid w:val="290106D1"/>
    <w:rsid w:val="298011DE"/>
    <w:rsid w:val="29D67109"/>
    <w:rsid w:val="2D0B7011"/>
    <w:rsid w:val="2D340315"/>
    <w:rsid w:val="2DA21723"/>
    <w:rsid w:val="2E013B1C"/>
    <w:rsid w:val="35DB7EC8"/>
    <w:rsid w:val="3ABB2076"/>
    <w:rsid w:val="3C1934F8"/>
    <w:rsid w:val="3D056979"/>
    <w:rsid w:val="42AB29D0"/>
    <w:rsid w:val="42BC4BDD"/>
    <w:rsid w:val="454921D5"/>
    <w:rsid w:val="45FD0A37"/>
    <w:rsid w:val="46454EEA"/>
    <w:rsid w:val="4B0E61F2"/>
    <w:rsid w:val="4C6D519A"/>
    <w:rsid w:val="4D3857A8"/>
    <w:rsid w:val="510C31D4"/>
    <w:rsid w:val="534704F3"/>
    <w:rsid w:val="543547EF"/>
    <w:rsid w:val="54CF07A0"/>
    <w:rsid w:val="55A25CD9"/>
    <w:rsid w:val="575D1209"/>
    <w:rsid w:val="584E40D2"/>
    <w:rsid w:val="59C52172"/>
    <w:rsid w:val="5FFC4413"/>
    <w:rsid w:val="60EA6962"/>
    <w:rsid w:val="619A2136"/>
    <w:rsid w:val="62774225"/>
    <w:rsid w:val="640D3093"/>
    <w:rsid w:val="6A9E2C97"/>
    <w:rsid w:val="6E0948CB"/>
    <w:rsid w:val="6FCC5B27"/>
    <w:rsid w:val="6FE80510"/>
    <w:rsid w:val="70671D7D"/>
    <w:rsid w:val="724F2AC9"/>
    <w:rsid w:val="73832A2A"/>
    <w:rsid w:val="738D5416"/>
    <w:rsid w:val="74485A21"/>
    <w:rsid w:val="754D1541"/>
    <w:rsid w:val="75502DDF"/>
    <w:rsid w:val="75734D20"/>
    <w:rsid w:val="75C13CDD"/>
    <w:rsid w:val="79F0187A"/>
    <w:rsid w:val="7D0A7186"/>
    <w:rsid w:val="7DD50326"/>
    <w:rsid w:val="7EFB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character" w:customStyle="1" w:styleId="5">
    <w:name w:val="NormalCharacter"/>
    <w:qFormat/>
    <w:uiPriority w:val="0"/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1233</Words>
  <Characters>1252</Characters>
  <Lines>0</Lines>
  <Paragraphs>0</Paragraphs>
  <TotalTime>0</TotalTime>
  <ScaleCrop>false</ScaleCrop>
  <LinksUpToDate>false</LinksUpToDate>
  <CharactersWithSpaces>1265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2025-08-24T04:52:00Z</dcterms:created>
  <dc:creator>Administrator</dc:creator>
  <cp:lastModifiedBy>企业用户_419480040</cp:lastModifiedBy>
  <dcterms:modified xsi:type="dcterms:W3CDTF">2026-04-30T00:06:35Z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eyJoZGlkIjoiZjYxYjk5MGMwNGJjOTQ4OTUyZTMzMDE1MThjZmNmNDIiLCJ1c2VySWQiOiIxNzAwODA2Mzk0In0=</vt:lpwstr>
  </property>
  <property fmtid="{D5CDD505-2E9C-101B-9397-08002B2CF9AE}" pid="4" name="ICV">
    <vt:lpwstr>7777C7D8C8334F588B4C1909FCFEAA80_12</vt:lpwstr>
  </property>
</Properties>
</file>