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0D1" w:rsidRDefault="000B7141">
      <w:pPr>
        <w:tabs>
          <w:tab w:val="left" w:pos="642"/>
        </w:tabs>
        <w:spacing w:line="560" w:lineRule="exact"/>
        <w:ind w:firstLineChars="800" w:firstLine="2891"/>
        <w:rPr>
          <w:rFonts w:ascii="黑体" w:eastAsia="黑体" w:hAnsi="黑体" w:cs="仿宋"/>
          <w:b/>
          <w:bCs/>
          <w:sz w:val="36"/>
          <w:szCs w:val="36"/>
        </w:rPr>
      </w:pPr>
      <w:r>
        <w:rPr>
          <w:rFonts w:ascii="黑体" w:eastAsia="黑体" w:hAnsi="黑体" w:cs="仿宋" w:hint="eastAsia"/>
          <w:b/>
          <w:bCs/>
          <w:sz w:val="36"/>
          <w:szCs w:val="36"/>
        </w:rPr>
        <w:t>滕州市第五中学</w:t>
      </w:r>
    </w:p>
    <w:p w:rsidR="003530D1" w:rsidRDefault="000B7141">
      <w:pPr>
        <w:tabs>
          <w:tab w:val="left" w:pos="642"/>
        </w:tabs>
        <w:spacing w:line="560" w:lineRule="exact"/>
        <w:ind w:firstLineChars="400" w:firstLine="1446"/>
        <w:rPr>
          <w:rFonts w:ascii="黑体" w:eastAsia="黑体" w:hAnsi="黑体" w:cs="仿宋"/>
          <w:b/>
          <w:bCs/>
          <w:sz w:val="36"/>
          <w:szCs w:val="36"/>
        </w:rPr>
      </w:pPr>
      <w:r>
        <w:rPr>
          <w:rFonts w:ascii="黑体" w:eastAsia="黑体" w:hAnsi="黑体" w:cs="仿宋" w:hint="eastAsia"/>
          <w:b/>
          <w:bCs/>
          <w:sz w:val="36"/>
          <w:szCs w:val="36"/>
        </w:rPr>
        <w:t>主题式“一课</w:t>
      </w:r>
      <w:proofErr w:type="gramStart"/>
      <w:r>
        <w:rPr>
          <w:rFonts w:ascii="黑体" w:eastAsia="黑体" w:hAnsi="黑体" w:cs="仿宋" w:hint="eastAsia"/>
          <w:b/>
          <w:bCs/>
          <w:sz w:val="36"/>
          <w:szCs w:val="36"/>
        </w:rPr>
        <w:t>一研</w:t>
      </w:r>
      <w:proofErr w:type="gramEnd"/>
      <w:r>
        <w:rPr>
          <w:rFonts w:ascii="黑体" w:eastAsia="黑体" w:hAnsi="黑体" w:cs="仿宋" w:hint="eastAsia"/>
          <w:b/>
          <w:bCs/>
          <w:sz w:val="36"/>
          <w:szCs w:val="36"/>
        </w:rPr>
        <w:t>”活动实施方案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为贯彻滕州市教育和体育局《关于实施精准教学，推进新课堂达标，提升中小学教学质量的指导意见》文件精神，落实我校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“</w:t>
      </w:r>
      <w:r w:rsidR="00AB155E"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精细化管理</w:t>
      </w: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”</w:t>
      </w:r>
      <w:r>
        <w:rPr>
          <w:rFonts w:ascii="仿宋" w:eastAsia="仿宋" w:hAnsi="仿宋" w:cs="仿宋" w:hint="eastAsia"/>
          <w:sz w:val="32"/>
          <w:szCs w:val="40"/>
        </w:rPr>
        <w:t>的要求，充分发挥学科备课组长的作用，扎实开展教学研究，全面提高教育教学质量，把我校打造成“区域内有吸引力的特色学校”，特制订滕州五中“一课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”实施方案。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一、指导思想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以落实“备、教、学、评”一致性、实施精准教学为目标，以新课堂达标活动为载体，深化教学研究制度改革，形成“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备+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思”的深度教研和实效教研，打造我校“137小组竞学”的实效课堂。</w:t>
      </w:r>
    </w:p>
    <w:p w:rsidR="003530D1" w:rsidRDefault="000B7141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二、成立“一课</w:t>
      </w:r>
      <w:proofErr w:type="gramStart"/>
      <w:r>
        <w:rPr>
          <w:rFonts w:ascii="黑体" w:eastAsia="黑体" w:hAnsi="黑体" w:cs="黑体" w:hint="eastAsia"/>
          <w:sz w:val="32"/>
          <w:szCs w:val="40"/>
        </w:rPr>
        <w:t>一研</w:t>
      </w:r>
      <w:proofErr w:type="gramEnd"/>
      <w:r>
        <w:rPr>
          <w:rFonts w:ascii="黑体" w:eastAsia="黑体" w:hAnsi="黑体" w:cs="黑体" w:hint="eastAsia"/>
          <w:sz w:val="32"/>
          <w:szCs w:val="40"/>
        </w:rPr>
        <w:t>”领导小组</w:t>
      </w:r>
    </w:p>
    <w:p w:rsidR="003530D1" w:rsidRDefault="000B7141">
      <w:pPr>
        <w:ind w:left="320" w:firstLineChars="100" w:firstLine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组织结构</w:t>
      </w:r>
    </w:p>
    <w:p w:rsidR="003530D1" w:rsidRDefault="000B7141">
      <w:pPr>
        <w:ind w:left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组长：  任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泽友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  刘汝仲</w:t>
      </w:r>
    </w:p>
    <w:p w:rsidR="003530D1" w:rsidRDefault="000B7141">
      <w:pPr>
        <w:ind w:left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副组长：孙延东  李瑞平  李新军  常福聚</w:t>
      </w:r>
    </w:p>
    <w:p w:rsidR="003530D1" w:rsidRDefault="000B7141">
      <w:pPr>
        <w:ind w:left="32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成员：  周后勤  </w:t>
      </w:r>
      <w:r w:rsidR="00275BBB">
        <w:rPr>
          <w:rFonts w:ascii="仿宋" w:eastAsia="仿宋" w:hAnsi="仿宋" w:cs="仿宋" w:hint="eastAsia"/>
          <w:sz w:val="32"/>
          <w:szCs w:val="40"/>
        </w:rPr>
        <w:t>马运法</w:t>
      </w:r>
      <w:r>
        <w:rPr>
          <w:rFonts w:ascii="仿宋" w:eastAsia="仿宋" w:hAnsi="仿宋" w:cs="仿宋" w:hint="eastAsia"/>
          <w:sz w:val="32"/>
          <w:szCs w:val="40"/>
        </w:rPr>
        <w:t xml:space="preserve">  </w:t>
      </w:r>
      <w:r w:rsidR="00275BBB">
        <w:rPr>
          <w:rFonts w:ascii="仿宋" w:eastAsia="仿宋" w:hAnsi="仿宋" w:cs="仿宋" w:hint="eastAsia"/>
          <w:sz w:val="32"/>
          <w:szCs w:val="40"/>
        </w:rPr>
        <w:t>闫帅池</w:t>
      </w:r>
      <w:r>
        <w:rPr>
          <w:rFonts w:ascii="仿宋" w:eastAsia="仿宋" w:hAnsi="仿宋" w:cs="仿宋" w:hint="eastAsia"/>
          <w:sz w:val="32"/>
          <w:szCs w:val="40"/>
        </w:rPr>
        <w:t xml:space="preserve">（高一）  </w:t>
      </w:r>
    </w:p>
    <w:p w:rsidR="003530D1" w:rsidRDefault="000252A5">
      <w:pPr>
        <w:ind w:left="320" w:firstLineChars="500" w:firstLine="160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李中宝（高</w:t>
      </w:r>
      <w:r>
        <w:rPr>
          <w:rFonts w:ascii="仿宋" w:eastAsia="仿宋" w:hAnsi="仿宋" w:cs="仿宋" w:hint="eastAsia"/>
          <w:sz w:val="32"/>
          <w:szCs w:val="40"/>
        </w:rPr>
        <w:t>二</w:t>
      </w:r>
      <w:r>
        <w:rPr>
          <w:rFonts w:ascii="仿宋" w:eastAsia="仿宋" w:hAnsi="仿宋" w:cs="仿宋" w:hint="eastAsia"/>
          <w:sz w:val="32"/>
          <w:szCs w:val="40"/>
        </w:rPr>
        <w:t>）</w:t>
      </w:r>
      <w:r>
        <w:rPr>
          <w:rFonts w:ascii="仿宋" w:eastAsia="仿宋" w:hAnsi="仿宋" w:cs="仿宋" w:hint="eastAsia"/>
          <w:sz w:val="32"/>
          <w:szCs w:val="40"/>
        </w:rPr>
        <w:t xml:space="preserve"> </w:t>
      </w:r>
      <w:r>
        <w:rPr>
          <w:rFonts w:ascii="仿宋" w:eastAsia="仿宋" w:hAnsi="仿宋" w:cs="仿宋"/>
          <w:sz w:val="32"/>
          <w:szCs w:val="40"/>
        </w:rPr>
        <w:t xml:space="preserve"> </w:t>
      </w:r>
      <w:proofErr w:type="gramStart"/>
      <w:r w:rsidR="004E6F46">
        <w:rPr>
          <w:rFonts w:ascii="仿宋" w:eastAsia="仿宋" w:hAnsi="仿宋" w:cs="仿宋" w:hint="eastAsia"/>
          <w:sz w:val="32"/>
          <w:szCs w:val="40"/>
        </w:rPr>
        <w:t>刘通超</w:t>
      </w:r>
      <w:proofErr w:type="gramEnd"/>
      <w:r w:rsidR="000B7141">
        <w:rPr>
          <w:rFonts w:ascii="仿宋" w:eastAsia="仿宋" w:hAnsi="仿宋" w:cs="仿宋" w:hint="eastAsia"/>
          <w:sz w:val="32"/>
          <w:szCs w:val="40"/>
        </w:rPr>
        <w:t>（高</w:t>
      </w:r>
      <w:r>
        <w:rPr>
          <w:rFonts w:ascii="仿宋" w:eastAsia="仿宋" w:hAnsi="仿宋" w:cs="仿宋" w:hint="eastAsia"/>
          <w:sz w:val="32"/>
          <w:szCs w:val="40"/>
        </w:rPr>
        <w:t>三</w:t>
      </w:r>
      <w:r w:rsidR="000B7141">
        <w:rPr>
          <w:rFonts w:ascii="仿宋" w:eastAsia="仿宋" w:hAnsi="仿宋" w:cs="仿宋" w:hint="eastAsia"/>
          <w:sz w:val="32"/>
          <w:szCs w:val="40"/>
        </w:rPr>
        <w:t xml:space="preserve">） 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三、活动内容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”即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课时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研讨的教研模式。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1、研究所授课的具体教案、学历案，主要包括所授教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学内容的学习目标、知识网络、学情分析、重点难点、教学设计等。</w:t>
      </w:r>
    </w:p>
    <w:p w:rsidR="003530D1" w:rsidRDefault="000B7141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研究、讨论课型特点、实施策略、教学方法、学法指导、教案设计、课件设计、练习设计、课后作业等，不断完善课堂教学教案。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3、根据课堂反馈，对课堂教学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案进行修改完善。</w:t>
      </w:r>
    </w:p>
    <w:p w:rsidR="003530D1" w:rsidRDefault="000B7141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四、实施步骤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1.确定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案主备人。备课组长提前一周布置任务，明确教研内容，确定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案主备人选以及具体要求，即明确学习目标，梳理知识点，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区分重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难点，联系考点，重视练习、检测的反馈，突出小组合作学习。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主备人全面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分析教学内容，形成课时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案和课件，做好发言准备，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案评议人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做好辅备发言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2.个人自备。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备课组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全体教师要提前备课，年轻教师必须写出详案，从学习目标到教学流程，再到练习反馈和板书都要求认真准备。自备教案统一要求用蓝或黑笔书写，对教案的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研改统一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要求用红笔体现。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3.集体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备。“一课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主备人提前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将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案打印出来，提前半天发至组内每位教师手里，其他教师要提前预览。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主备人对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所授内容的教学整体框架，教学实施过程等进行详细说明（要有精彩之处、亮点之处、创新之处）。在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研备过程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中，要特别关注学习目标的有效达成，重点、难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点及疑点的突破，小组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合作竞学的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开展及练习检测的有效性。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评议人要对上述备课内容进行讨论、补充、完善。有经验的教师对授课的学情分析、重难点、教学方法等多指导，多建议。年轻教师要多学习，多请教，多思考，多提问(每次提出1-2个教学问题)。形成人人参与，人人发言的良好的教研氛围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在全面讨论的基础上形成集体教学通案、课件设计和练习设计方案，体现集体智慧和结晶。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改后的电子教案留存至个人的备课夹内，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改后的纸质教案上交教导处留存。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4.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复备授课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。个人结合完善的课时通案和本班学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情再次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精备，实施三次备课，并依据各班的学情和教师教学的特色，分头进行授课，组内成员根据情况相互听课观摩。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5.反思精进。每位教师课后要对教学情况进行反思，下一次“一课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”活动中，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主备人要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对总结上节课的得与失，完善每一节课的教学设计、课件等相关资料，形成校本资源包，实现资源共享。</w:t>
      </w:r>
    </w:p>
    <w:p w:rsidR="003530D1" w:rsidRDefault="000B7141">
      <w:pPr>
        <w:ind w:firstLineChars="200" w:firstLine="643"/>
        <w:rPr>
          <w:rFonts w:ascii="仿宋" w:eastAsia="仿宋" w:hAnsi="仿宋" w:cs="仿宋"/>
          <w:b/>
          <w:bCs/>
          <w:color w:val="FF0000"/>
          <w:sz w:val="32"/>
          <w:szCs w:val="40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具体流程：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案主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备人展示研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案</w:t>
      </w:r>
      <w:r>
        <w:rPr>
          <w:rFonts w:ascii="Arial" w:eastAsia="仿宋" w:hAnsi="Arial" w:cs="Arial"/>
          <w:b/>
          <w:bCs/>
          <w:color w:val="FF0000"/>
          <w:sz w:val="32"/>
          <w:szCs w:val="40"/>
        </w:rPr>
        <w:t>→</w:t>
      </w:r>
      <w:proofErr w:type="gramStart"/>
      <w:r>
        <w:rPr>
          <w:rFonts w:ascii="Arial" w:eastAsia="仿宋" w:hAnsi="Arial" w:cs="Arial" w:hint="eastAsia"/>
          <w:b/>
          <w:bCs/>
          <w:color w:val="FF0000"/>
          <w:sz w:val="32"/>
          <w:szCs w:val="40"/>
        </w:rPr>
        <w:t>研</w:t>
      </w:r>
      <w:proofErr w:type="gramEnd"/>
      <w:r>
        <w:rPr>
          <w:rFonts w:ascii="Arial" w:eastAsia="仿宋" w:hAnsi="Arial" w:cs="Arial" w:hint="eastAsia"/>
          <w:b/>
          <w:bCs/>
          <w:color w:val="FF0000"/>
          <w:sz w:val="32"/>
          <w:szCs w:val="40"/>
        </w:rPr>
        <w:t>案评议人研讨</w:t>
      </w:r>
      <w:r>
        <w:rPr>
          <w:rFonts w:ascii="Arial" w:eastAsia="仿宋" w:hAnsi="Arial" w:cs="Arial"/>
          <w:b/>
          <w:bCs/>
          <w:color w:val="FF0000"/>
          <w:sz w:val="32"/>
          <w:szCs w:val="40"/>
        </w:rPr>
        <w:t>→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案主</w:t>
      </w:r>
      <w:proofErr w:type="gramStart"/>
      <w:r>
        <w:rPr>
          <w:rFonts w:ascii="仿宋" w:eastAsia="仿宋" w:hAnsi="仿宋" w:cs="仿宋" w:hint="eastAsia"/>
          <w:b/>
          <w:bCs/>
          <w:color w:val="FF0000"/>
          <w:sz w:val="32"/>
          <w:szCs w:val="40"/>
        </w:rPr>
        <w:t>备人</w:t>
      </w:r>
      <w:r>
        <w:rPr>
          <w:rFonts w:ascii="Arial" w:eastAsia="仿宋" w:hAnsi="Arial" w:cs="Arial" w:hint="eastAsia"/>
          <w:b/>
          <w:bCs/>
          <w:color w:val="FF0000"/>
          <w:sz w:val="32"/>
          <w:szCs w:val="40"/>
        </w:rPr>
        <w:t>修改研</w:t>
      </w:r>
      <w:proofErr w:type="gramEnd"/>
      <w:r>
        <w:rPr>
          <w:rFonts w:ascii="Arial" w:eastAsia="仿宋" w:hAnsi="Arial" w:cs="Arial" w:hint="eastAsia"/>
          <w:b/>
          <w:bCs/>
          <w:color w:val="FF0000"/>
          <w:sz w:val="32"/>
          <w:szCs w:val="40"/>
        </w:rPr>
        <w:t>案</w:t>
      </w:r>
      <w:r>
        <w:rPr>
          <w:rFonts w:ascii="Arial" w:eastAsia="仿宋" w:hAnsi="Arial" w:cs="Arial"/>
          <w:b/>
          <w:bCs/>
          <w:color w:val="FF0000"/>
          <w:sz w:val="32"/>
          <w:szCs w:val="40"/>
        </w:rPr>
        <w:t>→</w:t>
      </w:r>
      <w:r>
        <w:rPr>
          <w:rFonts w:ascii="Arial" w:eastAsia="仿宋" w:hAnsi="Arial" w:cs="Arial" w:hint="eastAsia"/>
          <w:b/>
          <w:bCs/>
          <w:color w:val="FF0000"/>
          <w:sz w:val="32"/>
          <w:szCs w:val="40"/>
        </w:rPr>
        <w:t>形成通案</w:t>
      </w:r>
      <w:r>
        <w:rPr>
          <w:rFonts w:ascii="Arial" w:eastAsia="仿宋" w:hAnsi="Arial" w:cs="Arial"/>
          <w:b/>
          <w:bCs/>
          <w:color w:val="FF0000"/>
          <w:sz w:val="32"/>
          <w:szCs w:val="40"/>
        </w:rPr>
        <w:t>→</w:t>
      </w:r>
      <w:r>
        <w:rPr>
          <w:rFonts w:ascii="Arial" w:eastAsia="仿宋" w:hAnsi="Arial" w:cs="Arial" w:hint="eastAsia"/>
          <w:b/>
          <w:bCs/>
          <w:color w:val="FF0000"/>
          <w:sz w:val="32"/>
          <w:szCs w:val="40"/>
        </w:rPr>
        <w:t>上交记录表和</w:t>
      </w:r>
      <w:proofErr w:type="gramStart"/>
      <w:r>
        <w:rPr>
          <w:rFonts w:ascii="Arial" w:eastAsia="仿宋" w:hAnsi="Arial" w:cs="Arial" w:hint="eastAsia"/>
          <w:b/>
          <w:bCs/>
          <w:color w:val="FF0000"/>
          <w:sz w:val="32"/>
          <w:szCs w:val="40"/>
        </w:rPr>
        <w:t>研案</w:t>
      </w:r>
      <w:proofErr w:type="gramEnd"/>
      <w:r>
        <w:rPr>
          <w:rFonts w:ascii="Arial" w:eastAsia="仿宋" w:hAnsi="Arial" w:cs="Arial" w:hint="eastAsia"/>
          <w:b/>
          <w:bCs/>
          <w:color w:val="FF0000"/>
          <w:sz w:val="32"/>
          <w:szCs w:val="40"/>
        </w:rPr>
        <w:t>。</w:t>
      </w:r>
    </w:p>
    <w:p w:rsidR="003530D1" w:rsidRDefault="000B7141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五、明确职责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1、教导处职责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(1)协调安排各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备课组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的教研时间和地点。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(2)做好各项检查记录(每次检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査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备课组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教研情况，并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做好记录，定期检查教师“研案”和“通案”准备情况，确保不能耽误下周使用。)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(3)每周通过教学简报对“一课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”活动进行总结，每月进行阶段性总结，对出现的问题及时与各备课组长交流沟通，边做边改。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2、备课组长职责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(1)备课组长是“一课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”的直接责任人。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(2)要做好“一课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”的具体计划，确保教研活动高效进行。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(3)要根据教学内容的难易和教师的素质提前合理确定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案主备人和备课内容，并对主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备教师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进行相关指导。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(4)做好过程性跟踪，对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研案使用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过程中出现的问题要收集整理并整改，做到本项活动的开展科学、高效。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(5)组织“一课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”的具体实施，根据教师的不同进度调整通案的使用。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（6)负责印制本组教师的教学“研案”和“通案”，负责发放“研案”和“通案”模板，及时收集整理“研案”、“通案”、“学历案”及课件，作为学校的教学资源。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3、学科教师职责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(1)学科教师是“一课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”的参与者，要根据学校的统一安排，积极参与到教研活动中。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(2)作为教师要在备课组长的安排下认真研究教学内容，</w:t>
      </w:r>
      <w:r>
        <w:rPr>
          <w:rFonts w:ascii="仿宋" w:eastAsia="仿宋" w:hAnsi="仿宋" w:cs="仿宋" w:hint="eastAsia"/>
          <w:sz w:val="32"/>
          <w:szCs w:val="40"/>
        </w:rPr>
        <w:lastRenderedPageBreak/>
        <w:t>要根据教学内容和学生实际进行教学设计，确定合理的教学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(3)在“研备”活动时，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案评议人要认真做好辅助发言，积极参与发言，提供合理建议。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(4)对“通案”结合自己的教学实际进行精备，然后进行授课，并做好课堂教学反馈。</w:t>
      </w:r>
    </w:p>
    <w:p w:rsidR="003530D1" w:rsidRDefault="000B7141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六、实施要求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1.各学科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备课组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的“一课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”活动，应根据学校“一课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”活动安排表（附件），保质保量完成教研活动。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2.各学科教研（备课）组要及时开展“大教研”活动，作为“一课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”有效补充，以解决本学科教学中存在的共性问题，提高学科整体的教学水平。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3.学校领导班子成员要深入学科教研（备课）组指导“一课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”活动。</w:t>
      </w:r>
    </w:p>
    <w:p w:rsidR="003530D1" w:rsidRDefault="000B7141">
      <w:pPr>
        <w:ind w:firstLineChars="200" w:firstLine="640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七、考核办法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1.教导处每周对“一课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一研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”的开展情况进行督导检查。把检查结果进行量化赋分，纳入优秀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备课组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的评选依据。</w:t>
      </w:r>
    </w:p>
    <w:p w:rsidR="003530D1" w:rsidRDefault="000B7141">
      <w:pPr>
        <w:ind w:firstLineChars="200" w:firstLine="640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2、学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期末对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>开展好的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备课组</w:t>
      </w:r>
      <w:proofErr w:type="gramEnd"/>
      <w:r>
        <w:rPr>
          <w:rFonts w:ascii="仿宋" w:eastAsia="仿宋" w:hAnsi="仿宋" w:cs="仿宋" w:hint="eastAsia"/>
          <w:sz w:val="32"/>
          <w:szCs w:val="40"/>
        </w:rPr>
        <w:t xml:space="preserve">进行表彰奖励。                                      </w:t>
      </w:r>
    </w:p>
    <w:p w:rsidR="003530D1" w:rsidRDefault="003530D1">
      <w:pPr>
        <w:rPr>
          <w:rFonts w:ascii="仿宋" w:eastAsia="仿宋" w:hAnsi="仿宋" w:cs="仿宋"/>
          <w:sz w:val="32"/>
          <w:szCs w:val="40"/>
        </w:rPr>
      </w:pPr>
    </w:p>
    <w:p w:rsidR="003530D1" w:rsidRDefault="003530D1">
      <w:pPr>
        <w:rPr>
          <w:rFonts w:ascii="仿宋" w:eastAsia="仿宋" w:hAnsi="仿宋" w:cs="仿宋"/>
          <w:sz w:val="32"/>
          <w:szCs w:val="40"/>
        </w:rPr>
      </w:pPr>
    </w:p>
    <w:p w:rsidR="003530D1" w:rsidRDefault="00371A83">
      <w:pPr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</w:t>
      </w:r>
      <w:r>
        <w:rPr>
          <w:rFonts w:ascii="仿宋" w:eastAsia="仿宋" w:hAnsi="仿宋" w:cs="仿宋"/>
          <w:sz w:val="32"/>
          <w:szCs w:val="40"/>
        </w:rPr>
        <w:t xml:space="preserve">                   202</w:t>
      </w:r>
      <w:r w:rsidR="00280231">
        <w:rPr>
          <w:rFonts w:ascii="仿宋" w:eastAsia="仿宋" w:hAnsi="仿宋" w:cs="仿宋"/>
          <w:sz w:val="32"/>
          <w:szCs w:val="40"/>
        </w:rPr>
        <w:t>3</w:t>
      </w:r>
      <w:r>
        <w:rPr>
          <w:rFonts w:ascii="仿宋" w:eastAsia="仿宋" w:hAnsi="仿宋" w:cs="仿宋"/>
          <w:sz w:val="32"/>
          <w:szCs w:val="40"/>
        </w:rPr>
        <w:t>.9.1</w:t>
      </w:r>
    </w:p>
    <w:p w:rsidR="003530D1" w:rsidRDefault="003530D1">
      <w:pPr>
        <w:rPr>
          <w:rFonts w:ascii="仿宋" w:eastAsia="仿宋" w:hAnsi="仿宋" w:cs="仿宋"/>
          <w:sz w:val="32"/>
          <w:szCs w:val="40"/>
        </w:rPr>
      </w:pPr>
      <w:bookmarkStart w:id="0" w:name="_GoBack"/>
      <w:bookmarkEnd w:id="0"/>
    </w:p>
    <w:sectPr w:rsidR="003530D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2B" w:rsidRDefault="005F4D2B">
      <w:r>
        <w:separator/>
      </w:r>
    </w:p>
  </w:endnote>
  <w:endnote w:type="continuationSeparator" w:id="0">
    <w:p w:rsidR="005F4D2B" w:rsidRDefault="005F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D1" w:rsidRDefault="005F4D2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530D1" w:rsidRDefault="000B7141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3F5F34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2B" w:rsidRDefault="005F4D2B">
      <w:r>
        <w:separator/>
      </w:r>
    </w:p>
  </w:footnote>
  <w:footnote w:type="continuationSeparator" w:id="0">
    <w:p w:rsidR="005F4D2B" w:rsidRDefault="005F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C14835"/>
    <w:multiLevelType w:val="singleLevel"/>
    <w:tmpl w:val="86C1483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47D9"/>
    <w:rsid w:val="000252A5"/>
    <w:rsid w:val="0009473C"/>
    <w:rsid w:val="000A64A6"/>
    <w:rsid w:val="000B7141"/>
    <w:rsid w:val="000C05E8"/>
    <w:rsid w:val="000F5723"/>
    <w:rsid w:val="00177379"/>
    <w:rsid w:val="00244C51"/>
    <w:rsid w:val="00275BBB"/>
    <w:rsid w:val="00280231"/>
    <w:rsid w:val="00285626"/>
    <w:rsid w:val="00331DE9"/>
    <w:rsid w:val="003530D1"/>
    <w:rsid w:val="00371A83"/>
    <w:rsid w:val="003B706F"/>
    <w:rsid w:val="003F5F34"/>
    <w:rsid w:val="0047162B"/>
    <w:rsid w:val="004E6F46"/>
    <w:rsid w:val="00595ED6"/>
    <w:rsid w:val="005F4D2B"/>
    <w:rsid w:val="006556C5"/>
    <w:rsid w:val="007B47D9"/>
    <w:rsid w:val="009D4A1D"/>
    <w:rsid w:val="00AB155E"/>
    <w:rsid w:val="00BA05B2"/>
    <w:rsid w:val="00C563EF"/>
    <w:rsid w:val="00D028F5"/>
    <w:rsid w:val="00E86959"/>
    <w:rsid w:val="0179584C"/>
    <w:rsid w:val="03094D0C"/>
    <w:rsid w:val="03E23973"/>
    <w:rsid w:val="03F9483A"/>
    <w:rsid w:val="04D06C32"/>
    <w:rsid w:val="05FF526D"/>
    <w:rsid w:val="06061B0D"/>
    <w:rsid w:val="06E509D5"/>
    <w:rsid w:val="07A6602B"/>
    <w:rsid w:val="08CD6C8B"/>
    <w:rsid w:val="08E821B5"/>
    <w:rsid w:val="0A0D6381"/>
    <w:rsid w:val="0A5F1479"/>
    <w:rsid w:val="0A6C6413"/>
    <w:rsid w:val="0C143D1F"/>
    <w:rsid w:val="0EA71B85"/>
    <w:rsid w:val="1181266C"/>
    <w:rsid w:val="14834D3C"/>
    <w:rsid w:val="14CD09E1"/>
    <w:rsid w:val="15447EBD"/>
    <w:rsid w:val="15635B05"/>
    <w:rsid w:val="16536248"/>
    <w:rsid w:val="16746F1B"/>
    <w:rsid w:val="188B2594"/>
    <w:rsid w:val="19B96CF6"/>
    <w:rsid w:val="1CB10D2B"/>
    <w:rsid w:val="1EA10412"/>
    <w:rsid w:val="1EC84146"/>
    <w:rsid w:val="1F152B1F"/>
    <w:rsid w:val="1F72756F"/>
    <w:rsid w:val="20E94496"/>
    <w:rsid w:val="20FA1389"/>
    <w:rsid w:val="21D00C0E"/>
    <w:rsid w:val="228B00A2"/>
    <w:rsid w:val="23182E26"/>
    <w:rsid w:val="23AE0294"/>
    <w:rsid w:val="253D51C0"/>
    <w:rsid w:val="25BE7A7C"/>
    <w:rsid w:val="25C06A89"/>
    <w:rsid w:val="26244D38"/>
    <w:rsid w:val="26583D29"/>
    <w:rsid w:val="26D23D7A"/>
    <w:rsid w:val="27FE4FE1"/>
    <w:rsid w:val="28DA6E6A"/>
    <w:rsid w:val="29DE2769"/>
    <w:rsid w:val="2A4E12B4"/>
    <w:rsid w:val="2AFA69DD"/>
    <w:rsid w:val="2C5520C7"/>
    <w:rsid w:val="2D615A6F"/>
    <w:rsid w:val="2E272012"/>
    <w:rsid w:val="2F206EC3"/>
    <w:rsid w:val="31B62794"/>
    <w:rsid w:val="325B31C7"/>
    <w:rsid w:val="332B53ED"/>
    <w:rsid w:val="35C972FC"/>
    <w:rsid w:val="37F97BB7"/>
    <w:rsid w:val="381C383F"/>
    <w:rsid w:val="38C45A28"/>
    <w:rsid w:val="38CE417F"/>
    <w:rsid w:val="399A0AF0"/>
    <w:rsid w:val="39D42AE9"/>
    <w:rsid w:val="3C715891"/>
    <w:rsid w:val="3F0305A5"/>
    <w:rsid w:val="40921CE9"/>
    <w:rsid w:val="41BE14C5"/>
    <w:rsid w:val="42B12846"/>
    <w:rsid w:val="42E3749D"/>
    <w:rsid w:val="43A92201"/>
    <w:rsid w:val="44B719A2"/>
    <w:rsid w:val="458D6F82"/>
    <w:rsid w:val="475B594D"/>
    <w:rsid w:val="477C6AFA"/>
    <w:rsid w:val="47E20237"/>
    <w:rsid w:val="494C29E7"/>
    <w:rsid w:val="4B3F6CE9"/>
    <w:rsid w:val="4B9932E0"/>
    <w:rsid w:val="4BDB689E"/>
    <w:rsid w:val="4BF94BC6"/>
    <w:rsid w:val="4C197D2F"/>
    <w:rsid w:val="501A3BB6"/>
    <w:rsid w:val="50627C3E"/>
    <w:rsid w:val="506C3622"/>
    <w:rsid w:val="5394566E"/>
    <w:rsid w:val="53FA0351"/>
    <w:rsid w:val="54F54EBD"/>
    <w:rsid w:val="55B03EB7"/>
    <w:rsid w:val="574F158A"/>
    <w:rsid w:val="5C5D0AAA"/>
    <w:rsid w:val="5E65287A"/>
    <w:rsid w:val="625661A3"/>
    <w:rsid w:val="64085976"/>
    <w:rsid w:val="66D421CC"/>
    <w:rsid w:val="68CA6CCD"/>
    <w:rsid w:val="6B315A9C"/>
    <w:rsid w:val="6BFA15C1"/>
    <w:rsid w:val="6E737FC6"/>
    <w:rsid w:val="712B6B2C"/>
    <w:rsid w:val="71740363"/>
    <w:rsid w:val="726A21E1"/>
    <w:rsid w:val="738924A5"/>
    <w:rsid w:val="748B27BF"/>
    <w:rsid w:val="74B36E7E"/>
    <w:rsid w:val="766E49B4"/>
    <w:rsid w:val="776551B8"/>
    <w:rsid w:val="7B6672F0"/>
    <w:rsid w:val="7C566B39"/>
    <w:rsid w:val="7EF5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CFCD8308-28D7-46B0-AC7B-403D8501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139"/>
      <w:ind w:left="120"/>
      <w:outlineLvl w:val="0"/>
    </w:pPr>
    <w:rPr>
      <w:rFonts w:ascii="宋体" w:eastAsia="宋体" w:hAnsi="宋体" w:cs="宋体"/>
      <w:b/>
      <w:bCs/>
      <w:sz w:val="28"/>
      <w:szCs w:val="28"/>
      <w:lang w:val="zh-CN" w:bidi="zh-CN"/>
    </w:rPr>
  </w:style>
  <w:style w:type="paragraph" w:styleId="3">
    <w:name w:val="heading 3"/>
    <w:basedOn w:val="a"/>
    <w:next w:val="a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35"/>
      <w:ind w:left="120" w:right="357"/>
    </w:pPr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NormalCharacter">
    <w:name w:val="NormalCharacter"/>
    <w:qFormat/>
  </w:style>
  <w:style w:type="paragraph" w:customStyle="1" w:styleId="0">
    <w:name w:val="0"/>
    <w:basedOn w:val="a"/>
    <w:qFormat/>
    <w:pPr>
      <w:widowControl/>
      <w:snapToGrid w:val="0"/>
    </w:pPr>
    <w:rPr>
      <w:kern w:val="0"/>
      <w:sz w:val="20"/>
      <w:szCs w:val="20"/>
    </w:rPr>
  </w:style>
  <w:style w:type="paragraph" w:styleId="aa">
    <w:name w:val="List Paragraph"/>
    <w:basedOn w:val="a"/>
    <w:uiPriority w:val="1"/>
    <w:qFormat/>
    <w:pPr>
      <w:spacing w:before="4"/>
      <w:ind w:left="120" w:right="357"/>
    </w:pPr>
    <w:rPr>
      <w:rFonts w:ascii="宋体" w:eastAsia="宋体" w:hAnsi="宋体" w:cs="宋体"/>
      <w:lang w:val="zh-CN" w:bidi="zh-CN"/>
    </w:rPr>
  </w:style>
  <w:style w:type="paragraph" w:customStyle="1" w:styleId="p16">
    <w:name w:val="p16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15"/>
    <w:qFormat/>
    <w:rPr>
      <w:rFonts w:ascii="Times New Roman" w:hAnsi="Times New Roman" w:cs="Times New Roman" w:hint="default"/>
      <w:b/>
      <w:bCs/>
      <w:sz w:val="20"/>
      <w:szCs w:val="20"/>
    </w:rPr>
  </w:style>
  <w:style w:type="paragraph" w:styleId="ab">
    <w:name w:val="Balloon Text"/>
    <w:basedOn w:val="a"/>
    <w:link w:val="Char"/>
    <w:uiPriority w:val="99"/>
    <w:semiHidden/>
    <w:unhideWhenUsed/>
    <w:rsid w:val="00371A83"/>
    <w:rPr>
      <w:sz w:val="18"/>
      <w:szCs w:val="18"/>
    </w:rPr>
  </w:style>
  <w:style w:type="character" w:customStyle="1" w:styleId="Char">
    <w:name w:val="批注框文本 Char"/>
    <w:basedOn w:val="a0"/>
    <w:link w:val="ab"/>
    <w:uiPriority w:val="99"/>
    <w:semiHidden/>
    <w:rsid w:val="00371A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ZHOU</cp:lastModifiedBy>
  <cp:revision>13</cp:revision>
  <cp:lastPrinted>2022-12-08T06:10:00Z</cp:lastPrinted>
  <dcterms:created xsi:type="dcterms:W3CDTF">2020-09-07T01:13:00Z</dcterms:created>
  <dcterms:modified xsi:type="dcterms:W3CDTF">2023-09-04T00:23:00Z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2E6EBBFF7DEA4F18BBCC82BB21FF7E41</vt:lpwstr>
  </property>
</Properties>
</file>