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0189B">
      <w:pPr>
        <w:pStyle w:val="7"/>
        <w:jc w:val="center"/>
        <w:rPr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34"/>
          <w:sz w:val="96"/>
          <w:szCs w:val="96"/>
          <w:lang w:val="en-US" w:eastAsia="zh-CN"/>
        </w:rPr>
        <w:t>滕州市第十一中学</w:t>
      </w:r>
    </w:p>
    <w:p w14:paraId="183BC8C3"/>
    <w:p w14:paraId="15E62BBF"/>
    <w:p w14:paraId="18C82CF0">
      <w:pPr>
        <w:rPr>
          <w:rFonts w:ascii="Arial"/>
          <w:sz w:val="21"/>
        </w:rPr>
      </w:pPr>
      <w:r>
        <w:rPr>
          <w:rFonts w:hint="default" w:ascii="方正小标宋简体" w:hAnsi="方正小标宋简体" w:eastAsia="方正小标宋简体" w:cs="方正小标宋简体"/>
          <w:color w:val="FF0000"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53975</wp:posOffset>
                </wp:positionV>
                <wp:extent cx="5612765" cy="14605"/>
                <wp:effectExtent l="0" t="15875" r="6985" b="266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765" cy="1460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05pt;margin-top:4.25pt;height:1.15pt;width:441.95pt;z-index:251659264;mso-width-relative:page;mso-height-relative:page;" filled="f" stroked="t" coordsize="21600,21600" o:gfxdata="UEsDBAoAAAAAAIdO4kAAAAAAAAAAAAAAAAAEAAAAZHJzL1BLAwQUAAAACACHTuJAQxIqwdcAAAAI&#10;AQAADwAAAGRycy9kb3ducmV2LnhtbE2PTUvEMBCG74L/IYzgRXaTViyhNl0WQRB6ENc9eEybsS02&#10;k9JkP9xf73jS4/A+vPO81ebsJ3HEJY6BDGRrBQKpC26k3sD+/XmlQcRkydkpEBr4xgib+vqqsqUL&#10;J3rD4y71gksoltbAkNJcShm7Ab2N6zAjcfYZFm8Tn0sv3WJPXO4nmStVSG9H4g+DnfFpwO5rd/AG&#10;7uxHsdUxy114bdrLi2/2l21jzO1Nph5BJDynPxh+9VkdanZqw4FcFJOBVa4yRg3oBxCc6+Kep7QM&#10;Kg2yruT/AfUPUEsDBBQAAAAIAIdO4kD6RZBG3gEAAJ8DAAAOAAAAZHJzL2Uyb0RvYy54bWytU8uO&#10;0zAU3SPxD5b3NEmhHRQ1ncVUZYOgEvABrmMnlvySr6dpf4IfQGIHK5bs+RtmPoNrJ3QebGZBFs71&#10;fRzfc3y9ujwaTQ4igHK2odWspERY7lplu4Z++rh98ZoSiMy2TDsrGnoSQC/Xz5+tBl+LueudbkUg&#10;CGKhHnxD+xh9XRTAe2EYzJwXFoPSBcMibkNXtIENiG50MS/LZTG40PrguABA72YM0gkxPAXQSam4&#10;2Dh+bYSNI2oQmkWkBL3yQNe5WykFj++lBBGJbigyjXnFQ9Dep7VYr1jdBeZ7xacW2FNaeMTJMGXx&#10;0DPUhkVGroP6B8ooHhw4GWfcmWIkkhVBFlX5SJsPPfMic0GpwZ9Fh/8Hy98ddoGoFieBEssMXvjN&#10;l5+/P3+7/fUV15sf30mVRBo81Jh7ZXdh2oHfhcT4KINJf+RCjlnY01lYcYyEo3OxrOYXywUlHGPV&#10;q2W5SJjFXbEPEN8IZ0gyGqqVTbxZzQ5vIY6pf1OS27qt0hr9rNaWDA19WV0s8Eo5w4GUOAhoGo+k&#10;wHaUMN3hpPMYMiQ4rdpUnqohdPsrHciB4XxstyV+U2cP0tLZGwb9mJdDU5q2yCOJM8qRrL1rT1ml&#10;7Md7y0ynGUuDcX+fq+/e1f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xIqwdcAAAAIAQAADwAA&#10;AAAAAAABACAAAAAiAAAAZHJzL2Rvd25yZXYueG1sUEsBAhQAFAAAAAgAh07iQPpFkEbeAQAAnwMA&#10;AA4AAAAAAAAAAQAgAAAAJgEAAGRycy9lMm9Eb2MueG1sUEsFBgAAAAAGAAYAWQEAAHYFAAAAAA==&#10;">
                <v:fill on="f" focussize="0,0"/>
                <v:stroke weight="2.5pt" color="#FF0000 [3208]" joinstyle="round"/>
                <v:imagedata o:title=""/>
                <o:lock v:ext="edit" aspectratio="f"/>
              </v:line>
            </w:pict>
          </mc:Fallback>
        </mc:AlternateContent>
      </w:r>
    </w:p>
    <w:p w14:paraId="3EE37F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Arial"/>
          <w:sz w:val="21"/>
        </w:rPr>
      </w:pPr>
    </w:p>
    <w:p w14:paraId="0D1C77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36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5"/>
          <w:szCs w:val="4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5"/>
          <w:szCs w:val="45"/>
        </w:rPr>
        <w:t>关于“青蓝工程”青年教师汇报课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5"/>
          <w:szCs w:val="45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5"/>
          <w:szCs w:val="45"/>
          <w:lang w:val="en-US" w:eastAsia="zh-CN"/>
        </w:rPr>
        <w:t>第二期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5"/>
          <w:szCs w:val="45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5"/>
          <w:szCs w:val="45"/>
          <w:lang w:val="en-US" w:eastAsia="zh-CN"/>
        </w:rPr>
        <w:t>暨新课堂达标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5"/>
          <w:szCs w:val="45"/>
        </w:rPr>
        <w:t>实施方案</w:t>
      </w:r>
    </w:p>
    <w:bookmarkEnd w:id="0"/>
    <w:p w14:paraId="551D62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9" w:right="100" w:firstLine="629"/>
        <w:jc w:val="both"/>
        <w:textAlignment w:val="baseline"/>
        <w:rPr>
          <w:spacing w:val="-1"/>
        </w:rPr>
      </w:pPr>
    </w:p>
    <w:p w14:paraId="2C8100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为切实推进“青蓝工程”，检验青年教师阶段性培养成果，搭建展示、交流与提升平台，促进青年教师专业快速成长，特制定本汇报课实施方案。</w:t>
      </w:r>
    </w:p>
    <w:p w14:paraId="0D661A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44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一、指导思想</w:t>
      </w:r>
    </w:p>
    <w:p w14:paraId="7B32FE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9" w:right="100" w:firstLine="629"/>
        <w:jc w:val="both"/>
        <w:textAlignment w:val="baseline"/>
        <w:rPr>
          <w:sz w:val="32"/>
          <w:szCs w:val="32"/>
        </w:rPr>
      </w:pPr>
      <w:r>
        <w:rPr>
          <w:spacing w:val="-8"/>
          <w:sz w:val="32"/>
          <w:szCs w:val="32"/>
        </w:rPr>
        <w:t>以新时代教师队伍建设要求为指引，依托“青蓝工程”师徒结对</w:t>
      </w:r>
      <w:r>
        <w:rPr>
          <w:spacing w:val="1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机制，通过汇报课活动，检验“传、帮、带”成效，锤炼青年教</w:t>
      </w:r>
      <w:r>
        <w:rPr>
          <w:spacing w:val="-6"/>
          <w:sz w:val="32"/>
          <w:szCs w:val="32"/>
        </w:rPr>
        <w:t>师教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学基本功，深化课堂教学改革，营造潜心教学、互学共进的教研氛</w:t>
      </w:r>
      <w:r>
        <w:rPr>
          <w:spacing w:val="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围，助力学校教师队伍梯队建设以及教育教学质量的持续提高。</w:t>
      </w:r>
    </w:p>
    <w:p w14:paraId="79ADFA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44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4"/>
          <w:sz w:val="32"/>
          <w:szCs w:val="32"/>
        </w:rPr>
        <w:t>二、活动目标</w:t>
      </w:r>
    </w:p>
    <w:p w14:paraId="5ED488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5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为青年教师提供展示个人教学风格、教学技能以及成长进步的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平台。通过备课、磨课、上课、评课的完整过程，提升青年教师的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教学设计、课堂组织、教学实施与反思能力。以课例研究为切入点，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聚焦真实课堂问题，推动学科教研组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师徒结对小组开展深入研讨，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提高教研实效。通过多元评价与反馈，</w:t>
      </w:r>
      <w:r>
        <w:rPr>
          <w:rFonts w:hint="eastAsia" w:ascii="仿宋_GB2312" w:hAnsi="仿宋_GB2312" w:eastAsia="仿宋_GB2312" w:cs="仿宋_GB2312"/>
          <w:sz w:val="32"/>
          <w:szCs w:val="32"/>
        </w:rPr>
        <w:t>帮助青年教师明确自身优势 与不足，确定后续专业发展方向，加速其专业成长进程。</w:t>
      </w:r>
    </w:p>
    <w:p w14:paraId="1AA099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三、参与对象</w:t>
      </w:r>
    </w:p>
    <w:p w14:paraId="5C43EF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本校“青蓝工程”中所有处于培养期的青年教师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徒弟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006FFD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4"/>
        <w:textAlignment w:val="baseline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7"/>
          <w:sz w:val="32"/>
          <w:szCs w:val="32"/>
        </w:rPr>
        <w:t>四、活动时间与地点</w:t>
      </w:r>
    </w:p>
    <w:p w14:paraId="3C7108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716" w:firstLineChars="200"/>
        <w:textAlignment w:val="baseline"/>
        <w:rPr>
          <w:rFonts w:hint="eastAsia" w:eastAsia="仿宋"/>
          <w:sz w:val="32"/>
          <w:szCs w:val="32"/>
          <w:lang w:val="en-US" w:eastAsia="zh-CN"/>
        </w:rPr>
      </w:pPr>
      <w:r>
        <w:rPr>
          <w:spacing w:val="19"/>
          <w:sz w:val="32"/>
          <w:szCs w:val="32"/>
        </w:rPr>
        <w:t>202</w:t>
      </w:r>
      <w:r>
        <w:rPr>
          <w:rFonts w:hint="eastAsia"/>
          <w:spacing w:val="19"/>
          <w:sz w:val="32"/>
          <w:szCs w:val="32"/>
          <w:lang w:val="en-US" w:eastAsia="zh-CN"/>
        </w:rPr>
        <w:t>6</w:t>
      </w:r>
      <w:r>
        <w:rPr>
          <w:spacing w:val="19"/>
          <w:sz w:val="32"/>
          <w:szCs w:val="32"/>
        </w:rPr>
        <w:t>年</w:t>
      </w:r>
      <w:r>
        <w:rPr>
          <w:rFonts w:hint="eastAsia"/>
          <w:spacing w:val="19"/>
          <w:sz w:val="32"/>
          <w:szCs w:val="32"/>
          <w:lang w:val="en-US" w:eastAsia="zh-CN"/>
        </w:rPr>
        <w:t>4</w:t>
      </w:r>
      <w:r>
        <w:rPr>
          <w:spacing w:val="19"/>
          <w:sz w:val="32"/>
          <w:szCs w:val="32"/>
        </w:rPr>
        <w:t>月中上旬</w:t>
      </w:r>
      <w:r>
        <w:rPr>
          <w:rFonts w:hint="eastAsia"/>
          <w:spacing w:val="19"/>
          <w:sz w:val="32"/>
          <w:szCs w:val="32"/>
          <w:lang w:val="en-US" w:eastAsia="zh-CN"/>
        </w:rPr>
        <w:t>开始，所有汇报课教师在</w:t>
      </w:r>
      <w:r>
        <w:rPr>
          <w:spacing w:val="19"/>
          <w:sz w:val="32"/>
          <w:szCs w:val="32"/>
        </w:rPr>
        <w:t>四楼会议室</w:t>
      </w:r>
      <w:r>
        <w:rPr>
          <w:rFonts w:hint="eastAsia"/>
          <w:spacing w:val="19"/>
          <w:sz w:val="32"/>
          <w:szCs w:val="32"/>
          <w:lang w:val="en-US" w:eastAsia="zh-CN"/>
        </w:rPr>
        <w:t>展示。</w:t>
      </w:r>
    </w:p>
    <w:p w14:paraId="1E9FF6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4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15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总体要求</w:t>
      </w:r>
    </w:p>
    <w:p w14:paraId="0E884D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3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学科教研组、师徒结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对小组召开动员会议，青年教师与指导教师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师傅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共同商定汇报课课题、授课班级以及初步构想。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青年教师围绕选定课题，深入研读课程标准、教材以及学生学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情，完成初步教学设计。指导教师对青年教师的教学设计进行审核，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提出修改意见。师徒双方共同聚焦目标设定、重难点突破、活动设 计、评价反馈等关键环节进行精细化打磨。鼓励在学科备课组内进 行说课或试讲，汇聚集体智慧，优化教学设计。</w:t>
      </w:r>
    </w:p>
    <w:p w14:paraId="22D972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01" w:firstLine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青年教师展示课原则上共分为三个部分，分别是新授展示课、试卷讲评展示课、复习展示课。活动时间分别在4月上旬、4月底、6月初。由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教导处统一协调安排汇报课的具体时间和地点。青年教师按照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计划进行公开汇报授课。</w:t>
      </w:r>
    </w:p>
    <w:p w14:paraId="074D25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90" w:firstLine="62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青年教师及时进行课后反思，并撰写教学反思报告。指导教师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对所指导的青年教师的汇报课进行全面、细致的评价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相关学科教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研组组织召开专题评课会议，采用“授课人说课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听课人议课”的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方式，开展坦诚、深入的研讨。评议重点在于发掘亮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点、诊断问题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并提出改进建议。</w:t>
      </w:r>
    </w:p>
    <w:p w14:paraId="01FCF6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9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综合评价：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由评议小组结合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学历案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设计、课堂表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现、教学效果、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教学反思等方面，对每位青年教师的汇报课进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行综合评估。</w:t>
      </w:r>
    </w:p>
    <w:p w14:paraId="24BB06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63" w:firstLine="699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委：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张  文、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刘才德、梁斌、孔令藤、吕瑞华孙振伟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张忠建、李修平、张悦佳、刘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洋、孙延喜、王瑞云、许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斌、樊明凯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、王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宜爱、王玉玉</w:t>
      </w:r>
    </w:p>
    <w:p w14:paraId="743EF6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19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eastAsia="zh-CN"/>
        </w:rPr>
        <w:t>六、总结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与表彰</w:t>
      </w:r>
    </w:p>
    <w:p w14:paraId="3D78C7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74" w:firstLine="63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教导处汇总活动材料，包括教案、课件、评课记录、反思报告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待相关工作完成后，形成完整的活动档案。召开总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结表彰大会，对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表现卓越的青年教师以及指导成效显著的指导教师进行表彰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及物质奖励。</w:t>
      </w:r>
    </w:p>
    <w:p w14:paraId="16A0EF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44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评价与激励</w:t>
      </w:r>
    </w:p>
    <w:p w14:paraId="4500FF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评价内容：涵盖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教学理念、教学目标、教学内容、教学过程、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教学方法、教师素养、学生活动、教学效果以及教学特色等方面。</w:t>
      </w:r>
    </w:p>
    <w:p w14:paraId="5CD6BE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73" w:firstLine="63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激励措施：设立“教学新秀奖”“优秀指导教师奖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”等，并颁发荣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誉证书。优秀课例可作为推荐至校级以上公开课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竞赛课的参考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依据。</w:t>
      </w:r>
    </w:p>
    <w:p w14:paraId="47C0CD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44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</w:rPr>
        <w:t>保障措施：</w:t>
      </w:r>
    </w:p>
    <w:p w14:paraId="7B7E17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44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组织保障：</w:t>
      </w:r>
    </w:p>
    <w:p w14:paraId="1BEE96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4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0" w:h="16830"/>
          <w:pgMar w:top="1701" w:right="1587" w:bottom="1587" w:left="1587" w:header="0" w:footer="1128" w:gutter="0"/>
          <w:cols w:space="720" w:num="1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领导小组：</w:t>
      </w:r>
    </w:p>
    <w:p w14:paraId="5AE893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BB75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胡修伟</w:t>
      </w:r>
    </w:p>
    <w:p w14:paraId="7A4E35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波、吴成立、时荣生、王洪岩</w:t>
      </w:r>
    </w:p>
    <w:p w14:paraId="6A5D69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工作小组：</w:t>
      </w:r>
    </w:p>
    <w:p w14:paraId="273DC2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吴成立</w:t>
      </w:r>
    </w:p>
    <w:p w14:paraId="6CA291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14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张光强、唐钦杭、曾春松、苏静、张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文、</w:t>
      </w:r>
    </w:p>
    <w:p w14:paraId="6A849F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14"/>
        <w:textAlignment w:val="baseline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刘才德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、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斌、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孔令藤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吕瑞华、孙振伟、张忠建</w:t>
      </w:r>
    </w:p>
    <w:p w14:paraId="15BF6C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70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李修平、张悦佳、刘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洋</w:t>
      </w:r>
    </w:p>
    <w:p w14:paraId="0B52B9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09" w:firstLine="6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13"/>
          <w:sz w:val="32"/>
          <w:szCs w:val="32"/>
        </w:rPr>
        <w:t>专业保障：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充分发挥指导教师、教研组长、骨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干教师的专业引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领效能，确保磨课、评课工作高质量开展。</w:t>
      </w:r>
    </w:p>
    <w:p w14:paraId="7238CC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9" w:firstLine="6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5"/>
          <w:sz w:val="32"/>
          <w:szCs w:val="32"/>
        </w:rPr>
        <w:t>服务保障：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教导处、信息技术部门等做好课程安排、场地协调、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设备调试等各项服务支持工作。</w:t>
      </w:r>
    </w:p>
    <w:p w14:paraId="32BF7B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5" w:firstLine="6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12"/>
          <w:sz w:val="32"/>
          <w:szCs w:val="32"/>
        </w:rPr>
        <w:t>宣传保障：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利用校园网、宣传栏等渠道广泛宣传活动成果，营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造积极向上的校园氛围。</w:t>
      </w:r>
    </w:p>
    <w:p w14:paraId="4E1D28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5959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</w:rPr>
      </w:pPr>
    </w:p>
    <w:p w14:paraId="70568E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滕州市第十一中学</w:t>
      </w:r>
    </w:p>
    <w:p w14:paraId="629C43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549"/>
        <w:textAlignment w:val="baseline"/>
        <w:rPr>
          <w:rFonts w:hint="eastAsia" w:ascii="仿宋_GB2312" w:hAnsi="仿宋_GB2312" w:eastAsia="仿宋_GB2312" w:cs="仿宋_GB2312"/>
          <w:spacing w:val="3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>日</w:t>
      </w:r>
    </w:p>
    <w:p w14:paraId="2BE6AF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7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9"/>
          <w:sz w:val="32"/>
          <w:szCs w:val="32"/>
        </w:rPr>
      </w:pPr>
    </w:p>
    <w:sectPr>
      <w:footerReference r:id="rId6" w:type="default"/>
      <w:pgSz w:w="11900" w:h="16830"/>
      <w:pgMar w:top="1430" w:right="1395" w:bottom="1634" w:left="1589" w:header="0" w:footer="11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A2125">
    <w:pPr>
      <w:spacing w:before="1" w:line="234" w:lineRule="auto"/>
      <w:ind w:left="7590"/>
      <w:rPr>
        <w:rFonts w:ascii="宋体" w:hAnsi="宋体" w:eastAsia="宋体" w:cs="宋体"/>
        <w:sz w:val="39"/>
        <w:szCs w:val="3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A985B">
    <w:pPr>
      <w:spacing w:line="236" w:lineRule="auto"/>
      <w:rPr>
        <w:rFonts w:ascii="宋体" w:hAnsi="宋体" w:eastAsia="宋体" w:cs="宋体"/>
        <w:sz w:val="39"/>
        <w:szCs w:val="3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CC596F"/>
    <w:rsid w:val="24181D80"/>
    <w:rsid w:val="32B76CD1"/>
    <w:rsid w:val="4AA03036"/>
    <w:rsid w:val="5C182296"/>
    <w:rsid w:val="5DE27796"/>
    <w:rsid w:val="62CE708B"/>
    <w:rsid w:val="6A006624"/>
    <w:rsid w:val="6B8D2F01"/>
    <w:rsid w:val="6CE8198E"/>
    <w:rsid w:val="6DC14958"/>
    <w:rsid w:val="7C23124E"/>
    <w:rsid w:val="7C272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e77bf1c6-0402-44ad-9d98-76eb41805f60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5C43EFA0</paraID>
      <start>21</start>
      <end>22</end>
      <status>modified</status>
      <modifiedWord>（</modifiedWord>
      <trackRevisions>false</trackRevisions>
    </reviewItem>
    <reviewItem>
      <errorID>ed2295e3-c5e0-4029-8de9-ab3dccb61998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5C43EFA0</paraID>
      <start>24</start>
      <end>25</end>
      <status>modified</status>
      <modifiedWord>）</modifiedWord>
      <trackRevisions>false</trackRevisions>
    </reviewItem>
    <reviewItem>
      <errorID>08f410d9-fbbe-4d16-9ac7-313f4006a49d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 6FFD65</paraID>
      <start>1</start>
      <end>1</end>
      <status>modified</status>
      <modifiedWord/>
      <trackRevisions>false</trackRevisions>
    </reviewItem>
    <reviewItem>
      <errorID>cac4fa61-4e2b-4a4b-ba08-772bff1a41b0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E884DBC</paraID>
      <start>31</start>
      <end>32</end>
      <status>modified</status>
      <modifiedWord>（</modifiedWord>
      <trackRevisions>false</trackRevisions>
    </reviewItem>
    <reviewItem>
      <errorID>ef305f1b-c910-47df-a75e-4aa88a5ddd6a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E884DBC</paraID>
      <start>34</start>
      <end>35</end>
      <status>modified</status>
      <modifiedWord>）</modifiedWord>
      <trackRevisions>false</trackRevisions>
    </reviewItem>
    <reviewItem>
      <errorID>68e27c82-d599-4709-b6ce-29698dbf41ab</errorID>
      <errorWord>月初进行</errorWord>
      <group>L1_Grammar</group>
      <groupName>语法问题</groupName>
      <ability>L2_Grammar</ability>
      <abilityName>语法错误</abilityName>
      <candidateList>
        <item>月初</item>
      </candidateList>
      <explain/>
      <paraID>22D972FE</paraID>
      <start>58</start>
      <end>60</end>
      <status>modified</status>
      <modifiedWord>月初</modifiedWord>
      <trackRevisions>false</trackRevisions>
    </reviewItem>
    <reviewItem>
      <errorID>784c0290-cda0-4f95-b26a-0e0f2a0769aa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74D25A2</paraID>
      <start>79</start>
      <end>80</end>
      <status>modified</status>
      <modifiedWord>－</modifiedWord>
      <trackRevisions>false</trackRevisions>
    </reviewItem>
    <reviewItem>
      <errorID>bff94079-36b7-420d-b437-8e4ce1958f22</errorID>
      <errorWord>总结</errorWord>
      <group>L1_Format</group>
      <groupName>格式问题</groupName>
      <ability>L2_Ordinal</ability>
      <abilityName>序号格式</abilityName>
      <candidateList>
        <item>六、总结</item>
      </candidateList>
      <explain>标题顺序错误，请检查标题顺序是否合理。</explain>
      <paraID>743EF645</paraID>
      <start>0</start>
      <end>4</end>
      <status>modified</status>
      <modifiedWord>六、总结</modifiedWord>
      <trackRevisions>false</trackRevisions>
    </reviewItem>
    <reviewItem>
      <errorID>08a8668a-8efe-4594-8c29-d5ece7f14710</errorID>
      <errorWord> </errorWord>
      <group>L1_Punc</group>
      <groupName>标点问题</groupName>
      <ability>L2_Punc</ability>
      <abilityName>标点符号检查</abilityName>
      <candidateList>
        <item>。</item>
      </candidateList>
      <explain/>
      <paraID>3D78C721</paraID>
      <start>27</start>
      <end>28</end>
      <status>modified</status>
      <modifiedWord>。</modifiedWord>
      <trackRevisions>false</trackRevisions>
    </reviewItem>
    <reviewItem>
      <errorID>20a92256-08c4-41a0-975e-d3a4bcca0d8f</errorID>
      <errorWord>物资奖励</errorWord>
      <group>L1_Word</group>
      <groupName>字词问题</groupName>
      <ability>L2_Typo</ability>
      <abilityName>字词错误</abilityName>
      <candidateList>
        <item>物质奖励</item>
      </candidateList>
      <explain/>
      <paraID>3D78C721</paraID>
      <start>85</start>
      <end>89</end>
      <status>modified</status>
      <modifiedWord>物质奖励</modifiedWord>
      <trackRevisions>false</trackRevisions>
    </reviewItem>
    <reviewItem>
      <errorID>10a25809-ef9f-458a-b5db-8420b48cd35c</errorID>
      <errorWord>六、</errorWord>
      <group>L1_Format</group>
      <groupName>格式问题</groupName>
      <ability>L2_Ordinal</ability>
      <abilityName>序号格式</abilityName>
      <candidateList>
        <item>七、</item>
      </candidateList>
      <explain>标题顺序错误，请检查标题顺序是否合理。</explain>
      <paraID>16A0EF0E</paraID>
      <start>0</start>
      <end>2</end>
      <status>modified</status>
      <modifiedWord>七、</modifiedWord>
      <trackRevisions>false</trackRevisions>
    </reviewItem>
    <reviewItem>
      <errorID>955ac7d0-403a-4166-b58a-a9a57cc0c155</errorID>
      <errorWord>七、</errorWord>
      <group>L1_Format</group>
      <groupName>格式问题</groupName>
      <ability>L2_Ordinal</ability>
      <abilityName>序号格式</abilityName>
      <candidateList>
        <item>八、</item>
      </candidateList>
      <explain>标题顺序错误，请检查标题顺序是否合理。</explain>
      <paraID>47C0CDD8</paraID>
      <start>0</start>
      <end>2</end>
      <status>modified</status>
      <modifiedWord>八、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c0619-27ef-4185-bbfb-5c0b89496d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1468</Words>
  <Characters>1475</Characters>
  <TotalTime>2</TotalTime>
  <ScaleCrop>false</ScaleCrop>
  <LinksUpToDate>false</LinksUpToDate>
  <CharactersWithSpaces>1513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2025-12-08T08:13:00Z</dcterms:created>
  <dc:creator>曾靖皓</dc:creator>
  <cp:lastModifiedBy>梵净山</cp:lastModifiedBy>
  <cp:lastPrinted>2026-02-02T03:09:00Z</cp:lastPrinted>
  <dcterms:modified xsi:type="dcterms:W3CDTF">2026-04-26T08:16:09Z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2025-12-08T08:13:14Z</vt:filetime>
  </property>
  <property fmtid="{D5CDD505-2E9C-101B-9397-08002B2CF9AE}" pid="4" name="UsrData">
    <vt:lpwstr>69361818f4e5d9001feea287wl</vt:lpwstr>
  </property>
  <property fmtid="{D5CDD505-2E9C-101B-9397-08002B2CF9AE}" pid="5" name="KSOTemplateDocerSaveRecord">
    <vt:lpwstr>eyJoZGlkIjoiMTU1MmE2YWFhMzE5N2RmY2U2MzZmZTJiNTI4NDI0MDYiLCJ1c2VySWQiOiI0NTcyODM1NjQifQ==</vt:lpwstr>
  </property>
  <property fmtid="{D5CDD505-2E9C-101B-9397-08002B2CF9AE}" pid="6" name="KSOProductBuildVer">
    <vt:lpwstr>2052-12.1.0.25865</vt:lpwstr>
  </property>
  <property fmtid="{D5CDD505-2E9C-101B-9397-08002B2CF9AE}" pid="7" name="ICV">
    <vt:lpwstr>EC31964CE5A04DCAA3AB775DE44C00E4_13</vt:lpwstr>
  </property>
</Properties>
</file>