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5AE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94" w:lineRule="atLeast"/>
        <w:ind w:left="0" w:right="0" w:firstLine="0"/>
        <w:jc w:val="center"/>
        <w:rPr>
          <w:rFonts w:ascii="微软雅黑" w:hAnsi="微软雅黑" w:eastAsia="微软雅黑" w:cs="微软雅黑"/>
          <w:b w:val="0"/>
          <w:bCs w:val="0"/>
          <w:i w:val="0"/>
          <w:iCs w:val="0"/>
          <w:caps w:val="0"/>
          <w:color w:val="222222"/>
          <w:spacing w:val="0"/>
          <w:sz w:val="36"/>
          <w:szCs w:val="36"/>
        </w:rPr>
      </w:pPr>
      <w:r>
        <w:rPr>
          <w:rFonts w:hint="eastAsia" w:ascii="微软雅黑" w:hAnsi="微软雅黑" w:eastAsia="微软雅黑" w:cs="微软雅黑"/>
          <w:b w:val="0"/>
          <w:bCs w:val="0"/>
          <w:i w:val="0"/>
          <w:iCs w:val="0"/>
          <w:caps w:val="0"/>
          <w:color w:val="222222"/>
          <w:spacing w:val="0"/>
          <w:sz w:val="36"/>
          <w:szCs w:val="36"/>
          <w:bdr w:val="none" w:color="auto" w:sz="0" w:space="0"/>
        </w:rPr>
        <w:t>龙泉街道滕东中学2026年招生简章</w:t>
      </w:r>
    </w:p>
    <w:p w14:paraId="7323CB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ascii="微软雅黑" w:hAnsi="微软雅黑" w:eastAsia="微软雅黑" w:cs="微软雅黑"/>
          <w:i w:val="0"/>
          <w:iCs w:val="0"/>
          <w:caps w:val="0"/>
          <w:color w:val="000000"/>
          <w:spacing w:val="0"/>
          <w:sz w:val="18"/>
          <w:szCs w:val="18"/>
        </w:rPr>
      </w:pPr>
      <w:bookmarkStart w:id="0" w:name="_GoBack"/>
      <w:bookmarkEnd w:id="0"/>
      <w:r>
        <w:rPr>
          <w:rFonts w:ascii="仿宋" w:hAnsi="仿宋" w:eastAsia="仿宋" w:cs="仿宋"/>
          <w:i w:val="0"/>
          <w:iCs w:val="0"/>
          <w:caps w:val="0"/>
          <w:color w:val="000000"/>
          <w:spacing w:val="0"/>
          <w:sz w:val="32"/>
          <w:szCs w:val="32"/>
          <w:bdr w:val="none" w:color="auto" w:sz="0" w:space="0"/>
          <w:shd w:val="clear" w:fill="FFFFFF"/>
        </w:rPr>
        <w:t>依据《滕州市2026年学前教育和义务教育阶段招生入学工作实施方案</w:t>
      </w:r>
      <w:r>
        <w:rPr>
          <w:rFonts w:hint="eastAsia" w:ascii="仿宋" w:hAnsi="仿宋" w:eastAsia="仿宋" w:cs="仿宋"/>
          <w:i w:val="0"/>
          <w:iCs w:val="0"/>
          <w:caps w:val="0"/>
          <w:color w:val="000000"/>
          <w:spacing w:val="0"/>
          <w:sz w:val="32"/>
          <w:szCs w:val="32"/>
          <w:bdr w:val="none" w:color="auto" w:sz="0" w:space="0"/>
          <w:shd w:val="clear" w:fill="FFFFFF"/>
        </w:rPr>
        <w:t>》等文件精神，结合学校实际，制定龙泉街道滕东中学2026年新生招生工作意见。具体内容如下：</w:t>
      </w:r>
    </w:p>
    <w:p w14:paraId="4A2787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一、招生原则</w:t>
      </w:r>
    </w:p>
    <w:p w14:paraId="0A2B26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按照“划片招生，就近入学”的原则，全面推行义务教育阶段学校“阳光招生”和“公办学校和民办学校同步招生”，以数字赋能招生工作，全面实施网上报名，同步设立线下咨询及服务窗口，给家长和学生提供优质、便捷、高效的服务，确保符合条件的适龄儿童少年全部入学。</w:t>
      </w:r>
    </w:p>
    <w:p w14:paraId="5CF3AD2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二、招生范围</w:t>
      </w:r>
    </w:p>
    <w:p w14:paraId="16E3582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1.龙泉街道行政辖区内善国路以东、龙泉路以西、荆河桥东荆河东路及荆河桥西荆河河道至善国大桥以北的区域内的小学应届毕业生。</w:t>
      </w:r>
    </w:p>
    <w:p w14:paraId="05D8E8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2.龙泉街道行政辖区内塔寺路以东、科圣路以西、北辛路以北的区域内的小学应届毕业生，可自愿选择北辛中学通盛路校区或滕东中学申请入学。</w:t>
      </w:r>
    </w:p>
    <w:p w14:paraId="542C8C0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3.同时招收本区域内符合条件的外来务工经商人员子女。</w:t>
      </w:r>
    </w:p>
    <w:p w14:paraId="7BAA76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三、报名方式及流程</w:t>
      </w:r>
    </w:p>
    <w:p w14:paraId="3B712E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4"/>
          <w:sz w:val="32"/>
          <w:szCs w:val="32"/>
          <w:bdr w:val="none" w:color="auto" w:sz="0" w:space="0"/>
          <w:shd w:val="clear" w:fill="FFFFFF"/>
        </w:rPr>
        <w:t>（一）网上报名</w:t>
      </w:r>
    </w:p>
    <w:p w14:paraId="26DB81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1.报名时间</w:t>
      </w:r>
    </w:p>
    <w:p w14:paraId="7C6B5E9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0"/>
          <w:sz w:val="32"/>
          <w:szCs w:val="32"/>
          <w:bdr w:val="none" w:color="auto" w:sz="0" w:space="0"/>
          <w:shd w:val="clear" w:fill="FFFFFF"/>
        </w:rPr>
        <w:t>8月18日08:00网上报名开始；</w:t>
      </w:r>
    </w:p>
    <w:p w14:paraId="6454C6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0"/>
          <w:sz w:val="32"/>
          <w:szCs w:val="32"/>
          <w:bdr w:val="none" w:color="auto" w:sz="0" w:space="0"/>
          <w:shd w:val="clear" w:fill="FFFFFF"/>
        </w:rPr>
        <w:t>8月20日24:00网上报名截止。</w:t>
      </w:r>
    </w:p>
    <w:p w14:paraId="304E5C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2.网上信息填报。我校2026年七年级新生报名统一使用“滕州市义务教育招生平台”（以下简称“招生平台”）。</w:t>
      </w:r>
      <w:r>
        <w:rPr>
          <w:rFonts w:hint="eastAsia" w:ascii="仿宋" w:hAnsi="仿宋" w:eastAsia="仿宋" w:cs="仿宋"/>
          <w:i w:val="0"/>
          <w:iCs w:val="0"/>
          <w:caps w:val="0"/>
          <w:color w:val="FF0000"/>
          <w:spacing w:val="4"/>
          <w:sz w:val="32"/>
          <w:szCs w:val="32"/>
          <w:bdr w:val="none" w:color="auto" w:sz="0" w:space="0"/>
          <w:shd w:val="clear" w:fill="FFFFFF"/>
        </w:rPr>
        <w:t>监护人需下载并安装“爱山东”APP（或通过微信搜索“爱山东”小程序），完成注册及实名身份认证后，在首页点击进入“教育入学一件事”，进入“滕州市义务教育招生平台”，按照招生平台提示填报相关信息。</w:t>
      </w:r>
      <w:r>
        <w:rPr>
          <w:rFonts w:hint="eastAsia" w:ascii="仿宋" w:hAnsi="仿宋" w:eastAsia="仿宋" w:cs="仿宋"/>
          <w:i w:val="0"/>
          <w:iCs w:val="0"/>
          <w:caps w:val="0"/>
          <w:color w:val="000000"/>
          <w:spacing w:val="4"/>
          <w:sz w:val="32"/>
          <w:szCs w:val="32"/>
          <w:bdr w:val="none" w:color="auto" w:sz="0" w:space="0"/>
          <w:shd w:val="clear" w:fill="FFFFFF"/>
        </w:rPr>
        <w:t>所有新生均需在网上报名，并按照平台要求上传相关材料。报名必须使用符合条件的监护人信息，如实填写姓名和身份证号码。</w:t>
      </w:r>
    </w:p>
    <w:p w14:paraId="6A246B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3.网上报名具体流程。符合学校划片(辖区内)招生入学条件的学生,进入平台后,选择"城区公办学校"入口进行报名,网上信息填报:【进入报名】选择【报名类型:城区公办学校】选择[根据自身实际选择类型:城区有房有户等类型】填写【我的报名:依次填写基本信息、户籍信息、居住信息、监护人信息、信息确认】【证件上传:户籍信息上传3张照片(首页、索引页、学生页)、房产信息至少1张、其它证明材料:出生证等】【提交报名:报名首页选择提交报名】【选择学校:龙泉街道滕东中学】【提交报名成功】，可实时查看学校审核情况。</w:t>
      </w:r>
    </w:p>
    <w:p w14:paraId="277648A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4.学校审核。学校依托招生平台，依据信息比对情况进行报名审核。监护人可登录招生平台查询审核状态。网上审核通过的，无需另行上传材料，也无需到现场办理；网上审核未通过的，监护人需根据平台提示补充上传相关材料或到现场审核。</w:t>
      </w:r>
    </w:p>
    <w:p w14:paraId="71D3E0A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5.录取。</w:t>
      </w:r>
      <w:r>
        <w:rPr>
          <w:rFonts w:hint="eastAsia" w:ascii="仿宋" w:hAnsi="仿宋" w:eastAsia="仿宋" w:cs="仿宋"/>
          <w:i w:val="0"/>
          <w:iCs w:val="0"/>
          <w:caps w:val="0"/>
          <w:color w:val="000000"/>
          <w:spacing w:val="0"/>
          <w:sz w:val="32"/>
          <w:szCs w:val="32"/>
          <w:bdr w:val="none" w:color="auto" w:sz="0" w:space="0"/>
          <w:shd w:val="clear" w:fill="FFFFFF"/>
        </w:rPr>
        <w:t>监护人登录招生平台或滕东中学官网查看录取结果。</w:t>
      </w:r>
    </w:p>
    <w:p w14:paraId="706DEB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4"/>
          <w:sz w:val="32"/>
          <w:szCs w:val="32"/>
          <w:bdr w:val="none" w:color="auto" w:sz="0" w:space="0"/>
          <w:shd w:val="clear" w:fill="FFFFFF"/>
        </w:rPr>
        <w:t>（二）现场报名</w:t>
      </w:r>
    </w:p>
    <w:p w14:paraId="7EFAB3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因网上审核未通过、大数据信息关联不畅或其它原因无法完成网上报名的，由学校通过报名平台通知监护人携带身份证和相关材料原件及复印件，在规定时间内到滕东中学指定地点进行现场报名（审核）。</w:t>
      </w:r>
    </w:p>
    <w:p w14:paraId="74BC9A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1.报名(审核)时间：</w:t>
      </w:r>
    </w:p>
    <w:p w14:paraId="7BA008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0"/>
          <w:sz w:val="32"/>
          <w:szCs w:val="32"/>
          <w:bdr w:val="none" w:color="auto" w:sz="0" w:space="0"/>
          <w:shd w:val="clear" w:fill="FFFFFF"/>
        </w:rPr>
        <w:t>8月20日-21日；</w:t>
      </w:r>
    </w:p>
    <w:p w14:paraId="5EF816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0"/>
          <w:sz w:val="32"/>
          <w:szCs w:val="32"/>
          <w:bdr w:val="none" w:color="auto" w:sz="0" w:space="0"/>
          <w:shd w:val="clear" w:fill="FFFFFF"/>
        </w:rPr>
        <w:t>上午8:00-11:30，下午14:00-18:00。</w:t>
      </w:r>
    </w:p>
    <w:p w14:paraId="3F7CC4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2.现场报名（审核）时，须提供以下材料：</w:t>
      </w:r>
    </w:p>
    <w:p w14:paraId="6F17AE2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4"/>
          <w:sz w:val="32"/>
          <w:szCs w:val="32"/>
          <w:bdr w:val="none" w:color="auto" w:sz="0" w:space="0"/>
          <w:shd w:val="clear" w:fill="FFFFFF"/>
        </w:rPr>
        <w:t>（1）不动产证明材料：</w:t>
      </w:r>
    </w:p>
    <w:p w14:paraId="507360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①房产、购房合同等不动产证明材料，登记用途须为住宅，产权须为学生父母或法定监护人完全所有。</w:t>
      </w:r>
    </w:p>
    <w:p w14:paraId="1A4950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②公寓、办公、商业或工业等非住宅用途房产，不得作为入学申请依据。</w:t>
      </w:r>
    </w:p>
    <w:p w14:paraId="7A97001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③城区房产拆迁，确未购房的，凭拆迁安置协议可在原片区申请入学；拆迁后重新购房的，在新购房产片区学校申请入学；拆迁异地安置的，在安置地片区学校申请入学。</w:t>
      </w:r>
    </w:p>
    <w:p w14:paraId="4E10C3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4"/>
          <w:sz w:val="32"/>
          <w:szCs w:val="32"/>
          <w:bdr w:val="none" w:color="auto" w:sz="0" w:space="0"/>
          <w:shd w:val="clear" w:fill="FFFFFF"/>
        </w:rPr>
        <w:t>（2）户籍材料：</w:t>
      </w:r>
      <w:r>
        <w:rPr>
          <w:rFonts w:hint="eastAsia" w:ascii="仿宋" w:hAnsi="仿宋" w:eastAsia="仿宋" w:cs="仿宋"/>
          <w:i w:val="0"/>
          <w:iCs w:val="0"/>
          <w:caps w:val="0"/>
          <w:color w:val="000000"/>
          <w:spacing w:val="4"/>
          <w:sz w:val="32"/>
          <w:szCs w:val="32"/>
          <w:bdr w:val="none" w:color="auto" w:sz="0" w:space="0"/>
          <w:shd w:val="clear" w:fill="FFFFFF"/>
        </w:rPr>
        <w:t>居民户口簿用于证明学生与监护人、产权人之间的家庭成员关系。</w:t>
      </w:r>
    </w:p>
    <w:p w14:paraId="0185FB8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①以父亲或母亲的不动产申请入学的，学生户籍须与该监护人在同一户口簿上；</w:t>
      </w:r>
    </w:p>
    <w:p w14:paraId="545B03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②学生户籍不在同一户籍簿上的，无需迁移，但须提供结婚证、出生医学证明等亲子关系证明；</w:t>
      </w:r>
    </w:p>
    <w:p w14:paraId="37E8685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③以祖父母、外祖父母或其他法定监护人的不动产申请入学的，学生户籍须与该监护人在同一户籍簿上。</w:t>
      </w:r>
    </w:p>
    <w:p w14:paraId="4319174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④新迁入户口须在8月20日网上报名截止之前完成。</w:t>
      </w:r>
    </w:p>
    <w:p w14:paraId="0462DE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4"/>
          <w:sz w:val="32"/>
          <w:szCs w:val="32"/>
          <w:bdr w:val="none" w:color="auto" w:sz="0" w:space="0"/>
          <w:shd w:val="clear" w:fill="FFFFFF"/>
        </w:rPr>
        <w:t>（3）随迁子女入学材料：</w:t>
      </w:r>
      <w:r>
        <w:rPr>
          <w:rFonts w:hint="eastAsia" w:ascii="仿宋" w:hAnsi="仿宋" w:eastAsia="仿宋" w:cs="仿宋"/>
          <w:i w:val="0"/>
          <w:iCs w:val="0"/>
          <w:caps w:val="0"/>
          <w:color w:val="000000"/>
          <w:spacing w:val="4"/>
          <w:sz w:val="32"/>
          <w:szCs w:val="32"/>
          <w:bdr w:val="none" w:color="auto" w:sz="0" w:space="0"/>
          <w:shd w:val="clear" w:fill="FFFFFF"/>
        </w:rPr>
        <w:t>须持有监护人身份证、户口簿、居住证。有枣庄市内户籍但无法办理居住证且有合法稳定就业和住所的流动人口子女，须提供父母任一方有效劳动合同、社会保险缴纳记录、工资流水或经营许可类证明等材料。</w:t>
      </w:r>
    </w:p>
    <w:p w14:paraId="4ADE26B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4"/>
          <w:sz w:val="32"/>
          <w:szCs w:val="32"/>
          <w:bdr w:val="none" w:color="auto" w:sz="0" w:space="0"/>
          <w:shd w:val="clear" w:fill="FFFFFF"/>
        </w:rPr>
        <w:t>（4）各类优抚对象子女，</w:t>
      </w:r>
      <w:r>
        <w:rPr>
          <w:rFonts w:hint="eastAsia" w:ascii="仿宋" w:hAnsi="仿宋" w:eastAsia="仿宋" w:cs="仿宋"/>
          <w:i w:val="0"/>
          <w:iCs w:val="0"/>
          <w:caps w:val="0"/>
          <w:color w:val="000000"/>
          <w:spacing w:val="4"/>
          <w:sz w:val="32"/>
          <w:szCs w:val="32"/>
          <w:bdr w:val="none" w:color="auto" w:sz="0" w:space="0"/>
          <w:shd w:val="clear" w:fill="FFFFFF"/>
        </w:rPr>
        <w:t>入学按照市各类规定和流程审核办理。</w:t>
      </w:r>
    </w:p>
    <w:p w14:paraId="14AE32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3.录取公布：8月22日登录招生平台或滕东中学官网查看录取结果并查询报到信息。</w:t>
      </w:r>
    </w:p>
    <w:p w14:paraId="1C21F7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四、网上及现场审核信息或需提供的材料根据各自实际，提交以下相关信息或提供以下相关证明材料：</w:t>
      </w:r>
    </w:p>
    <w:p w14:paraId="6891D4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4"/>
          <w:sz w:val="32"/>
          <w:szCs w:val="32"/>
          <w:bdr w:val="none" w:color="auto" w:sz="0" w:space="0"/>
          <w:shd w:val="clear" w:fill="FFFFFF"/>
        </w:rPr>
        <w:t>（1） 学校招生范围内有房产的，需提供：</w:t>
      </w:r>
    </w:p>
    <w:p w14:paraId="71A930C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①毕业证、户口簿（法定监护人的户口簿，下同）；</w:t>
      </w:r>
    </w:p>
    <w:p w14:paraId="376CB9E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②父母身份证；</w:t>
      </w:r>
    </w:p>
    <w:p w14:paraId="1B470EC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③房产证件或证明。</w:t>
      </w:r>
    </w:p>
    <w:p w14:paraId="3D2EF18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4"/>
          <w:sz w:val="32"/>
          <w:szCs w:val="32"/>
          <w:bdr w:val="none" w:color="auto" w:sz="0" w:space="0"/>
          <w:shd w:val="clear" w:fill="FFFFFF"/>
        </w:rPr>
        <w:t>（2）学校招生范围内房产拆迁，拆迁后确未购房的，需同时提供：</w:t>
      </w:r>
    </w:p>
    <w:p w14:paraId="506EE1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①毕业证、户口簿；</w:t>
      </w:r>
    </w:p>
    <w:p w14:paraId="73A891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②父母身份证；</w:t>
      </w:r>
    </w:p>
    <w:p w14:paraId="206D23D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③拆迁安置协议。</w:t>
      </w:r>
    </w:p>
    <w:p w14:paraId="6076F6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4"/>
          <w:sz w:val="32"/>
          <w:szCs w:val="32"/>
          <w:bdr w:val="none" w:color="auto" w:sz="0" w:space="0"/>
          <w:shd w:val="clear" w:fill="FFFFFF"/>
        </w:rPr>
        <w:t>（3）外来务工或经商人员子女入学</w:t>
      </w:r>
      <w:r>
        <w:rPr>
          <w:rFonts w:hint="eastAsia" w:ascii="仿宋" w:hAnsi="仿宋" w:eastAsia="仿宋" w:cs="仿宋"/>
          <w:i w:val="0"/>
          <w:iCs w:val="0"/>
          <w:caps w:val="0"/>
          <w:color w:val="000000"/>
          <w:spacing w:val="4"/>
          <w:sz w:val="32"/>
          <w:szCs w:val="32"/>
          <w:bdr w:val="none" w:color="auto" w:sz="0" w:space="0"/>
          <w:shd w:val="clear" w:fill="FFFFFF"/>
        </w:rPr>
        <w:t>，须符合枣教字〔2024〕17号等文件规定，“非滕州市户籍，在我市城区内务工或经商的人员”为外来务工或经商人员。</w:t>
      </w:r>
    </w:p>
    <w:p w14:paraId="207957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4"/>
          <w:sz w:val="32"/>
          <w:szCs w:val="32"/>
          <w:bdr w:val="none" w:color="auto" w:sz="0" w:space="0"/>
          <w:shd w:val="clear" w:fill="FFFFFF"/>
        </w:rPr>
        <w:t>外来务工需同时提供：</w:t>
      </w:r>
    </w:p>
    <w:p w14:paraId="60EE8B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①毕业证、居住证；</w:t>
      </w:r>
    </w:p>
    <w:p w14:paraId="30337A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②人力资源和社会保障局备案的劳动用工合同、社会保险证明（截止到2026年8月31日满6个月及以上）；</w:t>
      </w:r>
    </w:p>
    <w:p w14:paraId="6B2E49A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③房屋产权证或房产管理部门核发的房屋租赁登记备案证（截止到2026年8月31日满6个月及以上）</w:t>
      </w:r>
    </w:p>
    <w:p w14:paraId="47F3024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④家庭户口簿、身份证。</w:t>
      </w:r>
    </w:p>
    <w:p w14:paraId="607CCE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FF0000"/>
          <w:spacing w:val="4"/>
          <w:sz w:val="32"/>
          <w:szCs w:val="32"/>
          <w:bdr w:val="none" w:color="auto" w:sz="0" w:space="0"/>
          <w:shd w:val="clear" w:fill="FFFFFF"/>
        </w:rPr>
        <w:t>外来经商需同时提供：</w:t>
      </w:r>
    </w:p>
    <w:p w14:paraId="46575D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①毕业证、居住证；</w:t>
      </w:r>
    </w:p>
    <w:p w14:paraId="65F5FE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②工商营业执照（含税务登记证，截止到2026年8月31日满6个月及以上）；</w:t>
      </w:r>
    </w:p>
    <w:p w14:paraId="062C863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③房屋产权证或房产管理部门核发的房屋租赁登记备案证（截止到2026年8月31日满6个月及以上）；</w:t>
      </w:r>
    </w:p>
    <w:p w14:paraId="442FFA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④家庭户口簿、身份证。</w:t>
      </w:r>
    </w:p>
    <w:p w14:paraId="437860E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五、咨询电话</w:t>
      </w:r>
    </w:p>
    <w:p w14:paraId="52AD687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招生咨询电话：</w:t>
      </w:r>
    </w:p>
    <w:p w14:paraId="16E8E5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0632-5512851 0632-8203066 </w:t>
      </w:r>
    </w:p>
    <w:p w14:paraId="2C689D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招生咨询时间</w:t>
      </w:r>
      <w:r>
        <w:rPr>
          <w:rFonts w:hint="eastAsia" w:ascii="仿宋" w:hAnsi="仿宋" w:eastAsia="仿宋" w:cs="仿宋"/>
          <w:i w:val="0"/>
          <w:iCs w:val="0"/>
          <w:caps w:val="0"/>
          <w:color w:val="000000"/>
          <w:spacing w:val="0"/>
          <w:sz w:val="32"/>
          <w:szCs w:val="32"/>
          <w:bdr w:val="none" w:color="auto" w:sz="0" w:space="0"/>
          <w:shd w:val="clear" w:fill="FFFFFF"/>
        </w:rPr>
        <w:t>：8月18日-22日</w:t>
      </w:r>
    </w:p>
    <w:p w14:paraId="700136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4"/>
          <w:sz w:val="32"/>
          <w:szCs w:val="32"/>
          <w:bdr w:val="none" w:color="auto" w:sz="0" w:space="0"/>
          <w:shd w:val="clear" w:fill="FFFFFF"/>
        </w:rPr>
        <w:t>上午08:00—11:30，下午14:00—17:30。</w:t>
      </w:r>
    </w:p>
    <w:p w14:paraId="444429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温馨提示:</w:t>
      </w:r>
    </w:p>
    <w:p w14:paraId="4D78E2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1.网上报名没有通过的，需要到滕东中学提交审验材料，请严格按照通知时间，携带相关材料的原件和复印件，有序排队进校。</w:t>
      </w:r>
    </w:p>
    <w:p w14:paraId="4CEA91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2.网上报名已经审核通过的同学，不再需要来学校，暑假期间要做好复习、预习，坚持读书和练字。</w:t>
      </w:r>
    </w:p>
    <w:p w14:paraId="5FD720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3.学校招生信息将在网站上更新，请家长关注报名信息。</w:t>
      </w:r>
    </w:p>
    <w:p w14:paraId="46C5304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三种打开滕东中学网站的方法：</w:t>
      </w:r>
    </w:p>
    <w:p w14:paraId="7143D3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（1）网址：</w:t>
      </w:r>
      <w:r>
        <w:rPr>
          <w:rFonts w:hint="eastAsia" w:ascii="微软雅黑" w:hAnsi="微软雅黑" w:eastAsia="微软雅黑" w:cs="微软雅黑"/>
          <w:i w:val="0"/>
          <w:iCs w:val="0"/>
          <w:caps w:val="0"/>
          <w:color w:val="000000"/>
          <w:spacing w:val="0"/>
          <w:sz w:val="18"/>
          <w:szCs w:val="18"/>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18"/>
          <w:szCs w:val="18"/>
          <w:u w:val="none"/>
          <w:bdr w:val="none" w:color="auto" w:sz="0" w:space="0"/>
          <w:shd w:val="clear" w:fill="FFFFFF"/>
        </w:rPr>
        <w:instrText xml:space="preserve"> HYPERLINK "http://tdzx.tzjtzy.cn/" </w:instrText>
      </w:r>
      <w:r>
        <w:rPr>
          <w:rFonts w:hint="eastAsia" w:ascii="微软雅黑" w:hAnsi="微软雅黑" w:eastAsia="微软雅黑" w:cs="微软雅黑"/>
          <w:i w:val="0"/>
          <w:iCs w:val="0"/>
          <w:caps w:val="0"/>
          <w:color w:val="000000"/>
          <w:spacing w:val="0"/>
          <w:sz w:val="18"/>
          <w:szCs w:val="18"/>
          <w:u w:val="none"/>
          <w:bdr w:val="none" w:color="auto" w:sz="0" w:space="0"/>
          <w:shd w:val="clear" w:fill="FFFFFF"/>
        </w:rPr>
        <w:fldChar w:fldCharType="separate"/>
      </w:r>
      <w:r>
        <w:rPr>
          <w:rStyle w:val="6"/>
          <w:rFonts w:hint="eastAsia" w:ascii="仿宋" w:hAnsi="仿宋" w:eastAsia="仿宋" w:cs="仿宋"/>
          <w:i w:val="0"/>
          <w:iCs w:val="0"/>
          <w:caps w:val="0"/>
          <w:color w:val="000000"/>
          <w:spacing w:val="0"/>
          <w:sz w:val="32"/>
          <w:szCs w:val="32"/>
          <w:u w:val="none"/>
          <w:bdr w:val="none" w:color="auto" w:sz="0" w:space="0"/>
          <w:shd w:val="clear" w:fill="FFFFFF"/>
        </w:rPr>
        <w:t>http://tdzx.tzjtzy.cn/</w:t>
      </w:r>
      <w:r>
        <w:rPr>
          <w:rFonts w:hint="eastAsia" w:ascii="微软雅黑" w:hAnsi="微软雅黑" w:eastAsia="微软雅黑" w:cs="微软雅黑"/>
          <w:i w:val="0"/>
          <w:iCs w:val="0"/>
          <w:caps w:val="0"/>
          <w:color w:val="000000"/>
          <w:spacing w:val="0"/>
          <w:sz w:val="18"/>
          <w:szCs w:val="18"/>
          <w:u w:val="none"/>
          <w:bdr w:val="none" w:color="auto" w:sz="0" w:space="0"/>
          <w:shd w:val="clear" w:fill="FFFFFF"/>
        </w:rPr>
        <w:fldChar w:fldCharType="end"/>
      </w:r>
    </w:p>
    <w:p w14:paraId="16139A1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（2）百度搜索：“龙泉街道滕东中学”</w:t>
      </w:r>
    </w:p>
    <w:p w14:paraId="21BCC2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（3）二维码：</w:t>
      </w:r>
    </w:p>
    <w:p w14:paraId="7A91D0A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0" w:afterAutospacing="0"/>
        <w:ind w:left="0" w:right="0" w:firstLine="0"/>
        <w:jc w:val="left"/>
        <w:rPr>
          <w:rFonts w:hint="eastAsia" w:ascii="微软雅黑" w:hAnsi="微软雅黑" w:eastAsia="微软雅黑" w:cs="微软雅黑"/>
          <w:i w:val="0"/>
          <w:iCs w:val="0"/>
          <w:caps w:val="0"/>
          <w:color w:val="000000"/>
          <w:spacing w:val="0"/>
          <w:sz w:val="18"/>
          <w:szCs w:val="18"/>
        </w:rPr>
      </w:pPr>
      <w:r>
        <w:rPr>
          <w:rFonts w:hint="eastAsia" w:ascii="微软雅黑" w:hAnsi="微软雅黑" w:eastAsia="微软雅黑" w:cs="微软雅黑"/>
          <w:i w:val="0"/>
          <w:iCs w:val="0"/>
          <w:caps w:val="0"/>
          <w:color w:val="000000"/>
          <w:spacing w:val="0"/>
          <w:sz w:val="18"/>
          <w:szCs w:val="18"/>
          <w:bdr w:val="none" w:color="auto" w:sz="0" w:space="0"/>
          <w:shd w:val="clear" w:fill="FFFFFF"/>
        </w:rPr>
        <w:t>                                   </w:t>
      </w:r>
      <w:r>
        <w:rPr>
          <w:rFonts w:hint="eastAsia" w:ascii="微软雅黑" w:hAnsi="微软雅黑" w:eastAsia="微软雅黑" w:cs="微软雅黑"/>
          <w:i w:val="0"/>
          <w:iCs w:val="0"/>
          <w:caps w:val="0"/>
          <w:color w:val="000000"/>
          <w:spacing w:val="0"/>
          <w:sz w:val="18"/>
          <w:szCs w:val="18"/>
          <w:bdr w:val="none" w:color="auto" w:sz="0" w:space="0"/>
          <w:shd w:val="clear" w:fill="FFFFFF"/>
        </w:rPr>
        <w:drawing>
          <wp:inline distT="0" distB="0" distL="114300" distR="114300">
            <wp:extent cx="942975" cy="962025"/>
            <wp:effectExtent l="0" t="0" r="9525"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942975" cy="962025"/>
                    </a:xfrm>
                    <a:prstGeom prst="rect">
                      <a:avLst/>
                    </a:prstGeom>
                    <a:noFill/>
                    <a:ln w="9525">
                      <a:noFill/>
                    </a:ln>
                  </pic:spPr>
                </pic:pic>
              </a:graphicData>
            </a:graphic>
          </wp:inline>
        </w:drawing>
      </w:r>
    </w:p>
    <w:p w14:paraId="5DF1F79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 </w:t>
      </w:r>
    </w:p>
    <w:p w14:paraId="718E75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 4. 关注学校公众号：滕州市龙泉街道滕东中学</w:t>
      </w:r>
    </w:p>
    <w:p w14:paraId="1BDE3B0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0" w:afterAutospacing="0"/>
        <w:ind w:left="0" w:right="0" w:firstLine="0"/>
        <w:jc w:val="left"/>
        <w:rPr>
          <w:rFonts w:hint="eastAsia" w:ascii="微软雅黑" w:hAnsi="微软雅黑" w:eastAsia="微软雅黑" w:cs="微软雅黑"/>
          <w:i w:val="0"/>
          <w:iCs w:val="0"/>
          <w:caps w:val="0"/>
          <w:color w:val="000000"/>
          <w:spacing w:val="0"/>
          <w:sz w:val="18"/>
          <w:szCs w:val="18"/>
        </w:rPr>
      </w:pPr>
      <w:r>
        <w:rPr>
          <w:rFonts w:hint="eastAsia" w:ascii="微软雅黑" w:hAnsi="微软雅黑" w:eastAsia="微软雅黑" w:cs="微软雅黑"/>
          <w:i w:val="0"/>
          <w:iCs w:val="0"/>
          <w:caps w:val="0"/>
          <w:color w:val="000000"/>
          <w:spacing w:val="0"/>
          <w:sz w:val="18"/>
          <w:szCs w:val="18"/>
          <w:bdr w:val="none" w:color="auto" w:sz="0" w:space="0"/>
          <w:shd w:val="clear" w:fill="FFFFFF"/>
        </w:rPr>
        <w:t>                               </w:t>
      </w:r>
      <w:r>
        <w:rPr>
          <w:rFonts w:hint="eastAsia" w:ascii="微软雅黑" w:hAnsi="微软雅黑" w:eastAsia="微软雅黑" w:cs="微软雅黑"/>
          <w:i w:val="0"/>
          <w:iCs w:val="0"/>
          <w:caps w:val="0"/>
          <w:color w:val="000000"/>
          <w:spacing w:val="0"/>
          <w:sz w:val="18"/>
          <w:szCs w:val="18"/>
          <w:bdr w:val="none" w:color="auto" w:sz="0" w:space="0"/>
          <w:shd w:val="clear" w:fill="FFFFFF"/>
        </w:rPr>
        <w:drawing>
          <wp:inline distT="0" distB="0" distL="114300" distR="114300">
            <wp:extent cx="1066800" cy="106680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1066800" cy="1066800"/>
                    </a:xfrm>
                    <a:prstGeom prst="rect">
                      <a:avLst/>
                    </a:prstGeom>
                    <a:noFill/>
                    <a:ln w="9525">
                      <a:noFill/>
                    </a:ln>
                  </pic:spPr>
                </pic:pic>
              </a:graphicData>
            </a:graphic>
          </wp:inline>
        </w:drawing>
      </w:r>
    </w:p>
    <w:p w14:paraId="62CB39B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 </w:t>
      </w:r>
    </w:p>
    <w:p w14:paraId="5012EB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 </w:t>
      </w:r>
    </w:p>
    <w:p w14:paraId="4BAA88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both"/>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 </w:t>
      </w:r>
    </w:p>
    <w:p w14:paraId="4A75C2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right"/>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 </w:t>
      </w:r>
    </w:p>
    <w:p w14:paraId="0AF5A19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right"/>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滕州市龙泉街道滕东中学</w:t>
      </w:r>
    </w:p>
    <w:p w14:paraId="2B1D02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right"/>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2026年8月16日</w:t>
      </w:r>
    </w:p>
    <w:p w14:paraId="07C80F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2" w:beforeAutospacing="0" w:after="0" w:afterAutospacing="0" w:line="360" w:lineRule="atLeast"/>
        <w:ind w:left="0" w:right="0" w:firstLine="420"/>
        <w:jc w:val="right"/>
        <w:rPr>
          <w:rFonts w:hint="eastAsia" w:ascii="微软雅黑" w:hAnsi="微软雅黑" w:eastAsia="微软雅黑" w:cs="微软雅黑"/>
          <w:i w:val="0"/>
          <w:iCs w:val="0"/>
          <w:caps w:val="0"/>
          <w:color w:val="000000"/>
          <w:spacing w:val="0"/>
          <w:sz w:val="18"/>
          <w:szCs w:val="18"/>
        </w:rPr>
      </w:pPr>
      <w:r>
        <w:rPr>
          <w:rFonts w:hint="eastAsia" w:ascii="仿宋" w:hAnsi="仿宋" w:eastAsia="仿宋" w:cs="仿宋"/>
          <w:i w:val="0"/>
          <w:iCs w:val="0"/>
          <w:caps w:val="0"/>
          <w:color w:val="000000"/>
          <w:spacing w:val="0"/>
          <w:sz w:val="32"/>
          <w:szCs w:val="32"/>
          <w:bdr w:val="none" w:color="auto" w:sz="0" w:space="0"/>
          <w:shd w:val="clear" w:fill="FFFFFF"/>
        </w:rPr>
        <w:t> </w:t>
      </w:r>
    </w:p>
    <w:p w14:paraId="2F492F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000000"/>
          <w:spacing w:val="0"/>
          <w:sz w:val="18"/>
          <w:szCs w:val="18"/>
        </w:rPr>
      </w:pPr>
      <w:r>
        <w:rPr>
          <w:rFonts w:hint="eastAsia" w:ascii="微软雅黑" w:hAnsi="微软雅黑" w:eastAsia="微软雅黑" w:cs="微软雅黑"/>
          <w:i w:val="0"/>
          <w:iCs w:val="0"/>
          <w:caps w:val="0"/>
          <w:color w:val="000000"/>
          <w:spacing w:val="0"/>
          <w:sz w:val="18"/>
          <w:szCs w:val="18"/>
          <w:bdr w:val="none" w:color="auto" w:sz="0" w:space="0"/>
          <w:shd w:val="clear" w:fill="FFFFFF"/>
        </w:rPr>
        <w:drawing>
          <wp:inline distT="0" distB="0" distL="114300" distR="114300">
            <wp:extent cx="5271135" cy="7827645"/>
            <wp:effectExtent l="0" t="0" r="5715" b="190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5271135" cy="7827645"/>
                    </a:xfrm>
                    <a:prstGeom prst="rect">
                      <a:avLst/>
                    </a:prstGeom>
                    <a:noFill/>
                    <a:ln w="9525">
                      <a:noFill/>
                    </a:ln>
                  </pic:spPr>
                </pic:pic>
              </a:graphicData>
            </a:graphic>
          </wp:inline>
        </w:drawing>
      </w:r>
    </w:p>
    <w:p w14:paraId="273C45B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A15F0B"/>
    <w:rsid w:val="3AA15F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2026-10-26T23:57:00Z</dcterms:created>
  <dc:creator>calmh</dc:creator>
  <cp:lastModifiedBy>calmh</cp:lastModifiedBy>
  <dcterms:modified xsi:type="dcterms:W3CDTF">2026-10-26T23:58:37Z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2C32D905FB0749619AD579503A799E61_11</vt:lpwstr>
  </property>
  <property fmtid="{D5CDD505-2E9C-101B-9397-08002B2CF9AE}" pid="4" name="KSOTemplateDocerSaveRecord">
    <vt:lpwstr>eyJoZGlkIjoiMTgzMTQ4NDEyMTIyZTQ1MWYzNjUyYmU2ZDY0MWE1ZjIiLCJ1c2VySWQiOiI1MDY5ODAwOTUifQ==</vt:lpwstr>
  </property>
</Properties>
</file>