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eastAsia="黑体"/>
          <w:b/>
          <w:sz w:val="52"/>
          <w:szCs w:val="52"/>
        </w:rPr>
      </w:pPr>
      <w:bookmarkStart w:id="292" w:name="_GoBack"/>
      <w:bookmarkEnd w:id="292"/>
    </w:p>
    <w:p>
      <w:pPr>
        <w:ind w:firstLine="0" w:firstLineChars="0"/>
        <w:jc w:val="center"/>
        <w:rPr>
          <w:rFonts w:eastAsia="黑体"/>
          <w:b/>
          <w:sz w:val="52"/>
          <w:szCs w:val="52"/>
        </w:rPr>
      </w:pPr>
    </w:p>
    <w:p>
      <w:pPr>
        <w:ind w:firstLine="0" w:firstLineChars="0"/>
        <w:jc w:val="center"/>
        <w:outlineLvl w:val="0"/>
        <w:rPr>
          <w:rFonts w:eastAsia="黑体"/>
          <w:b/>
          <w:sz w:val="52"/>
          <w:szCs w:val="52"/>
        </w:rPr>
      </w:pPr>
      <w:bookmarkStart w:id="0" w:name="_Toc5783"/>
      <w:r>
        <w:rPr>
          <w:rFonts w:eastAsia="黑体"/>
          <w:b/>
          <w:sz w:val="52"/>
          <w:szCs w:val="52"/>
        </w:rPr>
        <w:t>滕州市生态文明建设规划</w:t>
      </w:r>
      <w:bookmarkEnd w:id="0"/>
    </w:p>
    <w:p>
      <w:pPr>
        <w:ind w:firstLine="0" w:firstLineChars="0"/>
        <w:jc w:val="center"/>
        <w:rPr>
          <w:rFonts w:eastAsia="黑体"/>
          <w:b/>
          <w:sz w:val="52"/>
          <w:szCs w:val="52"/>
        </w:rPr>
      </w:pPr>
      <w:bookmarkStart w:id="1" w:name="_Hlk140152320"/>
      <w:r>
        <w:rPr>
          <w:rFonts w:eastAsia="黑体"/>
          <w:b/>
          <w:sz w:val="52"/>
          <w:szCs w:val="52"/>
        </w:rPr>
        <w:t>（2023-2030年）</w:t>
      </w:r>
    </w:p>
    <w:bookmarkEnd w:id="1"/>
    <w:p>
      <w:pPr>
        <w:pStyle w:val="320"/>
        <w:spacing w:before="0" w:after="0" w:line="360" w:lineRule="auto"/>
        <w:ind w:firstLine="0" w:firstLineChars="0"/>
        <w:jc w:val="both"/>
        <w:rPr>
          <w:rStyle w:val="511"/>
          <w:sz w:val="28"/>
          <w:szCs w:val="28"/>
        </w:rPr>
      </w:pPr>
    </w:p>
    <w:p>
      <w:pPr>
        <w:pStyle w:val="320"/>
        <w:spacing w:before="0" w:after="0" w:line="360" w:lineRule="auto"/>
        <w:ind w:firstLine="0" w:firstLineChars="0"/>
        <w:jc w:val="both"/>
        <w:rPr>
          <w:rStyle w:val="511"/>
          <w:sz w:val="28"/>
          <w:szCs w:val="28"/>
        </w:rPr>
      </w:pPr>
    </w:p>
    <w:p>
      <w:pPr>
        <w:pStyle w:val="320"/>
        <w:spacing w:before="0" w:after="0" w:line="360" w:lineRule="auto"/>
        <w:ind w:firstLine="600"/>
        <w:jc w:val="both"/>
        <w:rPr>
          <w:rStyle w:val="511"/>
          <w:sz w:val="28"/>
          <w:szCs w:val="28"/>
        </w:rPr>
      </w:pPr>
    </w:p>
    <w:p>
      <w:pPr>
        <w:ind w:firstLine="562"/>
        <w:rPr>
          <w:b/>
          <w:sz w:val="28"/>
          <w:szCs w:val="28"/>
        </w:rPr>
      </w:pPr>
    </w:p>
    <w:p>
      <w:pPr>
        <w:pStyle w:val="24"/>
        <w:spacing w:before="326" w:after="326"/>
        <w:ind w:firstLine="560"/>
        <w:rPr>
          <w:rFonts w:ascii="Times New Roman" w:hAnsi="Times New Roman"/>
          <w:b/>
          <w:sz w:val="28"/>
          <w:szCs w:val="28"/>
        </w:rPr>
      </w:pPr>
    </w:p>
    <w:p>
      <w:pPr>
        <w:ind w:firstLine="480"/>
      </w:pPr>
    </w:p>
    <w:p>
      <w:pPr>
        <w:pStyle w:val="81"/>
        <w:ind w:left="480"/>
        <w:rPr>
          <w:rFonts w:ascii="Times New Roman" w:hAnsi="Times New Roman"/>
        </w:rPr>
      </w:pPr>
    </w:p>
    <w:p>
      <w:pPr>
        <w:pStyle w:val="81"/>
        <w:ind w:left="480"/>
        <w:rPr>
          <w:rFonts w:ascii="Times New Roman" w:hAnsi="Times New Roman"/>
        </w:rPr>
      </w:pPr>
    </w:p>
    <w:p>
      <w:pPr>
        <w:ind w:firstLine="562"/>
        <w:rPr>
          <w:b/>
          <w:sz w:val="28"/>
          <w:szCs w:val="28"/>
        </w:rPr>
      </w:pPr>
    </w:p>
    <w:p>
      <w:pPr>
        <w:pStyle w:val="24"/>
        <w:spacing w:before="326" w:after="326"/>
        <w:ind w:firstLine="420"/>
        <w:rPr>
          <w:rFonts w:ascii="Times New Roman" w:hAnsi="Times New Roman"/>
        </w:rPr>
      </w:pPr>
    </w:p>
    <w:p>
      <w:pPr>
        <w:spacing w:line="276" w:lineRule="auto"/>
        <w:ind w:firstLine="0" w:firstLineChars="0"/>
        <w:jc w:val="center"/>
        <w:rPr>
          <w:rFonts w:eastAsia="黑体"/>
          <w:b/>
          <w:sz w:val="36"/>
          <w:szCs w:val="36"/>
        </w:rPr>
      </w:pPr>
      <w:r>
        <w:rPr>
          <w:rFonts w:eastAsia="黑体"/>
          <w:b/>
          <w:sz w:val="36"/>
          <w:szCs w:val="36"/>
        </w:rPr>
        <w:t>滕州市人民政府</w:t>
      </w:r>
    </w:p>
    <w:p>
      <w:pPr>
        <w:spacing w:line="276" w:lineRule="auto"/>
        <w:ind w:firstLine="0" w:firstLineChars="0"/>
        <w:jc w:val="center"/>
        <w:rPr>
          <w:rFonts w:eastAsia="黑体"/>
          <w:b/>
          <w:sz w:val="36"/>
          <w:szCs w:val="36"/>
        </w:rPr>
      </w:pPr>
      <w:r>
        <w:rPr>
          <w:rFonts w:eastAsia="黑体"/>
          <w:b/>
          <w:sz w:val="36"/>
          <w:szCs w:val="36"/>
        </w:rPr>
        <w:t>二〇二三年</w:t>
      </w:r>
      <w:r>
        <w:rPr>
          <w:rFonts w:hint="eastAsia" w:eastAsia="黑体"/>
          <w:b/>
          <w:sz w:val="36"/>
          <w:szCs w:val="36"/>
        </w:rPr>
        <w:t>十一</w:t>
      </w:r>
      <w:r>
        <w:rPr>
          <w:rFonts w:eastAsia="黑体"/>
          <w:b/>
          <w:sz w:val="36"/>
          <w:szCs w:val="36"/>
        </w:rPr>
        <w:t>月</w:t>
      </w:r>
    </w:p>
    <w:p>
      <w:pPr>
        <w:ind w:firstLine="562"/>
        <w:rPr>
          <w:b/>
          <w:sz w:val="28"/>
          <w:szCs w:val="28"/>
        </w:rPr>
      </w:pPr>
    </w:p>
    <w:p>
      <w:pPr>
        <w:ind w:firstLine="562"/>
        <w:rPr>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cols w:space="720" w:num="1"/>
          <w:docGrid w:type="lines" w:linePitch="326" w:charSpace="0"/>
        </w:sectPr>
      </w:pPr>
    </w:p>
    <w:sdt>
      <w:sdtPr>
        <w:rPr>
          <w:rFonts w:eastAsia="黑体"/>
          <w:b/>
          <w:bCs/>
          <w:sz w:val="36"/>
          <w:szCs w:val="36"/>
        </w:rPr>
        <w:id w:val="147483372"/>
        <w15:color w:val="DBDBDB"/>
        <w:docPartObj>
          <w:docPartGallery w:val="Table of Contents"/>
          <w:docPartUnique/>
        </w:docPartObj>
      </w:sdtPr>
      <w:sdtEndPr>
        <w:rPr>
          <w:rFonts w:eastAsia="宋体"/>
          <w:b/>
          <w:bCs/>
          <w:sz w:val="24"/>
          <w:szCs w:val="21"/>
        </w:rPr>
      </w:sdtEndPr>
      <w:sdtContent>
        <w:p>
          <w:pPr>
            <w:ind w:firstLine="3614" w:firstLineChars="1000"/>
            <w:rPr>
              <w:rFonts w:eastAsia="黑体"/>
              <w:b/>
              <w:bCs/>
              <w:sz w:val="36"/>
              <w:szCs w:val="36"/>
            </w:rPr>
          </w:pPr>
          <w:r>
            <w:rPr>
              <w:rFonts w:eastAsia="黑体"/>
              <w:b/>
              <w:bCs/>
              <w:sz w:val="36"/>
              <w:szCs w:val="36"/>
            </w:rPr>
            <w:t>目</w:t>
          </w:r>
          <w:r>
            <w:rPr>
              <w:rFonts w:hint="eastAsia" w:eastAsia="黑体"/>
              <w:b/>
              <w:bCs/>
              <w:sz w:val="36"/>
              <w:szCs w:val="36"/>
            </w:rPr>
            <w:t xml:space="preserve">  </w:t>
          </w:r>
          <w:r>
            <w:rPr>
              <w:rFonts w:eastAsia="黑体"/>
              <w:b/>
              <w:bCs/>
              <w:sz w:val="36"/>
              <w:szCs w:val="36"/>
            </w:rPr>
            <w:t>录</w:t>
          </w:r>
        </w:p>
        <w:p>
          <w:pPr>
            <w:pStyle w:val="1267"/>
            <w:tabs>
              <w:tab w:val="right" w:leader="dot" w:pos="8306"/>
            </w:tabs>
            <w:spacing w:line="360" w:lineRule="auto"/>
            <w:rPr>
              <w:rFonts w:ascii="Times New Roman" w:hAnsi="Times New Roman"/>
              <w:b/>
              <w:sz w:val="24"/>
            </w:rPr>
          </w:pPr>
          <w:r>
            <w:rPr>
              <w:rFonts w:ascii="Times New Roman" w:hAnsi="Times New Roman"/>
              <w:sz w:val="24"/>
              <w:szCs w:val="21"/>
            </w:rPr>
            <w:fldChar w:fldCharType="begin"/>
          </w:r>
          <w:r>
            <w:rPr>
              <w:rFonts w:ascii="Times New Roman" w:hAnsi="Times New Roman"/>
              <w:sz w:val="24"/>
              <w:szCs w:val="21"/>
            </w:rPr>
            <w:instrText xml:space="preserve">TOC \o "1-2" \h \u </w:instrText>
          </w:r>
          <w:r>
            <w:rPr>
              <w:rFonts w:ascii="Times New Roman" w:hAnsi="Times New Roman"/>
              <w:sz w:val="24"/>
              <w:szCs w:val="21"/>
            </w:rPr>
            <w:fldChar w:fldCharType="separate"/>
          </w:r>
          <w:r>
            <w:fldChar w:fldCharType="begin"/>
          </w:r>
          <w:r>
            <w:instrText xml:space="preserve"> HYPERLINK \l "_Toc7023" </w:instrText>
          </w:r>
          <w:r>
            <w:fldChar w:fldCharType="separate"/>
          </w:r>
          <w:r>
            <w:rPr>
              <w:rFonts w:ascii="Times New Roman" w:hAnsi="Times New Roman"/>
              <w:b/>
              <w:sz w:val="24"/>
              <w:szCs w:val="36"/>
            </w:rPr>
            <w:t>前</w:t>
          </w:r>
          <w:r>
            <w:rPr>
              <w:rFonts w:hint="eastAsia" w:ascii="Times New Roman" w:hAnsi="Times New Roman"/>
              <w:b/>
              <w:sz w:val="24"/>
              <w:szCs w:val="36"/>
            </w:rPr>
            <w:t xml:space="preserve"> </w:t>
          </w:r>
          <w:r>
            <w:rPr>
              <w:rFonts w:ascii="Times New Roman" w:hAnsi="Times New Roman"/>
              <w:b/>
              <w:sz w:val="24"/>
              <w:szCs w:val="36"/>
            </w:rPr>
            <w:t xml:space="preserve"> 言</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_Toc7023 \h </w:instrText>
          </w:r>
          <w:r>
            <w:rPr>
              <w:rFonts w:ascii="Times New Roman" w:hAnsi="Times New Roman"/>
              <w:b/>
              <w:sz w:val="24"/>
            </w:rPr>
            <w:fldChar w:fldCharType="separate"/>
          </w:r>
          <w:r>
            <w:rPr>
              <w:rFonts w:ascii="Times New Roman" w:hAnsi="Times New Roman"/>
              <w:b/>
              <w:sz w:val="24"/>
            </w:rPr>
            <w:t>1</w:t>
          </w:r>
          <w:r>
            <w:rPr>
              <w:rFonts w:ascii="Times New Roman" w:hAnsi="Times New Roman"/>
              <w:b/>
              <w:sz w:val="24"/>
            </w:rPr>
            <w:fldChar w:fldCharType="end"/>
          </w:r>
          <w:r>
            <w:rPr>
              <w:rFonts w:ascii="Times New Roman" w:hAnsi="Times New Roman"/>
              <w:b/>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"_Toc6352" </w:instrText>
          </w:r>
          <w:r>
            <w:fldChar w:fldCharType="separate"/>
          </w:r>
          <w:r>
            <w:rPr>
              <w:rFonts w:ascii="Times New Roman" w:hAnsi="Times New Roman"/>
              <w:b/>
              <w:sz w:val="24"/>
              <w:szCs w:val="36"/>
            </w:rPr>
            <w:t>第一章 工作基础与形势分析</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_Toc6352 \h </w:instrText>
          </w:r>
          <w:r>
            <w:rPr>
              <w:rFonts w:ascii="Times New Roman" w:hAnsi="Times New Roman"/>
              <w:b/>
              <w:sz w:val="24"/>
            </w:rPr>
            <w:fldChar w:fldCharType="separate"/>
          </w:r>
          <w:r>
            <w:rPr>
              <w:rFonts w:ascii="Times New Roman" w:hAnsi="Times New Roman"/>
              <w:b/>
              <w:sz w:val="24"/>
            </w:rPr>
            <w:t>3</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"_Toc95" </w:instrText>
          </w:r>
          <w:r>
            <w:fldChar w:fldCharType="separate"/>
          </w:r>
          <w:r>
            <w:rPr>
              <w:rFonts w:ascii="Times New Roman" w:hAnsi="Times New Roman"/>
              <w:sz w:val="24"/>
            </w:rPr>
            <w:t>一、建设基础</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_Toc95 \h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"_Toc24654" </w:instrText>
          </w:r>
          <w:r>
            <w:fldChar w:fldCharType="separate"/>
          </w:r>
          <w:r>
            <w:rPr>
              <w:rFonts w:ascii="Times New Roman" w:hAnsi="Times New Roman"/>
              <w:bCs/>
              <w:snapToGrid w:val="0"/>
              <w:sz w:val="24"/>
              <w:szCs w:val="32"/>
            </w:rPr>
            <w:t>二、存在问题</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_Toc24654 \h </w:instrText>
          </w:r>
          <w:r>
            <w:rPr>
              <w:rFonts w:ascii="Times New Roman" w:hAnsi="Times New Roman"/>
              <w:sz w:val="24"/>
            </w:rPr>
            <w:fldChar w:fldCharType="separate"/>
          </w:r>
          <w:r>
            <w:rPr>
              <w:rFonts w:ascii="Times New Roman" w:hAnsi="Times New Roman"/>
              <w:sz w:val="24"/>
            </w:rPr>
            <w:t>6</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"_Toc7071" </w:instrText>
          </w:r>
          <w:r>
            <w:fldChar w:fldCharType="separate"/>
          </w:r>
          <w:r>
            <w:rPr>
              <w:rFonts w:ascii="Times New Roman" w:hAnsi="Times New Roman"/>
              <w:bCs/>
              <w:snapToGrid w:val="0"/>
              <w:sz w:val="24"/>
              <w:szCs w:val="32"/>
            </w:rPr>
            <w:t>三、机遇与挑战</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_Toc7071 \h </w:instrText>
          </w:r>
          <w:r>
            <w:rPr>
              <w:rFonts w:ascii="Times New Roman" w:hAnsi="Times New Roman"/>
              <w:sz w:val="24"/>
            </w:rPr>
            <w:fldChar w:fldCharType="separate"/>
          </w:r>
          <w:r>
            <w:rPr>
              <w:rFonts w:ascii="Times New Roman" w:hAnsi="Times New Roman"/>
              <w:sz w:val="24"/>
            </w:rPr>
            <w:t>8</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"_Toc15230" </w:instrText>
          </w:r>
          <w:r>
            <w:fldChar w:fldCharType="separate"/>
          </w:r>
          <w:r>
            <w:rPr>
              <w:rFonts w:ascii="Times New Roman" w:hAnsi="Times New Roman"/>
              <w:b/>
              <w:sz w:val="24"/>
              <w:szCs w:val="36"/>
            </w:rPr>
            <w:t>第二章 规划总则</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_Toc15230 \h </w:instrText>
          </w:r>
          <w:r>
            <w:rPr>
              <w:rFonts w:ascii="Times New Roman" w:hAnsi="Times New Roman"/>
              <w:b/>
              <w:sz w:val="24"/>
            </w:rPr>
            <w:fldChar w:fldCharType="separate"/>
          </w:r>
          <w:r>
            <w:rPr>
              <w:rFonts w:ascii="Times New Roman" w:hAnsi="Times New Roman"/>
              <w:b/>
              <w:sz w:val="24"/>
            </w:rPr>
            <w:t>12</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"_Toc31960" </w:instrText>
          </w:r>
          <w:r>
            <w:fldChar w:fldCharType="separate"/>
          </w:r>
          <w:r>
            <w:rPr>
              <w:rFonts w:ascii="Times New Roman" w:hAnsi="Times New Roman"/>
              <w:bCs/>
              <w:snapToGrid w:val="0"/>
              <w:sz w:val="24"/>
              <w:szCs w:val="32"/>
            </w:rPr>
            <w:t>一、指导思想</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_Toc31960 \h </w:instrText>
          </w:r>
          <w:r>
            <w:rPr>
              <w:rFonts w:ascii="Times New Roman" w:hAnsi="Times New Roman"/>
              <w:sz w:val="24"/>
            </w:rPr>
            <w:fldChar w:fldCharType="separate"/>
          </w:r>
          <w:r>
            <w:rPr>
              <w:rFonts w:ascii="Times New Roman" w:hAnsi="Times New Roman"/>
              <w:sz w:val="24"/>
            </w:rPr>
            <w:t>12</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"_Toc21140" </w:instrText>
          </w:r>
          <w:r>
            <w:fldChar w:fldCharType="separate"/>
          </w:r>
          <w:r>
            <w:rPr>
              <w:rFonts w:ascii="Times New Roman" w:hAnsi="Times New Roman"/>
              <w:bCs/>
              <w:snapToGrid w:val="0"/>
              <w:sz w:val="24"/>
              <w:szCs w:val="32"/>
            </w:rPr>
            <w:t>二、规划原则</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_Toc21140 \h </w:instrText>
          </w:r>
          <w:r>
            <w:rPr>
              <w:rFonts w:ascii="Times New Roman" w:hAnsi="Times New Roman"/>
              <w:sz w:val="24"/>
            </w:rPr>
            <w:fldChar w:fldCharType="separate"/>
          </w:r>
          <w:r>
            <w:rPr>
              <w:rFonts w:ascii="Times New Roman" w:hAnsi="Times New Roman"/>
              <w:sz w:val="24"/>
            </w:rPr>
            <w:t>12</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"_Toc19956" </w:instrText>
          </w:r>
          <w:r>
            <w:fldChar w:fldCharType="separate"/>
          </w:r>
          <w:r>
            <w:rPr>
              <w:rFonts w:ascii="Times New Roman" w:hAnsi="Times New Roman"/>
              <w:bCs/>
              <w:snapToGrid w:val="0"/>
              <w:sz w:val="24"/>
              <w:szCs w:val="32"/>
            </w:rPr>
            <w:t>三、规划范围</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_Toc19956 \h </w:instrText>
          </w:r>
          <w:r>
            <w:rPr>
              <w:rFonts w:ascii="Times New Roman" w:hAnsi="Times New Roman"/>
              <w:sz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"_Toc18507" </w:instrText>
          </w:r>
          <w:r>
            <w:fldChar w:fldCharType="separate"/>
          </w:r>
          <w:r>
            <w:rPr>
              <w:rFonts w:ascii="Times New Roman" w:hAnsi="Times New Roman"/>
              <w:bCs/>
              <w:snapToGrid w:val="0"/>
              <w:sz w:val="24"/>
              <w:szCs w:val="32"/>
            </w:rPr>
            <w:t>四、规划期限</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_Toc18507 \h </w:instrText>
          </w:r>
          <w:r>
            <w:rPr>
              <w:rFonts w:ascii="Times New Roman" w:hAnsi="Times New Roman"/>
              <w:sz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"_Toc11599" </w:instrText>
          </w:r>
          <w:r>
            <w:fldChar w:fldCharType="separate"/>
          </w:r>
          <w:r>
            <w:rPr>
              <w:rFonts w:ascii="Times New Roman" w:hAnsi="Times New Roman"/>
              <w:bCs/>
              <w:snapToGrid w:val="0"/>
              <w:sz w:val="24"/>
              <w:szCs w:val="32"/>
            </w:rPr>
            <w:t>五、规划目标</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_Toc11599 \h </w:instrText>
          </w:r>
          <w:r>
            <w:rPr>
              <w:rFonts w:ascii="Times New Roman" w:hAnsi="Times New Roman"/>
              <w:sz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"_Toc6765" </w:instrText>
          </w:r>
          <w:r>
            <w:fldChar w:fldCharType="separate"/>
          </w:r>
          <w:r>
            <w:rPr>
              <w:rFonts w:ascii="Times New Roman" w:hAnsi="Times New Roman"/>
              <w:bCs/>
              <w:snapToGrid w:val="0"/>
              <w:sz w:val="24"/>
              <w:szCs w:val="32"/>
            </w:rPr>
            <w:t>六、建设指标</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_Toc6765 \h </w:instrText>
          </w:r>
          <w:r>
            <w:rPr>
              <w:rFonts w:ascii="Times New Roman" w:hAnsi="Times New Roman"/>
              <w:sz w:val="24"/>
            </w:rPr>
            <w:fldChar w:fldCharType="separate"/>
          </w:r>
          <w:r>
            <w:rPr>
              <w:rFonts w:ascii="Times New Roman" w:hAnsi="Times New Roman"/>
              <w:sz w:val="24"/>
            </w:rPr>
            <w:t>15</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"_Toc17224" </w:instrText>
          </w:r>
          <w:r>
            <w:fldChar w:fldCharType="separate"/>
          </w:r>
          <w:r>
            <w:rPr>
              <w:rFonts w:ascii="Times New Roman" w:hAnsi="Times New Roman"/>
              <w:b/>
              <w:sz w:val="24"/>
              <w:szCs w:val="36"/>
            </w:rPr>
            <w:t>第三章 建设绿色创新的生态制度体系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_Toc17224 \h </w:instrText>
          </w:r>
          <w:r>
            <w:rPr>
              <w:rFonts w:ascii="Times New Roman" w:hAnsi="Times New Roman"/>
              <w:b/>
              <w:sz w:val="24"/>
            </w:rPr>
            <w:fldChar w:fldCharType="separate"/>
          </w:r>
          <w:r>
            <w:rPr>
              <w:rFonts w:ascii="Times New Roman" w:hAnsi="Times New Roman"/>
              <w:b/>
              <w:sz w:val="24"/>
            </w:rPr>
            <w:t>21</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"_Toc4448" </w:instrText>
          </w:r>
          <w:r>
            <w:fldChar w:fldCharType="separate"/>
          </w:r>
          <w:r>
            <w:rPr>
              <w:rFonts w:ascii="Times New Roman" w:hAnsi="Times New Roman"/>
              <w:bCs/>
              <w:snapToGrid w:val="0"/>
              <w:sz w:val="24"/>
              <w:szCs w:val="32"/>
            </w:rPr>
            <w:t>一、</w:t>
          </w:r>
          <w:r>
            <w:rPr>
              <w:rFonts w:hint="eastAsia" w:ascii="Times New Roman" w:hAnsi="Times New Roman"/>
              <w:bCs/>
              <w:snapToGrid w:val="0"/>
              <w:sz w:val="24"/>
              <w:szCs w:val="32"/>
            </w:rPr>
            <w:t>完善生态环境保护制度</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_Toc4448 \h </w:instrText>
          </w:r>
          <w:r>
            <w:rPr>
              <w:rFonts w:ascii="Times New Roman" w:hAnsi="Times New Roman"/>
              <w:sz w:val="24"/>
            </w:rPr>
            <w:fldChar w:fldCharType="separate"/>
          </w:r>
          <w:r>
            <w:rPr>
              <w:rFonts w:ascii="Times New Roman" w:hAnsi="Times New Roman"/>
              <w:sz w:val="24"/>
            </w:rPr>
            <w:t>21</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"_Toc26579" </w:instrText>
          </w:r>
          <w:r>
            <w:fldChar w:fldCharType="separate"/>
          </w:r>
          <w:r>
            <w:rPr>
              <w:rFonts w:hint="eastAsia" w:ascii="Times New Roman" w:hAnsi="Times New Roman"/>
              <w:bCs/>
              <w:snapToGrid w:val="0"/>
              <w:sz w:val="24"/>
              <w:szCs w:val="32"/>
            </w:rPr>
            <w:t>二、</w:t>
          </w:r>
          <w:r>
            <w:rPr>
              <w:rFonts w:ascii="Times New Roman" w:hAnsi="Times New Roman"/>
              <w:bCs/>
              <w:snapToGrid w:val="0"/>
              <w:sz w:val="24"/>
              <w:szCs w:val="32"/>
            </w:rPr>
            <w:t>构建资源高效利用制度</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_Toc26579 \h </w:instrText>
          </w:r>
          <w:r>
            <w:rPr>
              <w:rFonts w:ascii="Times New Roman" w:hAnsi="Times New Roman"/>
              <w:sz w:val="24"/>
            </w:rPr>
            <w:fldChar w:fldCharType="separate"/>
          </w:r>
          <w:r>
            <w:rPr>
              <w:rFonts w:ascii="Times New Roman" w:hAnsi="Times New Roman"/>
              <w:sz w:val="24"/>
            </w:rPr>
            <w:t>22</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"_Toc4664" </w:instrText>
          </w:r>
          <w:r>
            <w:fldChar w:fldCharType="separate"/>
          </w:r>
          <w:r>
            <w:rPr>
              <w:rFonts w:hint="eastAsia" w:ascii="Times New Roman" w:hAnsi="Times New Roman"/>
              <w:bCs/>
              <w:snapToGrid w:val="0"/>
              <w:sz w:val="24"/>
              <w:szCs w:val="32"/>
            </w:rPr>
            <w:t>三、</w:t>
          </w:r>
          <w:r>
            <w:rPr>
              <w:rFonts w:ascii="Times New Roman" w:hAnsi="Times New Roman"/>
              <w:bCs/>
              <w:snapToGrid w:val="0"/>
              <w:sz w:val="24"/>
              <w:szCs w:val="32"/>
            </w:rPr>
            <w:t>构建生态保护和修复制度</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_Toc4664 \h </w:instrText>
          </w:r>
          <w:r>
            <w:rPr>
              <w:rFonts w:ascii="Times New Roman" w:hAnsi="Times New Roman"/>
              <w:sz w:val="24"/>
            </w:rPr>
            <w:fldChar w:fldCharType="separate"/>
          </w:r>
          <w:r>
            <w:rPr>
              <w:rFonts w:ascii="Times New Roman" w:hAnsi="Times New Roman"/>
              <w:sz w:val="24"/>
            </w:rPr>
            <w:t>23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"_Toc31229" </w:instrText>
          </w:r>
          <w:r>
            <w:fldChar w:fldCharType="separate"/>
          </w:r>
          <w:r>
            <w:rPr>
              <w:rFonts w:hint="eastAsia" w:ascii="Times New Roman" w:hAnsi="Times New Roman"/>
              <w:sz w:val="24"/>
            </w:rPr>
            <w:t>四、</w:t>
          </w:r>
          <w:r>
            <w:rPr>
              <w:rFonts w:ascii="Times New Roman" w:hAnsi="Times New Roman"/>
              <w:sz w:val="24"/>
            </w:rPr>
            <w:t>强化生态环境保护责任制度</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_Toc31229 \h </w:instrText>
          </w:r>
          <w:r>
            <w:rPr>
              <w:rFonts w:ascii="Times New Roman" w:hAnsi="Times New Roman"/>
              <w:sz w:val="24"/>
            </w:rPr>
            <w:fldChar w:fldCharType="separate"/>
          </w:r>
          <w:r>
            <w:rPr>
              <w:rFonts w:ascii="Times New Roman" w:hAnsi="Times New Roman"/>
              <w:sz w:val="24"/>
            </w:rPr>
            <w:t>24</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"_Toc32065" </w:instrText>
          </w:r>
          <w:r>
            <w:fldChar w:fldCharType="separate"/>
          </w:r>
          <w:r>
            <w:rPr>
              <w:rFonts w:hint="eastAsia" w:ascii="Times New Roman" w:hAnsi="Times New Roman"/>
              <w:sz w:val="24"/>
            </w:rPr>
            <w:t>五、</w:t>
          </w:r>
          <w:r>
            <w:rPr>
              <w:rFonts w:ascii="Times New Roman" w:hAnsi="Times New Roman"/>
              <w:sz w:val="24"/>
            </w:rPr>
            <w:t>建立健全现代环境治理体系</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_Toc32065 \h </w:instrText>
          </w:r>
          <w:r>
            <w:rPr>
              <w:rFonts w:ascii="Times New Roman" w:hAnsi="Times New Roman"/>
              <w:sz w:val="24"/>
            </w:rPr>
            <w:fldChar w:fldCharType="separate"/>
          </w:r>
          <w:r>
            <w:rPr>
              <w:rFonts w:ascii="Times New Roman" w:hAnsi="Times New Roman"/>
              <w:sz w:val="24"/>
            </w:rPr>
            <w:t>25</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"_Toc13682" </w:instrText>
          </w:r>
          <w:r>
            <w:fldChar w:fldCharType="separate"/>
          </w:r>
          <w:r>
            <w:rPr>
              <w:rFonts w:ascii="Times New Roman" w:hAnsi="Times New Roman"/>
              <w:b/>
              <w:sz w:val="24"/>
              <w:szCs w:val="36"/>
            </w:rPr>
            <w:t>第四章 构建优质稳定的生态安全体系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_Toc13682 \h </w:instrText>
          </w:r>
          <w:r>
            <w:rPr>
              <w:rFonts w:ascii="Times New Roman" w:hAnsi="Times New Roman"/>
              <w:b/>
              <w:sz w:val="24"/>
            </w:rPr>
            <w:fldChar w:fldCharType="separate"/>
          </w:r>
          <w:r>
            <w:rPr>
              <w:rFonts w:ascii="Times New Roman" w:hAnsi="Times New Roman"/>
              <w:b/>
              <w:sz w:val="24"/>
            </w:rPr>
            <w:t>28</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"_Toc12755" </w:instrText>
          </w:r>
          <w:r>
            <w:fldChar w:fldCharType="separate"/>
          </w:r>
          <w:r>
            <w:rPr>
              <w:rFonts w:ascii="Times New Roman" w:hAnsi="Times New Roman"/>
              <w:sz w:val="24"/>
            </w:rPr>
            <w:t>一、推进碳达峰行动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_Toc12755 \h </w:instrText>
          </w:r>
          <w:r>
            <w:rPr>
              <w:rFonts w:ascii="Times New Roman" w:hAnsi="Times New Roman"/>
              <w:sz w:val="24"/>
            </w:rPr>
            <w:fldChar w:fldCharType="separate"/>
          </w:r>
          <w:r>
            <w:rPr>
              <w:rFonts w:ascii="Times New Roman" w:hAnsi="Times New Roman"/>
              <w:sz w:val="24"/>
            </w:rPr>
            <w:t>28</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"_Toc19711" </w:instrText>
          </w:r>
          <w:r>
            <w:fldChar w:fldCharType="separate"/>
          </w:r>
          <w:r>
            <w:rPr>
              <w:rFonts w:ascii="Times New Roman" w:hAnsi="Times New Roman"/>
              <w:sz w:val="24"/>
            </w:rPr>
            <w:t>二、</w:t>
          </w:r>
          <w:r>
            <w:rPr>
              <w:rFonts w:hint="eastAsia" w:ascii="Times New Roman" w:hAnsi="Times New Roman"/>
              <w:sz w:val="24"/>
            </w:rPr>
            <w:t>强化大气污染防治</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_Toc19711 \h </w:instrText>
          </w:r>
          <w:r>
            <w:rPr>
              <w:rFonts w:ascii="Times New Roman" w:hAnsi="Times New Roman"/>
              <w:sz w:val="24"/>
            </w:rPr>
            <w:fldChar w:fldCharType="separate"/>
          </w:r>
          <w:r>
            <w:rPr>
              <w:rFonts w:ascii="Times New Roman" w:hAnsi="Times New Roman"/>
              <w:sz w:val="24"/>
            </w:rPr>
            <w:t>29</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"_Toc3330" </w:instrText>
          </w:r>
          <w:r>
            <w:fldChar w:fldCharType="separate"/>
          </w:r>
          <w:r>
            <w:rPr>
              <w:rFonts w:ascii="Times New Roman" w:hAnsi="Times New Roman"/>
              <w:sz w:val="24"/>
            </w:rPr>
            <w:t>三、深化三水统筹</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_Toc3330 \h </w:instrText>
          </w:r>
          <w:r>
            <w:rPr>
              <w:rFonts w:ascii="Times New Roman" w:hAnsi="Times New Roman"/>
              <w:sz w:val="24"/>
            </w:rPr>
            <w:fldChar w:fldCharType="separate"/>
          </w:r>
          <w:r>
            <w:rPr>
              <w:rFonts w:ascii="Times New Roman" w:hAnsi="Times New Roman"/>
              <w:sz w:val="24"/>
            </w:rPr>
            <w:t>32</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"_Toc4375" </w:instrText>
          </w:r>
          <w:r>
            <w:fldChar w:fldCharType="separate"/>
          </w:r>
          <w:r>
            <w:rPr>
              <w:rFonts w:ascii="Times New Roman" w:hAnsi="Times New Roman"/>
              <w:sz w:val="24"/>
            </w:rPr>
            <w:t>四、推进土壤、地下水系统防治</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_Toc4375 \h </w:instrText>
          </w:r>
          <w:r>
            <w:rPr>
              <w:rFonts w:ascii="Times New Roman" w:hAnsi="Times New Roman"/>
              <w:sz w:val="24"/>
            </w:rPr>
            <w:fldChar w:fldCharType="separate"/>
          </w:r>
          <w:r>
            <w:rPr>
              <w:rFonts w:ascii="Times New Roman" w:hAnsi="Times New Roman"/>
              <w:sz w:val="24"/>
            </w:rPr>
            <w:t>35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"_Toc3697" </w:instrText>
          </w:r>
          <w:r>
            <w:fldChar w:fldCharType="separate"/>
          </w:r>
          <w:r>
            <w:rPr>
              <w:rFonts w:ascii="Times New Roman" w:hAnsi="Times New Roman"/>
              <w:sz w:val="24"/>
            </w:rPr>
            <w:t>五、加强生态保护修复</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_Toc3697 \h </w:instrText>
          </w:r>
          <w:r>
            <w:rPr>
              <w:rFonts w:ascii="Times New Roman" w:hAnsi="Times New Roman"/>
              <w:sz w:val="24"/>
            </w:rPr>
            <w:fldChar w:fldCharType="separate"/>
          </w:r>
          <w:r>
            <w:rPr>
              <w:rFonts w:ascii="Times New Roman" w:hAnsi="Times New Roman"/>
              <w:sz w:val="24"/>
            </w:rPr>
            <w:t>37</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"_Toc14277" </w:instrText>
          </w:r>
          <w:r>
            <w:fldChar w:fldCharType="separate"/>
          </w:r>
          <w:r>
            <w:rPr>
              <w:rFonts w:ascii="Times New Roman" w:hAnsi="Times New Roman"/>
              <w:sz w:val="24"/>
            </w:rPr>
            <w:t>六、强化风险防控</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_Toc14277 \h </w:instrText>
          </w:r>
          <w:r>
            <w:rPr>
              <w:rFonts w:ascii="Times New Roman" w:hAnsi="Times New Roman"/>
              <w:sz w:val="24"/>
            </w:rPr>
            <w:fldChar w:fldCharType="separate"/>
          </w:r>
          <w:r>
            <w:rPr>
              <w:rFonts w:ascii="Times New Roman" w:hAnsi="Times New Roman"/>
              <w:sz w:val="24"/>
            </w:rPr>
            <w:t>39</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"_Toc23826" </w:instrText>
          </w:r>
          <w:r>
            <w:fldChar w:fldCharType="separate"/>
          </w:r>
          <w:r>
            <w:rPr>
              <w:rFonts w:ascii="Times New Roman" w:hAnsi="Times New Roman"/>
              <w:b/>
              <w:sz w:val="24"/>
              <w:szCs w:val="36"/>
            </w:rPr>
            <w:t>第五章 构建自然和谐的生态空间体系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_Toc23826 \h </w:instrText>
          </w:r>
          <w:r>
            <w:rPr>
              <w:rFonts w:ascii="Times New Roman" w:hAnsi="Times New Roman"/>
              <w:b/>
              <w:sz w:val="24"/>
            </w:rPr>
            <w:fldChar w:fldCharType="separate"/>
          </w:r>
          <w:r>
            <w:rPr>
              <w:rFonts w:ascii="Times New Roman" w:hAnsi="Times New Roman"/>
              <w:b/>
              <w:sz w:val="24"/>
            </w:rPr>
            <w:t>43</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"_Toc14593" </w:instrText>
          </w:r>
          <w:r>
            <w:fldChar w:fldCharType="separate"/>
          </w:r>
          <w:r>
            <w:rPr>
              <w:rFonts w:ascii="Times New Roman" w:hAnsi="Times New Roman"/>
              <w:sz w:val="24"/>
            </w:rPr>
            <w:t>一、严守生态保护红线</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_Toc14593 \h </w:instrText>
          </w:r>
          <w:r>
            <w:rPr>
              <w:rFonts w:ascii="Times New Roman" w:hAnsi="Times New Roman"/>
              <w:sz w:val="24"/>
            </w:rPr>
            <w:fldChar w:fldCharType="separate"/>
          </w:r>
          <w:r>
            <w:rPr>
              <w:rFonts w:ascii="Times New Roman" w:hAnsi="Times New Roman"/>
              <w:sz w:val="24"/>
            </w:rPr>
            <w:t>43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"_Toc29343" </w:instrText>
          </w:r>
          <w:r>
            <w:fldChar w:fldCharType="separate"/>
          </w:r>
          <w:r>
            <w:rPr>
              <w:rFonts w:hint="eastAsia" w:ascii="Times New Roman" w:hAnsi="Times New Roman"/>
              <w:sz w:val="24"/>
            </w:rPr>
            <w:t>二、</w:t>
          </w:r>
          <w:r>
            <w:rPr>
              <w:rFonts w:ascii="Times New Roman" w:hAnsi="Times New Roman"/>
              <w:sz w:val="24"/>
            </w:rPr>
            <w:t>严格保护基本农田</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_Toc29343 \h </w:instrText>
          </w:r>
          <w:r>
            <w:rPr>
              <w:rFonts w:ascii="Times New Roman" w:hAnsi="Times New Roman"/>
              <w:sz w:val="24"/>
            </w:rPr>
            <w:fldChar w:fldCharType="separate"/>
          </w:r>
          <w:r>
            <w:rPr>
              <w:rFonts w:ascii="Times New Roman" w:hAnsi="Times New Roman"/>
              <w:sz w:val="24"/>
            </w:rPr>
            <w:t>44</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"_Toc2743" </w:instrText>
          </w:r>
          <w:r>
            <w:fldChar w:fldCharType="separate"/>
          </w:r>
          <w:r>
            <w:rPr>
              <w:rFonts w:hint="eastAsia" w:ascii="Times New Roman" w:hAnsi="Times New Roman"/>
              <w:sz w:val="24"/>
            </w:rPr>
            <w:t>三、</w:t>
          </w:r>
          <w:r>
            <w:rPr>
              <w:rFonts w:ascii="Times New Roman" w:hAnsi="Times New Roman"/>
              <w:sz w:val="24"/>
            </w:rPr>
            <w:t>优化城市空间布局</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_Toc2743 \h </w:instrText>
          </w:r>
          <w:r>
            <w:rPr>
              <w:rFonts w:ascii="Times New Roman" w:hAnsi="Times New Roman"/>
              <w:sz w:val="24"/>
            </w:rPr>
            <w:fldChar w:fldCharType="separate"/>
          </w:r>
          <w:r>
            <w:rPr>
              <w:rFonts w:ascii="Times New Roman" w:hAnsi="Times New Roman"/>
              <w:sz w:val="24"/>
            </w:rPr>
            <w:t>44</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"_Toc11270" </w:instrText>
          </w:r>
          <w:r>
            <w:fldChar w:fldCharType="separate"/>
          </w:r>
          <w:r>
            <w:rPr>
              <w:rFonts w:hint="eastAsia" w:ascii="Times New Roman" w:hAnsi="Times New Roman"/>
              <w:sz w:val="24"/>
            </w:rPr>
            <w:t>四、</w:t>
          </w:r>
          <w:r>
            <w:rPr>
              <w:rFonts w:ascii="Times New Roman" w:hAnsi="Times New Roman"/>
              <w:sz w:val="24"/>
            </w:rPr>
            <w:t>加大城市生态网络建设</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_Toc11270 \h </w:instrText>
          </w:r>
          <w:r>
            <w:rPr>
              <w:rFonts w:ascii="Times New Roman" w:hAnsi="Times New Roman"/>
              <w:sz w:val="24"/>
            </w:rPr>
            <w:fldChar w:fldCharType="separate"/>
          </w:r>
          <w:r>
            <w:rPr>
              <w:rFonts w:ascii="Times New Roman" w:hAnsi="Times New Roman"/>
              <w:sz w:val="24"/>
            </w:rPr>
            <w:t>45</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"_Toc8711" </w:instrText>
          </w:r>
          <w:r>
            <w:fldChar w:fldCharType="separate"/>
          </w:r>
          <w:r>
            <w:rPr>
              <w:rFonts w:ascii="Times New Roman" w:hAnsi="Times New Roman"/>
              <w:b/>
              <w:sz w:val="24"/>
              <w:szCs w:val="36"/>
            </w:rPr>
            <w:t>第六章 建设低碳绿色的生态经济体系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_Toc8711 \h </w:instrText>
          </w:r>
          <w:r>
            <w:rPr>
              <w:rFonts w:ascii="Times New Roman" w:hAnsi="Times New Roman"/>
              <w:b/>
              <w:sz w:val="24"/>
            </w:rPr>
            <w:fldChar w:fldCharType="separate"/>
          </w:r>
          <w:r>
            <w:rPr>
              <w:rFonts w:ascii="Times New Roman" w:hAnsi="Times New Roman"/>
              <w:b/>
              <w:sz w:val="24"/>
            </w:rPr>
            <w:t>47</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"_Toc11815" </w:instrText>
          </w:r>
          <w:r>
            <w:fldChar w:fldCharType="separate"/>
          </w:r>
          <w:r>
            <w:rPr>
              <w:rFonts w:ascii="Times New Roman" w:hAnsi="Times New Roman"/>
              <w:sz w:val="24"/>
            </w:rPr>
            <w:t>一、加快推动绿色低碳发展</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_Toc11815 \h </w:instrText>
          </w:r>
          <w:r>
            <w:rPr>
              <w:rFonts w:ascii="Times New Roman" w:hAnsi="Times New Roman"/>
              <w:sz w:val="24"/>
            </w:rPr>
            <w:fldChar w:fldCharType="separate"/>
          </w:r>
          <w:r>
            <w:rPr>
              <w:rFonts w:ascii="Times New Roman" w:hAnsi="Times New Roman"/>
              <w:sz w:val="24"/>
            </w:rPr>
            <w:t>47</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"_Toc2952" </w:instrText>
          </w:r>
          <w:r>
            <w:fldChar w:fldCharType="separate"/>
          </w:r>
          <w:r>
            <w:rPr>
              <w:rFonts w:ascii="Times New Roman" w:hAnsi="Times New Roman"/>
              <w:sz w:val="24"/>
            </w:rPr>
            <w:t>二、推进工业产业强基增效</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_Toc2952 \h </w:instrText>
          </w:r>
          <w:r>
            <w:rPr>
              <w:rFonts w:ascii="Times New Roman" w:hAnsi="Times New Roman"/>
              <w:sz w:val="24"/>
            </w:rPr>
            <w:fldChar w:fldCharType="separate"/>
          </w:r>
          <w:r>
            <w:rPr>
              <w:rFonts w:ascii="Times New Roman" w:hAnsi="Times New Roman"/>
              <w:sz w:val="24"/>
            </w:rPr>
            <w:t>53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"_Toc18838" </w:instrText>
          </w:r>
          <w:r>
            <w:fldChar w:fldCharType="separate"/>
          </w:r>
          <w:r>
            <w:rPr>
              <w:rFonts w:ascii="Times New Roman" w:hAnsi="Times New Roman"/>
              <w:sz w:val="24"/>
            </w:rPr>
            <w:t>三、加快推进农业农村现代化</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_Toc18838 \h </w:instrText>
          </w:r>
          <w:r>
            <w:rPr>
              <w:rFonts w:ascii="Times New Roman" w:hAnsi="Times New Roman"/>
              <w:sz w:val="24"/>
            </w:rPr>
            <w:fldChar w:fldCharType="separate"/>
          </w:r>
          <w:r>
            <w:rPr>
              <w:rFonts w:ascii="Times New Roman" w:hAnsi="Times New Roman"/>
              <w:sz w:val="24"/>
            </w:rPr>
            <w:t>54</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"_Toc14989" </w:instrText>
          </w:r>
          <w:r>
            <w:fldChar w:fldCharType="separate"/>
          </w:r>
          <w:r>
            <w:rPr>
              <w:rFonts w:ascii="Times New Roman" w:hAnsi="Times New Roman"/>
              <w:sz w:val="24"/>
            </w:rPr>
            <w:t>四、推动现代服务业提质增效</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_Toc14989 \h </w:instrText>
          </w:r>
          <w:r>
            <w:rPr>
              <w:rFonts w:ascii="Times New Roman" w:hAnsi="Times New Roman"/>
              <w:sz w:val="24"/>
            </w:rPr>
            <w:fldChar w:fldCharType="separate"/>
          </w:r>
          <w:r>
            <w:rPr>
              <w:rFonts w:ascii="Times New Roman" w:hAnsi="Times New Roman"/>
              <w:sz w:val="24"/>
            </w:rPr>
            <w:t>56</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"_Toc7477" </w:instrText>
          </w:r>
          <w:r>
            <w:fldChar w:fldCharType="separate"/>
          </w:r>
          <w:r>
            <w:rPr>
              <w:rFonts w:ascii="Times New Roman" w:hAnsi="Times New Roman"/>
              <w:bCs/>
              <w:snapToGrid w:val="0"/>
              <w:sz w:val="24"/>
              <w:szCs w:val="32"/>
            </w:rPr>
            <w:t>五、提升清洁生产水平</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_Toc7477 \h </w:instrText>
          </w:r>
          <w:r>
            <w:rPr>
              <w:rFonts w:ascii="Times New Roman" w:hAnsi="Times New Roman"/>
              <w:sz w:val="24"/>
            </w:rPr>
            <w:fldChar w:fldCharType="separate"/>
          </w:r>
          <w:r>
            <w:rPr>
              <w:rFonts w:ascii="Times New Roman" w:hAnsi="Times New Roman"/>
              <w:sz w:val="24"/>
            </w:rPr>
            <w:t>58</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"_Toc28614" </w:instrText>
          </w:r>
          <w:r>
            <w:fldChar w:fldCharType="separate"/>
          </w:r>
          <w:r>
            <w:rPr>
              <w:rFonts w:ascii="Times New Roman" w:hAnsi="Times New Roman"/>
              <w:b/>
              <w:sz w:val="24"/>
              <w:szCs w:val="36"/>
            </w:rPr>
            <w:t>第七章 建设美丽宜居的生态生活体系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_Toc28614 \h </w:instrText>
          </w:r>
          <w:r>
            <w:rPr>
              <w:rFonts w:ascii="Times New Roman" w:hAnsi="Times New Roman"/>
              <w:b/>
              <w:sz w:val="24"/>
            </w:rPr>
            <w:fldChar w:fldCharType="separate"/>
          </w:r>
          <w:r>
            <w:rPr>
              <w:rFonts w:ascii="Times New Roman" w:hAnsi="Times New Roman"/>
              <w:b/>
              <w:sz w:val="24"/>
            </w:rPr>
            <w:t>62</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"_Toc30440" </w:instrText>
          </w:r>
          <w:r>
            <w:fldChar w:fldCharType="separate"/>
          </w:r>
          <w:r>
            <w:rPr>
              <w:rFonts w:ascii="Times New Roman" w:hAnsi="Times New Roman"/>
              <w:bCs/>
              <w:snapToGrid w:val="0"/>
              <w:sz w:val="24"/>
              <w:szCs w:val="32"/>
            </w:rPr>
            <w:t>一、推进城乡环境一体化建设</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_Toc30440 \h </w:instrText>
          </w:r>
          <w:r>
            <w:rPr>
              <w:rFonts w:ascii="Times New Roman" w:hAnsi="Times New Roman"/>
              <w:sz w:val="24"/>
            </w:rPr>
            <w:fldChar w:fldCharType="separate"/>
          </w:r>
          <w:r>
            <w:rPr>
              <w:rFonts w:ascii="Times New Roman" w:hAnsi="Times New Roman"/>
              <w:sz w:val="24"/>
            </w:rPr>
            <w:t>62</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"_Toc22961" </w:instrText>
          </w:r>
          <w:r>
            <w:fldChar w:fldCharType="separate"/>
          </w:r>
          <w:r>
            <w:rPr>
              <w:rFonts w:ascii="Times New Roman" w:hAnsi="Times New Roman"/>
              <w:bCs/>
              <w:snapToGrid w:val="0"/>
              <w:sz w:val="24"/>
              <w:szCs w:val="32"/>
            </w:rPr>
            <w:t>二、推进绿色城镇化建设</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_Toc22961 \h </w:instrText>
          </w:r>
          <w:r>
            <w:rPr>
              <w:rFonts w:ascii="Times New Roman" w:hAnsi="Times New Roman"/>
              <w:sz w:val="24"/>
            </w:rPr>
            <w:fldChar w:fldCharType="separate"/>
          </w:r>
          <w:r>
            <w:rPr>
              <w:rFonts w:ascii="Times New Roman" w:hAnsi="Times New Roman"/>
              <w:sz w:val="24"/>
            </w:rPr>
            <w:t>63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"_Toc10936" </w:instrText>
          </w:r>
          <w:r>
            <w:fldChar w:fldCharType="separate"/>
          </w:r>
          <w:r>
            <w:rPr>
              <w:rFonts w:ascii="Times New Roman" w:hAnsi="Times New Roman"/>
              <w:bCs/>
              <w:snapToGrid w:val="0"/>
              <w:sz w:val="24"/>
              <w:szCs w:val="32"/>
            </w:rPr>
            <w:t>三、推进美丽乡村建设</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_Toc10936 \h </w:instrText>
          </w:r>
          <w:r>
            <w:rPr>
              <w:rFonts w:ascii="Times New Roman" w:hAnsi="Times New Roman"/>
              <w:sz w:val="24"/>
            </w:rPr>
            <w:fldChar w:fldCharType="separate"/>
          </w:r>
          <w:r>
            <w:rPr>
              <w:rFonts w:ascii="Times New Roman" w:hAnsi="Times New Roman"/>
              <w:sz w:val="24"/>
            </w:rPr>
            <w:t>65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"_Toc26031" </w:instrText>
          </w:r>
          <w:r>
            <w:fldChar w:fldCharType="separate"/>
          </w:r>
          <w:r>
            <w:rPr>
              <w:rFonts w:ascii="Times New Roman" w:hAnsi="Times New Roman"/>
              <w:bCs/>
              <w:snapToGrid w:val="0"/>
              <w:sz w:val="24"/>
              <w:szCs w:val="32"/>
            </w:rPr>
            <w:t>四、积极倡导绿色生活方式</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_Toc26031 \h </w:instrText>
          </w:r>
          <w:r>
            <w:rPr>
              <w:rFonts w:ascii="Times New Roman" w:hAnsi="Times New Roman"/>
              <w:sz w:val="24"/>
            </w:rPr>
            <w:fldChar w:fldCharType="separate"/>
          </w:r>
          <w:r>
            <w:rPr>
              <w:rFonts w:ascii="Times New Roman" w:hAnsi="Times New Roman"/>
              <w:sz w:val="24"/>
            </w:rPr>
            <w:t>66</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"_Toc7186" </w:instrText>
          </w:r>
          <w:r>
            <w:fldChar w:fldCharType="separate"/>
          </w:r>
          <w:r>
            <w:rPr>
              <w:rFonts w:ascii="Times New Roman" w:hAnsi="Times New Roman"/>
              <w:b/>
              <w:sz w:val="24"/>
              <w:szCs w:val="36"/>
            </w:rPr>
            <w:t>第八章 培育和谐文明的生态文化体系</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_Toc7186 \h </w:instrText>
          </w:r>
          <w:r>
            <w:rPr>
              <w:rFonts w:ascii="Times New Roman" w:hAnsi="Times New Roman"/>
              <w:b/>
              <w:sz w:val="24"/>
            </w:rPr>
            <w:fldChar w:fldCharType="separate"/>
          </w:r>
          <w:r>
            <w:rPr>
              <w:rFonts w:ascii="Times New Roman" w:hAnsi="Times New Roman"/>
              <w:b/>
              <w:sz w:val="24"/>
            </w:rPr>
            <w:t>68</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"_Toc11973" </w:instrText>
          </w:r>
          <w:r>
            <w:fldChar w:fldCharType="separate"/>
          </w:r>
          <w:r>
            <w:rPr>
              <w:rFonts w:ascii="Times New Roman" w:hAnsi="Times New Roman"/>
              <w:bCs/>
              <w:snapToGrid w:val="0"/>
              <w:sz w:val="24"/>
              <w:szCs w:val="32"/>
            </w:rPr>
            <w:t>一、打造特色生态文化载体</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_Toc11973 \h </w:instrText>
          </w:r>
          <w:r>
            <w:rPr>
              <w:rFonts w:ascii="Times New Roman" w:hAnsi="Times New Roman"/>
              <w:sz w:val="24"/>
            </w:rPr>
            <w:fldChar w:fldCharType="separate"/>
          </w:r>
          <w:r>
            <w:rPr>
              <w:rFonts w:ascii="Times New Roman" w:hAnsi="Times New Roman"/>
              <w:sz w:val="24"/>
            </w:rPr>
            <w:t>68</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"_Toc21003" </w:instrText>
          </w:r>
          <w:r>
            <w:fldChar w:fldCharType="separate"/>
          </w:r>
          <w:r>
            <w:rPr>
              <w:rFonts w:ascii="Times New Roman" w:hAnsi="Times New Roman"/>
              <w:bCs/>
              <w:snapToGrid w:val="0"/>
              <w:sz w:val="24"/>
              <w:szCs w:val="32"/>
            </w:rPr>
            <w:t>二、推进生态文明宣传教育</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_Toc21003 \h </w:instrText>
          </w:r>
          <w:r>
            <w:rPr>
              <w:rFonts w:ascii="Times New Roman" w:hAnsi="Times New Roman"/>
              <w:sz w:val="24"/>
            </w:rPr>
            <w:fldChar w:fldCharType="separate"/>
          </w:r>
          <w:r>
            <w:rPr>
              <w:rFonts w:ascii="Times New Roman" w:hAnsi="Times New Roman"/>
              <w:sz w:val="24"/>
            </w:rPr>
            <w:t>69</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"_Toc8007" </w:instrText>
          </w:r>
          <w:r>
            <w:fldChar w:fldCharType="separate"/>
          </w:r>
          <w:r>
            <w:rPr>
              <w:rFonts w:ascii="Times New Roman" w:hAnsi="Times New Roman"/>
              <w:bCs/>
              <w:snapToGrid w:val="0"/>
              <w:sz w:val="24"/>
              <w:szCs w:val="32"/>
            </w:rPr>
            <w:t>三、推动生态文明共建共享</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_Toc8007 \h </w:instrText>
          </w:r>
          <w:r>
            <w:rPr>
              <w:rFonts w:ascii="Times New Roman" w:hAnsi="Times New Roman"/>
              <w:sz w:val="24"/>
            </w:rPr>
            <w:fldChar w:fldCharType="separate"/>
          </w:r>
          <w:r>
            <w:rPr>
              <w:rFonts w:ascii="Times New Roman" w:hAnsi="Times New Roman"/>
              <w:sz w:val="24"/>
            </w:rPr>
            <w:t>71</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"_Toc30426" </w:instrText>
          </w:r>
          <w:r>
            <w:fldChar w:fldCharType="separate"/>
          </w:r>
          <w:r>
            <w:rPr>
              <w:rFonts w:ascii="Times New Roman" w:hAnsi="Times New Roman"/>
              <w:b/>
              <w:sz w:val="24"/>
              <w:szCs w:val="36"/>
            </w:rPr>
            <w:t>第九章 重点工程与效益分析</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_Toc30426 \h </w:instrText>
          </w:r>
          <w:r>
            <w:rPr>
              <w:rFonts w:ascii="Times New Roman" w:hAnsi="Times New Roman"/>
              <w:b/>
              <w:sz w:val="24"/>
            </w:rPr>
            <w:fldChar w:fldCharType="separate"/>
          </w:r>
          <w:r>
            <w:rPr>
              <w:rFonts w:ascii="Times New Roman" w:hAnsi="Times New Roman"/>
              <w:b/>
              <w:sz w:val="24"/>
            </w:rPr>
            <w:t>73</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"_Toc17666" </w:instrText>
          </w:r>
          <w:r>
            <w:fldChar w:fldCharType="separate"/>
          </w:r>
          <w:r>
            <w:rPr>
              <w:rFonts w:ascii="Times New Roman" w:hAnsi="Times New Roman"/>
              <w:bCs/>
              <w:snapToGrid w:val="0"/>
              <w:sz w:val="24"/>
              <w:szCs w:val="32"/>
            </w:rPr>
            <w:t>一、工程内容与投资估算</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_Toc17666 \h </w:instrText>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"_Toc25557" </w:instrText>
          </w:r>
          <w:r>
            <w:fldChar w:fldCharType="separate"/>
          </w:r>
          <w:r>
            <w:rPr>
              <w:rFonts w:ascii="Times New Roman" w:hAnsi="Times New Roman"/>
              <w:bCs/>
              <w:snapToGrid w:val="0"/>
              <w:sz w:val="24"/>
              <w:szCs w:val="32"/>
            </w:rPr>
            <w:t>二、效益分析</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_Toc25557 \h </w:instrText>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"_Toc5031" </w:instrText>
          </w:r>
          <w:r>
            <w:fldChar w:fldCharType="separate"/>
          </w:r>
          <w:r>
            <w:rPr>
              <w:rFonts w:ascii="Times New Roman" w:hAnsi="Times New Roman"/>
              <w:b/>
              <w:sz w:val="24"/>
              <w:szCs w:val="36"/>
            </w:rPr>
            <w:t>第十章 保障措施</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_Toc5031 \h </w:instrText>
          </w:r>
          <w:r>
            <w:rPr>
              <w:rFonts w:ascii="Times New Roman" w:hAnsi="Times New Roman"/>
              <w:b/>
              <w:sz w:val="24"/>
            </w:rPr>
            <w:fldChar w:fldCharType="separate"/>
          </w:r>
          <w:r>
            <w:rPr>
              <w:rFonts w:ascii="Times New Roman" w:hAnsi="Times New Roman"/>
              <w:b/>
              <w:sz w:val="24"/>
            </w:rPr>
            <w:t>75</w:t>
          </w:r>
          <w:r>
            <w:rPr>
              <w:rFonts w:ascii="Times New Roman" w:hAnsi="Times New Roman"/>
              <w:b/>
              <w:sz w:val="24"/>
            </w:rPr>
            <w:fldChar w:fldCharType="end"/>
          </w:r>
          <w:r>
            <w:rPr>
              <w:rFonts w:ascii="Times New Roman" w:hAnsi="Times New Roman"/>
              <w:b/>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"_Toc9919" </w:instrText>
          </w:r>
          <w:r>
            <w:fldChar w:fldCharType="separate"/>
          </w:r>
          <w:r>
            <w:rPr>
              <w:rFonts w:ascii="Times New Roman" w:hAnsi="Times New Roman"/>
              <w:bCs/>
              <w:snapToGrid w:val="0"/>
              <w:sz w:val="24"/>
              <w:szCs w:val="32"/>
            </w:rPr>
            <w:t>一、加强组织领导</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_Toc9919 \h </w:instrText>
          </w:r>
          <w:r>
            <w:rPr>
              <w:rFonts w:ascii="Times New Roman" w:hAnsi="Times New Roman"/>
              <w:sz w:val="24"/>
            </w:rPr>
            <w:fldChar w:fldCharType="separate"/>
          </w:r>
          <w:r>
            <w:rPr>
              <w:rFonts w:ascii="Times New Roman" w:hAnsi="Times New Roman"/>
              <w:sz w:val="24"/>
            </w:rPr>
            <w:t>75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"_Toc28538" </w:instrText>
          </w:r>
          <w:r>
            <w:fldChar w:fldCharType="separate"/>
          </w:r>
          <w:r>
            <w:rPr>
              <w:rFonts w:ascii="Times New Roman" w:hAnsi="Times New Roman"/>
              <w:bCs/>
              <w:snapToGrid w:val="0"/>
              <w:sz w:val="24"/>
              <w:szCs w:val="32"/>
            </w:rPr>
            <w:t>二、强化监督考核</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_Toc28538 \h </w:instrText>
          </w:r>
          <w:r>
            <w:rPr>
              <w:rFonts w:ascii="Times New Roman" w:hAnsi="Times New Roman"/>
              <w:sz w:val="24"/>
            </w:rPr>
            <w:fldChar w:fldCharType="separate"/>
          </w:r>
          <w:r>
            <w:rPr>
              <w:rFonts w:ascii="Times New Roman" w:hAnsi="Times New Roman"/>
              <w:sz w:val="24"/>
            </w:rPr>
            <w:t>75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"_Toc4654" </w:instrText>
          </w:r>
          <w:r>
            <w:fldChar w:fldCharType="separate"/>
          </w:r>
          <w:r>
            <w:rPr>
              <w:rFonts w:ascii="Times New Roman" w:hAnsi="Times New Roman"/>
              <w:bCs/>
              <w:snapToGrid w:val="0"/>
              <w:sz w:val="24"/>
              <w:szCs w:val="32"/>
            </w:rPr>
            <w:t>三、加大资金投入</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_Toc4654 \h </w:instrText>
          </w:r>
          <w:r>
            <w:rPr>
              <w:rFonts w:ascii="Times New Roman" w:hAnsi="Times New Roman"/>
              <w:sz w:val="24"/>
            </w:rPr>
            <w:fldChar w:fldCharType="separate"/>
          </w:r>
          <w:r>
            <w:rPr>
              <w:rFonts w:ascii="Times New Roman" w:hAnsi="Times New Roman"/>
              <w:sz w:val="24"/>
            </w:rPr>
            <w:t>75</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"_Toc27288" </w:instrText>
          </w:r>
          <w:r>
            <w:fldChar w:fldCharType="separate"/>
          </w:r>
          <w:r>
            <w:rPr>
              <w:rFonts w:ascii="Times New Roman" w:hAnsi="Times New Roman"/>
              <w:bCs/>
              <w:snapToGrid w:val="0"/>
              <w:sz w:val="24"/>
              <w:szCs w:val="32"/>
            </w:rPr>
            <w:t>四、促进科技创新</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_Toc27288 \h </w:instrText>
          </w:r>
          <w:r>
            <w:rPr>
              <w:rFonts w:ascii="Times New Roman" w:hAnsi="Times New Roman"/>
              <w:sz w:val="24"/>
            </w:rPr>
            <w:fldChar w:fldCharType="separate"/>
          </w:r>
          <w:r>
            <w:rPr>
              <w:rFonts w:ascii="Times New Roman" w:hAnsi="Times New Roman"/>
              <w:sz w:val="24"/>
            </w:rPr>
            <w:t>76</w:t>
          </w:r>
          <w:r>
            <w:rPr>
              <w:rFonts w:ascii="Times New Roman" w:hAnsi="Times New Roman"/>
              <w:sz w:val="24"/>
            </w:rPr>
            <w:fldChar w:fldCharType="end"/>
          </w:r>
          <w:r>
            <w:rPr>
              <w:rFonts w:ascii="Times New Roman" w:hAnsi="Times New Roman"/>
              <w:sz w:val="24"/>
            </w:rPr>
            <w:fldChar w:fldCharType="end"/>
          </w:r>
        </w:p>
        <w:p>
          <w:pPr>
            <w:pStyle w:val="1268"/>
            <w:tabs>
              <w:tab w:val="right" w:leader="dot" w:pos="8306"/>
            </w:tabs>
            <w:spacing w:line="360" w:lineRule="auto"/>
            <w:ind w:left="480"/>
            <w:rPr>
              <w:rFonts w:ascii="Times New Roman" w:hAnsi="Times New Roman"/>
              <w:sz w:val="24"/>
            </w:rPr>
          </w:pPr>
          <w:r>
            <w:fldChar w:fldCharType="begin"/>
          </w:r>
          <w:r>
            <w:instrText xml:space="preserve"> HYPERLINK \l "_Toc14910" </w:instrText>
          </w:r>
          <w:r>
            <w:fldChar w:fldCharType="separate"/>
          </w:r>
          <w:r>
            <w:rPr>
              <w:rFonts w:ascii="Times New Roman" w:hAnsi="Times New Roman"/>
              <w:bCs/>
              <w:snapToGrid w:val="0"/>
              <w:sz w:val="24"/>
              <w:szCs w:val="32"/>
            </w:rPr>
            <w:t>五、推动社会参与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_Toc14910 \h </w:instrText>
          </w:r>
          <w:r>
            <w:rPr>
              <w:rFonts w:ascii="Times New Roman" w:hAnsi="Times New Roman"/>
              <w:sz w:val="24"/>
            </w:rPr>
            <w:fldChar w:fldCharType="separate"/>
          </w:r>
          <w:r>
            <w:rPr>
              <w:rFonts w:ascii="Times New Roman" w:hAnsi="Times New Roman"/>
              <w:sz w:val="24"/>
            </w:rPr>
            <w:t>76</w:t>
          </w:r>
          <w:r>
            <w:rPr>
              <w:rFonts w:ascii="Times New Roman" w:hAnsi="Times New Roman"/>
              <w:sz w:val="24"/>
            </w:rPr>
            <w:fldChar w:fldCharType="end"/>
          </w:r>
          <w:r>
            <w:rPr>
              <w:rFonts w:ascii="Times New Roman" w:hAnsi="Times New Roman"/>
              <w:sz w:val="24"/>
            </w:rPr>
            <w:fldChar w:fldCharType="end"/>
          </w:r>
        </w:p>
        <w:p>
          <w:pPr>
            <w:pStyle w:val="1267"/>
            <w:tabs>
              <w:tab w:val="right" w:leader="dot" w:pos="8306"/>
            </w:tabs>
            <w:spacing w:line="360" w:lineRule="auto"/>
            <w:rPr>
              <w:rFonts w:ascii="Times New Roman" w:hAnsi="Times New Roman"/>
              <w:b/>
              <w:sz w:val="24"/>
            </w:rPr>
          </w:pPr>
          <w:r>
            <w:fldChar w:fldCharType="begin"/>
          </w:r>
          <w:r>
            <w:instrText xml:space="preserve"> HYPERLINK \l "_Toc12623" </w:instrText>
          </w:r>
          <w:r>
            <w:fldChar w:fldCharType="separate"/>
          </w:r>
          <w:r>
            <w:rPr>
              <w:rFonts w:ascii="Times New Roman" w:hAnsi="Times New Roman"/>
              <w:b/>
              <w:sz w:val="24"/>
            </w:rPr>
            <w:t>附表：滕州市生态文明建设重点工程一览表</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 PAGEREF _Toc12623 \h </w:instrText>
          </w:r>
          <w:r>
            <w:rPr>
              <w:rFonts w:ascii="Times New Roman" w:hAnsi="Times New Roman"/>
              <w:b/>
              <w:sz w:val="24"/>
            </w:rPr>
            <w:fldChar w:fldCharType="separate"/>
          </w:r>
          <w:r>
            <w:rPr>
              <w:rFonts w:ascii="Times New Roman" w:hAnsi="Times New Roman"/>
              <w:b/>
              <w:sz w:val="24"/>
            </w:rPr>
            <w:t>76</w:t>
          </w:r>
          <w:r>
            <w:rPr>
              <w:rFonts w:ascii="Times New Roman" w:hAnsi="Times New Roman"/>
              <w:b/>
              <w:sz w:val="24"/>
            </w:rPr>
            <w:fldChar w:fldCharType="end"/>
          </w:r>
          <w:r>
            <w:rPr>
              <w:rFonts w:ascii="Times New Roman" w:hAnsi="Times New Roman"/>
              <w:b/>
              <w:sz w:val="24"/>
            </w:rPr>
            <w:fldChar w:fldCharType="end"/>
          </w:r>
        </w:p>
        <w:p>
          <w:pPr>
            <w:widowControl/>
            <w:ind w:firstLine="0" w:firstLineChars="0"/>
            <w:jc w:val="left"/>
            <w:rPr>
              <w:szCs w:val="21"/>
            </w:rPr>
          </w:pPr>
          <w:r>
            <w:rPr>
              <w:b/>
              <w:szCs w:val="21"/>
            </w:rPr>
            <w:fldChar w:fldCharType="end"/>
          </w:r>
        </w:p>
      </w:sdtContent>
    </w:sdt>
    <w:p>
      <w:pPr>
        <w:widowControl/>
        <w:spacing w:line="240" w:lineRule="auto"/>
        <w:ind w:firstLine="0" w:firstLineChars="0"/>
        <w:jc w:val="left"/>
        <w:rPr>
          <w:rFonts w:ascii="Calibri" w:hAnsi="Calibri"/>
          <w:sz w:val="21"/>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upperRoman" w:start="1"/>
          <w:cols w:space="720" w:num="1"/>
          <w:docGrid w:type="lines" w:linePitch="312" w:charSpace="0"/>
        </w:sectPr>
      </w:pPr>
      <w:r>
        <w:rPr>
          <w:rFonts w:ascii="Calibri" w:hAnsi="Calibri"/>
          <w:sz w:val="21"/>
          <w:szCs w:val="21"/>
        </w:rPr>
        <w:br w:type="page"/>
      </w:r>
    </w:p>
    <w:p>
      <w:pPr>
        <w:pStyle w:val="4"/>
        <w:spacing w:after="0" w:afterAutospacing="0" w:line="360" w:lineRule="auto"/>
        <w:ind w:firstLine="0" w:firstLineChars="0"/>
        <w:rPr>
          <w:rFonts w:ascii="Times New Roman" w:hAnsi="Times New Roman"/>
          <w:color w:val="auto"/>
          <w:sz w:val="36"/>
          <w:szCs w:val="36"/>
        </w:rPr>
      </w:pPr>
      <w:bookmarkStart w:id="2" w:name="_Toc7023"/>
      <w:bookmarkStart w:id="3" w:name="_Toc31873"/>
      <w:bookmarkStart w:id="4" w:name="_Toc148454071"/>
      <w:bookmarkStart w:id="5" w:name="_Toc148450890"/>
      <w:r>
        <w:rPr>
          <w:rFonts w:ascii="Times New Roman" w:hAnsi="Times New Roman"/>
          <w:color w:val="auto"/>
          <w:sz w:val="36"/>
          <w:szCs w:val="36"/>
        </w:rPr>
        <w:t>前</w:t>
      </w:r>
      <w:r>
        <w:rPr>
          <w:rFonts w:hint="eastAsia" w:ascii="Times New Roman" w:hAnsi="Times New Roman"/>
          <w:color w:val="auto"/>
          <w:sz w:val="36"/>
          <w:szCs w:val="36"/>
        </w:rPr>
        <w:t xml:space="preserve"> </w:t>
      </w:r>
      <w:r>
        <w:rPr>
          <w:rFonts w:ascii="Times New Roman" w:hAnsi="Times New Roman"/>
          <w:color w:val="auto"/>
          <w:sz w:val="36"/>
          <w:szCs w:val="36"/>
        </w:rPr>
        <w:t xml:space="preserve"> 言</w:t>
      </w:r>
      <w:bookmarkEnd w:id="2"/>
      <w:bookmarkEnd w:id="3"/>
      <w:bookmarkEnd w:id="4"/>
      <w:bookmarkEnd w:id="5"/>
    </w:p>
    <w:p>
      <w:pPr>
        <w:ind w:firstLine="480"/>
        <w:rPr>
          <w:szCs w:val="28"/>
        </w:rPr>
      </w:pPr>
      <w:r>
        <w:rPr>
          <w:rFonts w:hint="eastAsia"/>
          <w:szCs w:val="28"/>
        </w:rPr>
        <w:t>党的十八大以来，以习近平同志为核心的党中央站在坚持和发展中国特色社会主义、实现中华民族伟大复兴中国梦的战略高度，把生态文明建设摆在治国理政的突出位置，作为统筹推进“五位一体”总体布局和协调推进“四个全面”战略布局的重要内容，谋划开展了一系列根本性、开创性、长远性工作，推动生态文明建设从实践到认识发生了历史性、转折性、全局性变化。党的十九大报告指出“建设生态文明是中华民族永续发展的千年大计”，提出“形成绿色发展方式和生活方式，坚定走生产发展、生活富裕、生态良好的文明发展道路，建设美丽中国，为人民创造良好生产生活环境，为全球生态安全作出贡献”的社会主义新时代建设要求，进一步提出了“加快生态文明体制改革，建设美丽中国”的任务和目标。十九届五中全会提出“完善生态文明领域统筹协调机制，构建生态文明体系，促进经济社会发展全面绿色转型，建设人与自然和谐共生的现代化”。《中华人民共和国国民经济和社会发展第十四个五年规划和2035年远景目标纲要》进一步提出，要构建生态文明体系，建设美丽中国</w:t>
      </w:r>
      <w:r>
        <w:rPr>
          <w:szCs w:val="28"/>
        </w:rPr>
        <w:t>。</w:t>
      </w:r>
      <w:r>
        <w:rPr>
          <w:rFonts w:hint="eastAsia"/>
          <w:szCs w:val="28"/>
        </w:rPr>
        <w:t>党的二十大报告提出，推动绿色发展，促进人与自然和谐共生，牢固树立和践行绿水青山就是金山银山的理念，站在人与自然和谐共生的高度谋划发展。中国式现代化是人与自然和谐共生的现代化，推动绿色发展、促进人与自然和谐共生是中国式现代化的本质要求。</w:t>
      </w:r>
    </w:p>
    <w:p>
      <w:pPr>
        <w:ind w:firstLine="480"/>
        <w:rPr>
          <w:szCs w:val="28"/>
        </w:rPr>
      </w:pPr>
      <w:r>
        <w:rPr>
          <w:rFonts w:hint="eastAsia"/>
        </w:rPr>
        <w:t>山东省历来高度重视保护环境、建设生态，较早认识到了生态文明建设的重要性。党的十八大以来，山东深入贯彻落实习近平总书记系列重要讲话</w:t>
      </w:r>
      <w:r>
        <w:rPr>
          <w:lang w:val="en"/>
        </w:rPr>
        <w:t>,</w:t>
      </w:r>
      <w:r>
        <w:rPr>
          <w:rFonts w:hint="eastAsia"/>
        </w:rPr>
        <w:t>特别是视察山东重要讲话精神，牢固树立绿水青山就是金山银山的发展理念，深入实施生态文明建设工程，加快形成人与自然和谐发展的现代化建设新格局，全省生态文明建设和“美丽山东”建设全面推进。2</w:t>
      </w:r>
      <w:r>
        <w:t>021</w:t>
      </w:r>
      <w:r>
        <w:rPr>
          <w:rFonts w:hint="eastAsia"/>
        </w:rPr>
        <w:t>年印发《科技引领产业绿色低碳高质量发展的实施意见》，加快推动全省产业绿色低碳高质量发展，为实现碳达峰碳中和目标提供有力的科技支撑。2</w:t>
      </w:r>
      <w:r>
        <w:t>022</w:t>
      </w:r>
      <w:r>
        <w:rPr>
          <w:rFonts w:hint="eastAsia"/>
        </w:rPr>
        <w:t>年6月发布《美丽山东建设规划纲要（2021-2035年）》，以人与自然和谐共生为主题，以统筹推进生态保护和高质量发展为主线，以改革创新为动力，以满足人民日益增长的优美生态环境需要为目标，深入统筹实施秀美空间、绿色经济、和谐生态、优美环境、健康安全、美丽城乡、生态文化、现代制度“八美共建”，多措并举建设人与自然和谐共生的美丽山东；同年9月，国务院发布《国务院关于支持山东深化新旧动能转换推动绿色低碳高质量发展的意见》（国发〔2022〕18号），</w:t>
      </w:r>
      <w:r>
        <w:t>这是党中央提出“双碳”战略以来第一个以绿色低碳高质量发展为主题的区域战略</w:t>
      </w:r>
      <w:r>
        <w:rPr>
          <w:rFonts w:hint="eastAsia"/>
        </w:rPr>
        <w:t>，该意见</w:t>
      </w:r>
      <w:r>
        <w:t>是</w:t>
      </w:r>
      <w:r>
        <w:rPr>
          <w:rFonts w:hint="eastAsia"/>
        </w:rPr>
        <w:t>继</w:t>
      </w:r>
      <w:r>
        <w:t>《山东新旧动能转换综合试验区建设总体方案》</w:t>
      </w:r>
      <w:r>
        <w:rPr>
          <w:rFonts w:hint="eastAsia"/>
        </w:rPr>
        <w:t>后，</w:t>
      </w:r>
      <w:r>
        <w:t>山东新旧动能转换目标任务升级版，是发展方向再聚焦，是指导山东省未来一段时期经济社会发展的总纲领</w:t>
      </w:r>
      <w:r>
        <w:rPr>
          <w:rFonts w:hint="eastAsia"/>
        </w:rPr>
        <w:t>。</w:t>
      </w:r>
    </w:p>
    <w:p>
      <w:pPr>
        <w:ind w:firstLine="480"/>
        <w:rPr>
          <w:szCs w:val="28"/>
        </w:rPr>
      </w:pPr>
      <w:r>
        <w:rPr>
          <w:rFonts w:hint="eastAsia"/>
          <w:szCs w:val="28"/>
        </w:rPr>
        <w:t>滕州市委市政府高度重视生态文明建设工作，按照党中央生态文明建设的总体要求和山东省委、省政府工作部署，积极推进滕州市生态文明建设。2015年，建立生态滕州建设领导小组，编制《生态市建设规划》，印发《加强生态滕州建设的实施意见》《生态滕州建设考核办法》等文件，将生态建设纳入镇街、部门年度目标考核指标体系，将主要任务指标分解落实到有关单位，严格实行</w:t>
      </w:r>
      <w:r>
        <w:rPr>
          <w:rFonts w:hint="eastAsia" w:asciiTheme="minorEastAsia" w:hAnsiTheme="minorEastAsia" w:eastAsiaTheme="minorEastAsia"/>
          <w:szCs w:val="28"/>
        </w:rPr>
        <w:t>“</w:t>
      </w:r>
      <w:r>
        <w:rPr>
          <w:rFonts w:hint="eastAsia"/>
          <w:szCs w:val="28"/>
        </w:rPr>
        <w:t>生态环保一票否决</w:t>
      </w:r>
      <w:r>
        <w:rPr>
          <w:rFonts w:hint="eastAsia" w:asciiTheme="minorEastAsia" w:hAnsiTheme="minorEastAsia" w:eastAsiaTheme="minorEastAsia"/>
          <w:szCs w:val="28"/>
        </w:rPr>
        <w:t>”</w:t>
      </w:r>
      <w:r>
        <w:rPr>
          <w:rFonts w:hint="eastAsia"/>
          <w:szCs w:val="28"/>
        </w:rPr>
        <w:t>，并把考核结果作为领导干部政绩考核的重要依据。市财政优先安排生态建设专项资金和工作经费，逐年增加对生态保护、污染防治等方面的资金投入，为生态建设提供资金支持。全面启动国家生态文明建设示范区创建工作，将生态市建设领导小组调整为市生态文明建设领导小组，由市委、市政府主要领导担任组长，统筹推进全市生态文明建设中的重大事项和重大项目。</w:t>
      </w:r>
    </w:p>
    <w:p>
      <w:pPr>
        <w:ind w:firstLine="480"/>
        <w:rPr>
          <w:sz w:val="28"/>
          <w:szCs w:val="28"/>
        </w:rPr>
      </w:pPr>
      <w:r>
        <w:rPr>
          <w:rFonts w:hint="eastAsia"/>
          <w:szCs w:val="28"/>
        </w:rPr>
        <w:t>本次规划的规划期限是202</w:t>
      </w:r>
      <w:r>
        <w:rPr>
          <w:szCs w:val="28"/>
        </w:rPr>
        <w:t>3</w:t>
      </w:r>
      <w:r>
        <w:rPr>
          <w:rFonts w:hint="eastAsia"/>
          <w:szCs w:val="28"/>
        </w:rPr>
        <w:t>-20</w:t>
      </w:r>
      <w:r>
        <w:rPr>
          <w:szCs w:val="28"/>
        </w:rPr>
        <w:t>30</w:t>
      </w:r>
      <w:r>
        <w:rPr>
          <w:rFonts w:hint="eastAsia"/>
          <w:szCs w:val="28"/>
        </w:rPr>
        <w:t>年，基准年为202</w:t>
      </w:r>
      <w:r>
        <w:rPr>
          <w:szCs w:val="28"/>
        </w:rPr>
        <w:t>2</w:t>
      </w:r>
      <w:r>
        <w:rPr>
          <w:rFonts w:hint="eastAsia"/>
          <w:szCs w:val="28"/>
        </w:rPr>
        <w:t>年，其中规划近期是202</w:t>
      </w:r>
      <w:r>
        <w:rPr>
          <w:szCs w:val="28"/>
        </w:rPr>
        <w:t>3-2</w:t>
      </w:r>
      <w:r>
        <w:rPr>
          <w:rFonts w:hint="eastAsia"/>
          <w:szCs w:val="28"/>
        </w:rPr>
        <w:t>02</w:t>
      </w:r>
      <w:r>
        <w:rPr>
          <w:szCs w:val="28"/>
        </w:rPr>
        <w:t>5</w:t>
      </w:r>
      <w:r>
        <w:rPr>
          <w:rFonts w:hint="eastAsia"/>
          <w:szCs w:val="28"/>
        </w:rPr>
        <w:t>年，为全面建设时期，规划远期是202</w:t>
      </w:r>
      <w:r>
        <w:rPr>
          <w:szCs w:val="28"/>
        </w:rPr>
        <w:t>6</w:t>
      </w:r>
      <w:r>
        <w:rPr>
          <w:rFonts w:hint="eastAsia"/>
          <w:szCs w:val="28"/>
        </w:rPr>
        <w:t>-20</w:t>
      </w:r>
      <w:r>
        <w:rPr>
          <w:szCs w:val="28"/>
        </w:rPr>
        <w:t>30</w:t>
      </w:r>
      <w:r>
        <w:rPr>
          <w:rFonts w:hint="eastAsia"/>
          <w:szCs w:val="28"/>
        </w:rPr>
        <w:t>年，为深化拓展时期</w:t>
      </w:r>
      <w:r>
        <w:rPr>
          <w:szCs w:val="28"/>
        </w:rPr>
        <w:t>。</w:t>
      </w:r>
    </w:p>
    <w:p>
      <w:pPr>
        <w:pStyle w:val="4"/>
        <w:spacing w:after="0" w:afterAutospacing="0" w:line="360" w:lineRule="auto"/>
        <w:ind w:firstLine="562"/>
        <w:jc w:val="both"/>
        <w:rPr>
          <w:rFonts w:ascii="Times New Roman" w:hAnsi="Times New Roman" w:eastAsia="宋体"/>
          <w:color w:val="auto"/>
          <w:sz w:val="28"/>
          <w:szCs w:val="28"/>
        </w:rPr>
        <w:sectPr>
          <w:headerReference r:id="rId17" w:type="default"/>
          <w:footerReference r:id="rId18" w:type="default"/>
          <w:type w:val="continuous"/>
          <w:pgSz w:w="11906" w:h="16838"/>
          <w:pgMar w:top="1440" w:right="1800" w:bottom="1440" w:left="1800" w:header="851" w:footer="992" w:gutter="0"/>
          <w:pgNumType w:start="1"/>
          <w:cols w:space="720" w:num="1"/>
          <w:docGrid w:type="lines" w:linePitch="312" w:charSpace="0"/>
        </w:sectPr>
      </w:pPr>
    </w:p>
    <w:p>
      <w:pPr>
        <w:keepNext/>
        <w:keepLines/>
        <w:spacing w:before="312" w:beforeLines="100" w:after="312" w:afterLines="100"/>
        <w:ind w:firstLine="0" w:firstLineChars="0"/>
        <w:jc w:val="center"/>
        <w:outlineLvl w:val="0"/>
        <w:rPr>
          <w:rFonts w:eastAsia="黑体"/>
          <w:b/>
          <w:kern w:val="0"/>
          <w:sz w:val="36"/>
          <w:szCs w:val="36"/>
        </w:rPr>
      </w:pPr>
      <w:bookmarkStart w:id="6" w:name="_Toc148454072"/>
      <w:bookmarkStart w:id="7" w:name="_Toc6352"/>
      <w:bookmarkStart w:id="8" w:name="_Toc148450891"/>
      <w:bookmarkStart w:id="9" w:name="_Toc1619"/>
      <w:r>
        <w:rPr>
          <w:rFonts w:eastAsia="黑体"/>
          <w:b/>
          <w:kern w:val="0"/>
          <w:sz w:val="36"/>
          <w:szCs w:val="36"/>
        </w:rPr>
        <w:t>第一章 工作基础与形势</w:t>
      </w:r>
      <w:bookmarkStart w:id="10" w:name="_Toc467115539"/>
      <w:bookmarkStart w:id="11" w:name="_Toc467227276"/>
      <w:bookmarkStart w:id="12" w:name="_Toc24279029"/>
      <w:bookmarkStart w:id="13" w:name="_Toc467110249"/>
      <w:r>
        <w:rPr>
          <w:rFonts w:eastAsia="黑体"/>
          <w:b/>
          <w:kern w:val="0"/>
          <w:sz w:val="36"/>
          <w:szCs w:val="36"/>
        </w:rPr>
        <w:t>分析</w:t>
      </w:r>
      <w:bookmarkEnd w:id="6"/>
      <w:bookmarkEnd w:id="7"/>
      <w:bookmarkEnd w:id="8"/>
      <w:bookmarkEnd w:id="9"/>
    </w:p>
    <w:p>
      <w:pPr>
        <w:pStyle w:val="1336"/>
      </w:pPr>
      <w:bookmarkStart w:id="14" w:name="_Toc139894224"/>
      <w:bookmarkStart w:id="15" w:name="_Toc139894268"/>
      <w:bookmarkStart w:id="16" w:name="_Toc148450892"/>
      <w:bookmarkStart w:id="17" w:name="_Toc15354"/>
      <w:bookmarkStart w:id="18" w:name="_Toc139894352"/>
      <w:bookmarkStart w:id="19" w:name="_Toc148454073"/>
      <w:bookmarkStart w:id="20" w:name="_Toc95"/>
      <w:r>
        <w:t>一、建设基础</w:t>
      </w:r>
      <w:bookmarkEnd w:id="14"/>
      <w:bookmarkEnd w:id="15"/>
      <w:bookmarkEnd w:id="16"/>
      <w:bookmarkEnd w:id="17"/>
      <w:bookmarkEnd w:id="18"/>
      <w:bookmarkEnd w:id="19"/>
      <w:bookmarkEnd w:id="20"/>
      <w:r>
        <w:tab/>
      </w:r>
    </w:p>
    <w:p>
      <w:pPr>
        <w:widowControl/>
        <w:ind w:firstLine="562"/>
        <w:jc w:val="left"/>
        <w:outlineLvl w:val="2"/>
        <w:rPr>
          <w:b/>
          <w:bCs/>
          <w:kern w:val="0"/>
          <w:sz w:val="28"/>
          <w:lang w:eastAsia="zh-Hans"/>
        </w:rPr>
      </w:pPr>
      <w:bookmarkStart w:id="21" w:name="_Toc148450893"/>
      <w:bookmarkStart w:id="22" w:name="_Toc148454074"/>
      <w:r>
        <w:rPr>
          <w:b/>
          <w:bCs/>
          <w:kern w:val="0"/>
          <w:sz w:val="28"/>
          <w:lang w:eastAsia="zh-Hans"/>
        </w:rPr>
        <w:t>（一）区域特征</w:t>
      </w:r>
      <w:bookmarkEnd w:id="21"/>
      <w:bookmarkEnd w:id="22"/>
    </w:p>
    <w:p>
      <w:pPr>
        <w:ind w:firstLine="480"/>
        <w:rPr>
          <w:szCs w:val="28"/>
        </w:rPr>
      </w:pPr>
      <w:r>
        <w:rPr>
          <w:szCs w:val="28"/>
        </w:rPr>
        <w:t>滕州市位于山东省南部，地处北纬34°50′至35°17′</w:t>
      </w:r>
      <w:r>
        <w:rPr>
          <w:rFonts w:hint="eastAsia"/>
          <w:szCs w:val="28"/>
        </w:rPr>
        <w:t>、</w:t>
      </w:r>
      <w:r>
        <w:rPr>
          <w:szCs w:val="28"/>
        </w:rPr>
        <w:t>东经116°49′至117°24′之间。东邻枣庄市山亭区，南邻枣庄市薛城区，西濒微山湖、接济宁市微山县，北邻济宁市邹城市。市境东西45公里，南北46公里，面积1495.14平方公里。滕州市是连结鲁南与苏北的门户地区，经济实力雄厚、资源物产富集、文化底蕴深厚、生态本底突出，是山东省人口最多的县级市，全国县域经济综合竞争力百强县，全国机械工业产业集群区域品牌建设先进地区、</w:t>
      </w:r>
      <w:r>
        <w:rPr>
          <w:rFonts w:asciiTheme="minorEastAsia" w:hAnsiTheme="minorEastAsia" w:eastAsiaTheme="minorEastAsia"/>
          <w:szCs w:val="28"/>
        </w:rPr>
        <w:t>“</w:t>
      </w:r>
      <w:r>
        <w:rPr>
          <w:rFonts w:ascii="宋体" w:hAnsi="宋体"/>
          <w:szCs w:val="28"/>
        </w:rPr>
        <w:t>中国中小机床之都</w:t>
      </w:r>
      <w:r>
        <w:rPr>
          <w:rFonts w:asciiTheme="minorEastAsia" w:hAnsiTheme="minorEastAsia" w:eastAsiaTheme="minorEastAsia"/>
          <w:szCs w:val="28"/>
        </w:rPr>
        <w:t>”“</w:t>
      </w:r>
      <w:r>
        <w:rPr>
          <w:rFonts w:ascii="宋体" w:hAnsi="宋体"/>
          <w:szCs w:val="28"/>
        </w:rPr>
        <w:t>中国工艺玻璃之乡</w:t>
      </w:r>
      <w:r>
        <w:rPr>
          <w:rFonts w:asciiTheme="minorEastAsia" w:hAnsiTheme="minorEastAsia" w:eastAsiaTheme="minorEastAsia"/>
          <w:szCs w:val="28"/>
        </w:rPr>
        <w:t>”</w:t>
      </w:r>
      <w:r>
        <w:rPr>
          <w:szCs w:val="28"/>
        </w:rPr>
        <w:t>、江北最大的童车童床生产基地，在全省创建经济文化强省新局面和推进新旧动能转换的重大工程中具有十分重要的战略地位。</w:t>
      </w:r>
    </w:p>
    <w:p>
      <w:pPr>
        <w:widowControl/>
        <w:ind w:firstLine="562"/>
        <w:jc w:val="left"/>
        <w:outlineLvl w:val="2"/>
        <w:rPr>
          <w:b/>
          <w:bCs/>
          <w:kern w:val="0"/>
          <w:sz w:val="28"/>
          <w:lang w:eastAsia="zh-Hans"/>
        </w:rPr>
      </w:pPr>
      <w:bookmarkStart w:id="23" w:name="_Toc148450894"/>
      <w:bookmarkStart w:id="24" w:name="_Toc148454075"/>
      <w:r>
        <w:rPr>
          <w:b/>
          <w:bCs/>
          <w:kern w:val="0"/>
          <w:sz w:val="28"/>
          <w:lang w:eastAsia="zh-Hans"/>
        </w:rPr>
        <w:t>（二）工作基础</w:t>
      </w:r>
      <w:bookmarkEnd w:id="23"/>
      <w:bookmarkEnd w:id="24"/>
    </w:p>
    <w:p>
      <w:pPr>
        <w:ind w:firstLine="482"/>
      </w:pPr>
      <w:r>
        <w:rPr>
          <w:rFonts w:hint="eastAsia"/>
          <w:b/>
          <w:szCs w:val="28"/>
        </w:rPr>
        <w:t>全面深化改革创新，生态制度体系逐步健全。</w:t>
      </w:r>
      <w:r>
        <w:rPr>
          <w:rFonts w:hint="eastAsia"/>
          <w:bCs/>
          <w:szCs w:val="28"/>
        </w:rPr>
        <w:t>近年来，滕州市全面开展全市规划环评工作，不断强化试点产业园区规划环评与项目环评的联动管理，定期开展规划环评报告编制质量和环评落实情况检查。始终把推进河湖长制作为一项重要的政治任务，建立三级河（湖）长组织体系，建立“南四湖”流域生态保护暨“河长湖长+检察长”协作机制，形成了各级河长湖长和检察长共同保护河湖生态健康的强大合力。积极推进生态损害赔偿制度改革，强化生态环境司法支撑。认真组织开展生态文明建设工作，将生态环境指标与地方政府和党政领导干部的年终考核挂钩，把全市生态文明建设各项目标任务作为各镇街政府、各相关部门工作实绩的重要内容，强化考核激励，确保每一项工作都有部署、有跟进、有督查、有考核。完善政府信息公开的长效工作机制，定期发布滕州饮用水源地水质、地表水水质、大气环境以及污染源监测情况，要求重点排污单位根据《企事业单位环境信息公开办法》公开相关环境信息，生态环境信息公开率100%。全力推进省社会信用体系典型城市创建，出台《滕州市创建省社会信用体系建设典型城市工作实施方案》，滕州在全国383个县级城市信用监测排名位次持续提升，2</w:t>
      </w:r>
      <w:r>
        <w:rPr>
          <w:bCs/>
          <w:szCs w:val="28"/>
        </w:rPr>
        <w:t>022</w:t>
      </w:r>
      <w:r>
        <w:rPr>
          <w:rFonts w:hint="eastAsia"/>
          <w:bCs/>
          <w:szCs w:val="28"/>
        </w:rPr>
        <w:t>年7月份排名跃居第15位、创历史新高，典型经验被国家信用信息中心宣传推广。</w:t>
      </w:r>
    </w:p>
    <w:p>
      <w:pPr>
        <w:ind w:firstLine="482"/>
        <w:rPr>
          <w:szCs w:val="28"/>
        </w:rPr>
      </w:pPr>
      <w:r>
        <w:rPr>
          <w:b/>
          <w:shd w:val="clear" w:color="auto" w:fill="FFFFFF"/>
        </w:rPr>
        <w:t>保护治理持续发力，生态环境质量持续改善。</w:t>
      </w:r>
      <w:r>
        <w:rPr>
          <w:shd w:val="clear" w:color="auto" w:fill="FFFFFF"/>
        </w:rPr>
        <w:t>持续加强大气污染防治，</w:t>
      </w:r>
      <w:r>
        <w:rPr>
          <w:bCs/>
          <w:shd w:val="clear" w:color="auto" w:fill="FFFFFF"/>
        </w:rPr>
        <w:t>印发《2021年滕州市空气质量全面改善行动方案》</w:t>
      </w:r>
      <w:r>
        <w:rPr>
          <w:rFonts w:hint="eastAsia"/>
          <w:bCs/>
          <w:shd w:val="clear" w:color="auto" w:fill="FFFFFF"/>
        </w:rPr>
        <w:t>《滕州市2021—2022年秋冬季大气污染大排查大整治专项行动方案》《滕州市2022-2023年秋冬季环境空气提质增优攻坚方案》</w:t>
      </w:r>
      <w:r>
        <w:rPr>
          <w:bCs/>
          <w:shd w:val="clear" w:color="auto" w:fill="FFFFFF"/>
        </w:rPr>
        <w:t>，全面推进空气环境质量改善，</w:t>
      </w:r>
      <w:r>
        <w:rPr>
          <w:rFonts w:hint="eastAsia"/>
          <w:bCs/>
          <w:shd w:val="clear" w:color="auto" w:fill="FFFFFF"/>
        </w:rPr>
        <w:t>2</w:t>
      </w:r>
      <w:r>
        <w:rPr>
          <w:bCs/>
          <w:shd w:val="clear" w:color="auto" w:fill="FFFFFF"/>
        </w:rPr>
        <w:t>022</w:t>
      </w:r>
      <w:r>
        <w:rPr>
          <w:rFonts w:hint="eastAsia"/>
          <w:bCs/>
          <w:shd w:val="clear" w:color="auto" w:fill="FFFFFF"/>
        </w:rPr>
        <w:t>年滕州市</w:t>
      </w:r>
      <w:r>
        <w:rPr>
          <w:bCs/>
          <w:shd w:val="clear" w:color="auto" w:fill="FFFFFF"/>
        </w:rPr>
        <w:t>空气优良</w:t>
      </w:r>
      <w:r>
        <w:rPr>
          <w:rFonts w:hint="eastAsia"/>
          <w:bCs/>
          <w:shd w:val="clear" w:color="auto" w:fill="FFFFFF"/>
        </w:rPr>
        <w:t>天数比例</w:t>
      </w:r>
      <w:r>
        <w:rPr>
          <w:bCs/>
          <w:shd w:val="clear" w:color="auto" w:fill="FFFFFF"/>
        </w:rPr>
        <w:t>达66.8%，</w:t>
      </w:r>
      <w:r>
        <w:rPr>
          <w:rFonts w:hint="eastAsia"/>
          <w:bCs/>
          <w:shd w:val="clear" w:color="auto" w:fill="FFFFFF"/>
        </w:rPr>
        <w:t>同比增加3.5%。</w:t>
      </w:r>
      <w:r>
        <w:rPr>
          <w:szCs w:val="28"/>
        </w:rPr>
        <w:t>污染减排成效显著</w:t>
      </w:r>
      <w:r>
        <w:rPr>
          <w:rFonts w:hint="eastAsia"/>
          <w:szCs w:val="28"/>
        </w:rPr>
        <w:t>，</w:t>
      </w:r>
      <w:r>
        <w:rPr>
          <w:rFonts w:hint="eastAsia"/>
          <w:bCs/>
          <w:szCs w:val="28"/>
        </w:rPr>
        <w:t>实施精细化管控，</w:t>
      </w:r>
      <w:r>
        <w:rPr>
          <w:rFonts w:hint="eastAsia"/>
          <w:szCs w:val="28"/>
        </w:rPr>
        <w:t>采取“园区+管家”“行业+专家”模式，实施系统化整治，组织对69家涂装、人造板材等企业涉挥发性有机物工序进行现场监测评估，对34家加油站开展油气回收检查，在经济开发区、鲁南高科技化工园区、机械工业园区等重点区域开展VOCs、颗粒物、氮氧化物、二氧化硫走航监测。</w:t>
      </w:r>
      <w:r>
        <w:rPr>
          <w:szCs w:val="28"/>
        </w:rPr>
        <w:t>深入推进水污染防治，严格防范水环境风险，水环境质量不断改善，北沙河王晁桥、城郭河群乐桥、新薛河洛房桥3条国控河流断面各项指标均值全部达到地表水三类水质标准，集中式饮用水水源地水质达标率为100%</w:t>
      </w:r>
      <w:r>
        <w:rPr>
          <w:rFonts w:hint="eastAsia"/>
          <w:szCs w:val="28"/>
        </w:rPr>
        <w:t>；</w:t>
      </w:r>
      <w:r>
        <w:rPr>
          <w:szCs w:val="28"/>
        </w:rPr>
        <w:t>与徽山县、山亭区签订流域横向生态补偿协议，共同促进区域水环境质量改善。有序开展土壤污染防治，受污染耕地安全利用率和污染地块安全利用率均为100%，</w:t>
      </w:r>
      <w:r>
        <w:rPr>
          <w:rFonts w:hint="eastAsia"/>
          <w:szCs w:val="28"/>
        </w:rPr>
        <w:t>满足</w:t>
      </w:r>
      <w:r>
        <w:rPr>
          <w:szCs w:val="28"/>
        </w:rPr>
        <w:t>上级目标考核要求。大力推进农业农村污染防治工作</w:t>
      </w:r>
      <w:r>
        <w:rPr>
          <w:shd w:val="clear" w:color="auto" w:fill="FFFFFF"/>
        </w:rPr>
        <w:t>，</w:t>
      </w:r>
      <w:r>
        <w:rPr>
          <w:rFonts w:hint="eastAsia"/>
          <w:shd w:val="clear" w:color="auto" w:fill="FFFFFF"/>
        </w:rPr>
        <w:t>693个村庄的农村生活污水治理全面完工</w:t>
      </w:r>
      <w:r>
        <w:rPr>
          <w:shd w:val="clear" w:color="auto" w:fill="FFFFFF"/>
        </w:rPr>
        <w:t>，3个镇5处农村黑臭水体已完成治理，规模养殖场</w:t>
      </w:r>
      <w:r>
        <w:rPr>
          <w:rFonts w:hint="eastAsia"/>
          <w:shd w:val="clear" w:color="auto" w:fill="FFFFFF"/>
        </w:rPr>
        <w:t>及养殖专业户粪污处理设施配建率实现100%</w:t>
      </w:r>
      <w:r>
        <w:rPr>
          <w:shd w:val="clear" w:color="auto" w:fill="FFFFFF"/>
        </w:rPr>
        <w:t>，畜禽粪污综合利用率达到</w:t>
      </w:r>
      <w:r>
        <w:rPr>
          <w:rFonts w:hint="eastAsia"/>
          <w:shd w:val="clear" w:color="auto" w:fill="FFFFFF"/>
        </w:rPr>
        <w:t>92.6</w:t>
      </w:r>
      <w:r>
        <w:rPr>
          <w:shd w:val="clear" w:color="auto" w:fill="FFFFFF"/>
        </w:rPr>
        <w:t>%</w:t>
      </w:r>
      <w:r>
        <w:rPr>
          <w:szCs w:val="28"/>
        </w:rPr>
        <w:t>。</w:t>
      </w:r>
    </w:p>
    <w:p>
      <w:pPr>
        <w:pStyle w:val="2"/>
        <w:spacing w:after="0"/>
        <w:ind w:left="0" w:leftChars="0" w:firstLine="482"/>
      </w:pPr>
      <w:r>
        <w:rPr>
          <w:rFonts w:hint="eastAsia"/>
          <w:b/>
        </w:rPr>
        <w:t>强化生态空间管控，生态安全格局日趋稳固。</w:t>
      </w:r>
      <w:r>
        <w:rPr>
          <w:rFonts w:hint="eastAsia"/>
        </w:rPr>
        <w:t>近年来，滕州市全面建立三级林长制组织体系，大力推进国土绿化，建设环城绿道生态保护屏障，市域内总体植被覆盖良好。</w:t>
      </w:r>
      <w:r>
        <w:t>2022</w:t>
      </w:r>
      <w:r>
        <w:rPr>
          <w:rFonts w:hint="eastAsia"/>
        </w:rPr>
        <w:t>年完成新造林6248亩，建设提升生态廊道134公里、城区内绿道（绿廊）30公里，修复湿地面积850亩、裸露山体4处，综合治理河道8处，建成高标准农田11.6万亩。积极创建省、市级森林镇村，全市累计创成省级森林镇3个、森林村居22个，枣庄市级森林镇</w:t>
      </w:r>
      <w:r>
        <w:t>13</w:t>
      </w:r>
      <w:r>
        <w:rPr>
          <w:rFonts w:hint="eastAsia"/>
        </w:rPr>
        <w:t>个、森林村居</w:t>
      </w:r>
      <w:r>
        <w:t>129</w:t>
      </w:r>
      <w:r>
        <w:rPr>
          <w:rFonts w:hint="eastAsia"/>
        </w:rPr>
        <w:t>个，滕州市级森林镇16个、森林村居113个。自然保护地数量多、类型丰富、等级较高、面积大，全市自然保护地3类10处。</w:t>
      </w:r>
      <w:bookmarkStart w:id="25" w:name="_Hlk149058082"/>
      <w:r>
        <w:rPr>
          <w:rFonts w:hint="eastAsia"/>
        </w:rPr>
        <w:t>划定生态保护红线5</w:t>
      </w:r>
      <w:r>
        <w:t>5.72</w:t>
      </w:r>
      <w:r>
        <w:rPr>
          <w:rFonts w:hint="eastAsia"/>
        </w:rPr>
        <w:t>平方千米（</w:t>
      </w:r>
      <w:r>
        <w:t>8.3586</w:t>
      </w:r>
      <w:r>
        <w:rPr>
          <w:rFonts w:hint="eastAsia"/>
        </w:rPr>
        <w:t>万亩）、全市永久基本农田保护面积</w:t>
      </w:r>
      <w:r>
        <w:t>704.61</w:t>
      </w:r>
      <w:r>
        <w:rPr>
          <w:rFonts w:hint="eastAsia"/>
        </w:rPr>
        <w:t>平方千米（</w:t>
      </w:r>
      <w:r>
        <w:t>105.6910</w:t>
      </w:r>
      <w:r>
        <w:rPr>
          <w:rFonts w:hint="eastAsia"/>
        </w:rPr>
        <w:t>万亩）。</w:t>
      </w:r>
      <w:bookmarkEnd w:id="25"/>
      <w:r>
        <w:rPr>
          <w:rFonts w:hint="eastAsia"/>
        </w:rPr>
        <w:t>逐步在“山东省空天地一体化自然资源监测监管系统”中补充完善耕地和永久基本农田矢量化信息，将耕地保护责任目标和永久基本农田保护任务分配至各级田长进行网格化管理，不断提升“田长制”管理和巡查的智慧化、信息化。</w:t>
      </w:r>
    </w:p>
    <w:p>
      <w:pPr>
        <w:ind w:firstLine="482"/>
        <w:rPr>
          <w:szCs w:val="32"/>
          <w:lang w:eastAsia="zh-Hans"/>
        </w:rPr>
      </w:pPr>
      <w:r>
        <w:rPr>
          <w:b/>
          <w:szCs w:val="28"/>
        </w:rPr>
        <w:t>强化资源节约利用，县域经济量质齐升。</w:t>
      </w:r>
      <w:r>
        <w:rPr>
          <w:rFonts w:hint="eastAsia"/>
          <w:szCs w:val="28"/>
        </w:rPr>
        <w:t>“</w:t>
      </w:r>
      <w:r>
        <w:rPr>
          <w:szCs w:val="28"/>
        </w:rPr>
        <w:t>十三五</w:t>
      </w:r>
      <w:r>
        <w:rPr>
          <w:rFonts w:asciiTheme="minorEastAsia" w:hAnsiTheme="minorEastAsia" w:eastAsiaTheme="minorEastAsia"/>
          <w:szCs w:val="28"/>
        </w:rPr>
        <w:t>”</w:t>
      </w:r>
      <w:r>
        <w:rPr>
          <w:szCs w:val="28"/>
        </w:rPr>
        <w:t>期间，滕州市坚持稳中求进工作总基调，以供给侧结构性改革为主线，以新旧动能转换为统领，率先走出</w:t>
      </w:r>
      <w:r>
        <w:rPr>
          <w:rFonts w:asciiTheme="minorEastAsia" w:hAnsiTheme="minorEastAsia" w:eastAsiaTheme="minorEastAsia"/>
          <w:szCs w:val="28"/>
        </w:rPr>
        <w:t>“</w:t>
      </w:r>
      <w:r>
        <w:rPr>
          <w:szCs w:val="28"/>
        </w:rPr>
        <w:t>五闯五攻五样板</w:t>
      </w:r>
      <w:r>
        <w:rPr>
          <w:rFonts w:asciiTheme="minorEastAsia" w:hAnsiTheme="minorEastAsia" w:eastAsiaTheme="minorEastAsia"/>
          <w:szCs w:val="28"/>
        </w:rPr>
        <w:t>”</w:t>
      </w:r>
      <w:r>
        <w:rPr>
          <w:szCs w:val="28"/>
        </w:rPr>
        <w:t>发展之路。经济运行平稳有序，2022年全市生产总值达901.31亿元，</w:t>
      </w:r>
      <w:r>
        <w:rPr>
          <w:rFonts w:hint="eastAsia"/>
          <w:szCs w:val="28"/>
        </w:rPr>
        <w:t>成功入选省工业十强县（市）和民营经济高质量发展先进县（市），并成功上榜2022年中国工业百强县（市）、中国创新百强县（市）、全国制造业百强县（市）</w:t>
      </w:r>
      <w:r>
        <w:rPr>
          <w:szCs w:val="28"/>
        </w:rPr>
        <w:t>。产业结构持续优化，三次产业比例调整为10.2:43.6:46.2，</w:t>
      </w:r>
      <w:r>
        <w:rPr>
          <w:rFonts w:asciiTheme="minorEastAsia" w:hAnsiTheme="minorEastAsia" w:eastAsiaTheme="minorEastAsia"/>
          <w:szCs w:val="28"/>
        </w:rPr>
        <w:t>“</w:t>
      </w:r>
      <w:r>
        <w:rPr>
          <w:szCs w:val="28"/>
        </w:rPr>
        <w:t>633</w:t>
      </w:r>
      <w:r>
        <w:rPr>
          <w:rFonts w:asciiTheme="minorEastAsia" w:hAnsiTheme="minorEastAsia" w:eastAsiaTheme="minorEastAsia"/>
          <w:szCs w:val="28"/>
        </w:rPr>
        <w:t>”</w:t>
      </w:r>
      <w:r>
        <w:rPr>
          <w:szCs w:val="28"/>
        </w:rPr>
        <w:t>现代产业体系基本确立。工业经济势头强劲，</w:t>
      </w:r>
      <w:r>
        <w:rPr>
          <w:rFonts w:hint="eastAsia"/>
          <w:szCs w:val="28"/>
        </w:rPr>
        <w:t>全市122个重点项目全部开工建设，完成投资314亿元，</w:t>
      </w:r>
      <w:r>
        <w:rPr>
          <w:szCs w:val="28"/>
        </w:rPr>
        <w:t>规上工业企业发展到360家，累计培育国家级专精特新“小巨人”企业7家、国家重点支持“小巨人”企业1家，省级专精特新中小企业66家、瞪羚企业19家、“单项冠军”7家、省级示范基地6个，滕州市连续获评中国工业百强县</w:t>
      </w:r>
      <w:r>
        <w:rPr>
          <w:rFonts w:hint="eastAsia"/>
          <w:szCs w:val="28"/>
        </w:rPr>
        <w:t>。</w:t>
      </w:r>
      <w:r>
        <w:rPr>
          <w:szCs w:val="28"/>
        </w:rPr>
        <w:t>乡村振兴实现全面提升，农业生产提质增效，累计建成高标准农田113.7万亩，农业机械化率达94%，</w:t>
      </w:r>
      <w:r>
        <w:rPr>
          <w:rFonts w:hint="eastAsia"/>
          <w:szCs w:val="28"/>
        </w:rPr>
        <w:t>累计</w:t>
      </w:r>
      <w:r>
        <w:rPr>
          <w:szCs w:val="28"/>
        </w:rPr>
        <w:t>认证</w:t>
      </w:r>
      <w:r>
        <w:rPr>
          <w:rFonts w:asciiTheme="minorEastAsia" w:hAnsiTheme="minorEastAsia" w:eastAsiaTheme="minorEastAsia"/>
          <w:szCs w:val="28"/>
        </w:rPr>
        <w:t>“</w:t>
      </w:r>
      <w:r>
        <w:rPr>
          <w:szCs w:val="28"/>
        </w:rPr>
        <w:t>三品一标</w:t>
      </w:r>
      <w:r>
        <w:rPr>
          <w:rFonts w:asciiTheme="minorEastAsia" w:hAnsiTheme="minorEastAsia" w:eastAsiaTheme="minorEastAsia"/>
          <w:szCs w:val="28"/>
        </w:rPr>
        <w:t>”</w:t>
      </w:r>
      <w:r>
        <w:rPr>
          <w:szCs w:val="28"/>
        </w:rPr>
        <w:t>242个，获评</w:t>
      </w:r>
      <w:r>
        <w:rPr>
          <w:rFonts w:asciiTheme="minorEastAsia" w:hAnsiTheme="minorEastAsia" w:eastAsiaTheme="minorEastAsia"/>
          <w:szCs w:val="28"/>
        </w:rPr>
        <w:t>“</w:t>
      </w:r>
      <w:r>
        <w:rPr>
          <w:szCs w:val="28"/>
        </w:rPr>
        <w:t>中国好粮油</w:t>
      </w:r>
      <w:r>
        <w:rPr>
          <w:rFonts w:asciiTheme="minorEastAsia" w:hAnsiTheme="minorEastAsia" w:eastAsiaTheme="minorEastAsia"/>
          <w:szCs w:val="28"/>
        </w:rPr>
        <w:t>”</w:t>
      </w:r>
      <w:r>
        <w:rPr>
          <w:szCs w:val="28"/>
        </w:rPr>
        <w:t>示范县、全国渔业健康养殖示范县。现代服务业繁荣发展，</w:t>
      </w:r>
      <w:r>
        <w:rPr>
          <w:rFonts w:hint="eastAsia"/>
          <w:szCs w:val="28"/>
        </w:rPr>
        <w:t>目前累计在库</w:t>
      </w:r>
      <w:r>
        <w:rPr>
          <w:szCs w:val="28"/>
        </w:rPr>
        <w:t>限上企业515家，过百亿元专业市场发展到4处，A级以上景区达到22家，获评国家电子商务进农村综合示范县、全国县域旅游综合实力百强县。</w:t>
      </w:r>
    </w:p>
    <w:p>
      <w:pPr>
        <w:ind w:firstLine="482"/>
        <w:rPr>
          <w:lang w:bidi="ar"/>
        </w:rPr>
      </w:pPr>
      <w:r>
        <w:rPr>
          <w:b/>
          <w:lang w:bidi="ar"/>
        </w:rPr>
        <w:t>推进基础设施建设，城乡面貌焕然一新</w:t>
      </w:r>
      <w:r>
        <w:rPr>
          <w:lang w:bidi="ar"/>
        </w:rPr>
        <w:t>。实施农村饮水安全两年攻坚行动，完成10个镇254个村的管网延伸工程，全市安全饮水人口增加35.8万人，同时出台《加强农村饮水安全工程长效管理的指导意见》，建立农村水管员及公示制度，</w:t>
      </w:r>
      <w:r>
        <w:rPr>
          <w:rFonts w:hint="eastAsia"/>
          <w:lang w:bidi="ar"/>
        </w:rPr>
        <w:t>实现</w:t>
      </w:r>
      <w:r>
        <w:rPr>
          <w:rFonts w:asciiTheme="minorEastAsia" w:hAnsiTheme="minorEastAsia" w:eastAsiaTheme="minorEastAsia"/>
          <w:lang w:bidi="ar"/>
        </w:rPr>
        <w:t>“</w:t>
      </w:r>
      <w:r>
        <w:rPr>
          <w:lang w:bidi="ar"/>
        </w:rPr>
        <w:t>农村供水城市化、城乡供水一体化</w:t>
      </w:r>
      <w:r>
        <w:rPr>
          <w:rFonts w:asciiTheme="minorEastAsia" w:hAnsiTheme="minorEastAsia" w:eastAsiaTheme="minorEastAsia"/>
          <w:lang w:bidi="ar"/>
        </w:rPr>
        <w:t>”</w:t>
      </w:r>
      <w:r>
        <w:rPr>
          <w:lang w:bidi="ar"/>
        </w:rPr>
        <w:t>目标。围绕污水处理提质增效年度任务，实施城区北部雨污管网、开发区管网、三污配套管网新建改造工程，污水处理率显著提高</w:t>
      </w:r>
      <w:r>
        <w:rPr>
          <w:rFonts w:hint="eastAsia"/>
          <w:lang w:bidi="ar"/>
        </w:rPr>
        <w:t>；推进九村、小冯河2处人工湿地生态修复项目建设。</w:t>
      </w:r>
      <w:r>
        <w:rPr>
          <w:lang w:bidi="ar"/>
        </w:rPr>
        <w:t>生活垃圾无害化处理率100%，城镇管道燃气普及率达到100%</w:t>
      </w:r>
      <w:r>
        <w:rPr>
          <w:rFonts w:hint="eastAsia"/>
          <w:lang w:bidi="ar"/>
        </w:rPr>
        <w:t>。</w:t>
      </w:r>
      <w:r>
        <w:rPr>
          <w:lang w:bidi="ar"/>
        </w:rPr>
        <w:t>实施</w:t>
      </w:r>
      <w:r>
        <w:rPr>
          <w:rFonts w:asciiTheme="minorEastAsia" w:hAnsiTheme="minorEastAsia" w:eastAsiaTheme="minorEastAsia"/>
          <w:lang w:bidi="ar"/>
        </w:rPr>
        <w:t>“</w:t>
      </w:r>
      <w:r>
        <w:rPr>
          <w:lang w:bidi="ar"/>
        </w:rPr>
        <w:t>绿满滕州、花拥荆河</w:t>
      </w:r>
      <w:r>
        <w:rPr>
          <w:rFonts w:asciiTheme="minorEastAsia" w:hAnsiTheme="minorEastAsia" w:eastAsiaTheme="minorEastAsia"/>
          <w:lang w:bidi="ar"/>
        </w:rPr>
        <w:t>”</w:t>
      </w:r>
      <w:r>
        <w:rPr>
          <w:lang w:bidi="ar"/>
        </w:rPr>
        <w:t>绿化提升行动，</w:t>
      </w:r>
      <w:r>
        <w:rPr>
          <w:rFonts w:hint="eastAsia"/>
          <w:lang w:bidi="ar"/>
        </w:rPr>
        <w:t>已累计新建改建城区公园游园和“口袋公园”150余处</w:t>
      </w:r>
      <w:r>
        <w:rPr>
          <w:lang w:bidi="ar"/>
        </w:rPr>
        <w:t>，新增城区绿地面积180万平方米，全市城市建成区绿化覆盖率达42.06%，人均公园绿地面积达14.8平方米/人，城市整体形象进一步提升。交通基建工程突飞猛进，公路通达深度进一步提升，建制村和新型农村社区等级公路通达率达到100%；</w:t>
      </w:r>
      <w:r>
        <w:t>全面落实公交优先战略，新能源和清洁能源公交车占比达92%</w:t>
      </w:r>
      <w:r>
        <w:rPr>
          <w:lang w:bidi="ar"/>
        </w:rPr>
        <w:t>，</w:t>
      </w:r>
      <w:r>
        <w:t>城乡客运公交化运营比例达到100%。城市精细化管理持续完善，</w:t>
      </w:r>
      <w:r>
        <w:rPr>
          <w:rFonts w:hint="eastAsia"/>
          <w:lang w:bidi="ar"/>
        </w:rPr>
        <w:t>2022年，滕州市实施8个片区76个老旧小区改造项目，改造面积约185万平方米、受益居民1.87万户</w:t>
      </w:r>
      <w:r>
        <w:rPr>
          <w:lang w:bidi="ar"/>
        </w:rPr>
        <w:t>，全年新增海绵城市面积3.5平方千米，累计完成海绵城市总面积达到25.45平方千米，占建成区面积的39%。乡村振兴全面推进，农村人居环境整治三年行动圆满收官，建成美丽乡村981个</w:t>
      </w:r>
      <w:r>
        <w:rPr>
          <w:rFonts w:hint="eastAsia"/>
          <w:lang w:bidi="ar"/>
        </w:rPr>
        <w:t>，</w:t>
      </w:r>
      <w:r>
        <w:rPr>
          <w:lang w:bidi="ar"/>
        </w:rPr>
        <w:t>获评全国乡村振兴百佳示范市。</w:t>
      </w:r>
    </w:p>
    <w:p>
      <w:pPr>
        <w:ind w:firstLine="482"/>
      </w:pPr>
      <w:r>
        <w:rPr>
          <w:b/>
        </w:rPr>
        <w:t>着力挖掘历史底蕴，生态文化培育不断深化。</w:t>
      </w:r>
      <w:r>
        <w:t>不断健全全市公共文化服务体系，</w:t>
      </w:r>
      <w:r>
        <w:rPr>
          <w:rFonts w:asciiTheme="minorEastAsia" w:hAnsiTheme="minorEastAsia" w:eastAsiaTheme="minorEastAsia"/>
        </w:rPr>
        <w:t>“</w:t>
      </w:r>
      <w:r>
        <w:t>市、镇、村三级</w:t>
      </w:r>
      <w:r>
        <w:rPr>
          <w:rFonts w:asciiTheme="minorEastAsia" w:hAnsiTheme="minorEastAsia" w:eastAsiaTheme="minorEastAsia"/>
        </w:rPr>
        <w:t>”</w:t>
      </w:r>
      <w:r>
        <w:t>公共文化服务体系格局规模凸显，不断实施</w:t>
      </w:r>
      <w:r>
        <w:rPr>
          <w:rFonts w:asciiTheme="minorEastAsia" w:hAnsiTheme="minorEastAsia" w:eastAsiaTheme="minorEastAsia"/>
        </w:rPr>
        <w:t>“</w:t>
      </w:r>
      <w:r>
        <w:t>基层公共文化设施完善提升工程</w:t>
      </w:r>
      <w:r>
        <w:rPr>
          <w:rFonts w:asciiTheme="minorEastAsia" w:hAnsiTheme="minorEastAsia" w:eastAsiaTheme="minorEastAsia"/>
        </w:rPr>
        <w:t>”</w:t>
      </w:r>
      <w:r>
        <w:t>，将全市21个镇街和1246个村居全部建成综合性文化服务中心，有效提升了基层文化设施的硬件条件和服务功能。高度重视生态文明建设宣传，在滕州电视台《民生新闻》栏目、《滕州日报》发布各镇街空气质量情况排名，有效传导了大气污染防治工作压力。开展</w:t>
      </w:r>
      <w:r>
        <w:rPr>
          <w:rFonts w:asciiTheme="minorEastAsia" w:hAnsiTheme="minorEastAsia" w:eastAsiaTheme="minorEastAsia"/>
        </w:rPr>
        <w:t>“</w:t>
      </w:r>
      <w:r>
        <w:t>美丽中国、我是行动者</w:t>
      </w:r>
      <w:r>
        <w:rPr>
          <w:rFonts w:asciiTheme="minorEastAsia" w:hAnsiTheme="minorEastAsia" w:eastAsiaTheme="minorEastAsia"/>
        </w:rPr>
        <w:t>”</w:t>
      </w:r>
      <w:r>
        <w:t>十大标兵评选，积极推进环境教育基地创建，光大环保能源（滕州）有限公司、滕州市垃圾分类体验馆被枣庄市生态环境局、市教育局命名为2020年市级环境教育基地。创新实施共产党员</w:t>
      </w:r>
      <w:r>
        <w:rPr>
          <w:rFonts w:asciiTheme="minorEastAsia" w:hAnsiTheme="minorEastAsia" w:eastAsiaTheme="minorEastAsia"/>
        </w:rPr>
        <w:t>“</w:t>
      </w:r>
      <w:r>
        <w:t>淬火提质</w:t>
      </w:r>
      <w:r>
        <w:rPr>
          <w:rFonts w:asciiTheme="minorEastAsia" w:hAnsiTheme="minorEastAsia" w:eastAsiaTheme="minorEastAsia"/>
        </w:rPr>
        <w:t>”</w:t>
      </w:r>
      <w:r>
        <w:t>行动，打造</w:t>
      </w:r>
      <w:r>
        <w:rPr>
          <w:rFonts w:asciiTheme="minorEastAsia" w:hAnsiTheme="minorEastAsia" w:eastAsiaTheme="minorEastAsia"/>
        </w:rPr>
        <w:t>“</w:t>
      </w:r>
      <w:r>
        <w:t>5+X</w:t>
      </w:r>
      <w:r>
        <w:rPr>
          <w:rFonts w:asciiTheme="minorEastAsia" w:hAnsiTheme="minorEastAsia" w:eastAsiaTheme="minorEastAsia"/>
        </w:rPr>
        <w:t>”</w:t>
      </w:r>
      <w:r>
        <w:t>模块课程体系，大力推行</w:t>
      </w:r>
      <w:r>
        <w:rPr>
          <w:rFonts w:asciiTheme="minorEastAsia" w:hAnsiTheme="minorEastAsia" w:eastAsiaTheme="minorEastAsia"/>
        </w:rPr>
        <w:t>“</w:t>
      </w:r>
      <w:r>
        <w:t>十个一</w:t>
      </w:r>
      <w:r>
        <w:rPr>
          <w:rFonts w:asciiTheme="minorEastAsia" w:hAnsiTheme="minorEastAsia" w:eastAsiaTheme="minorEastAsia"/>
        </w:rPr>
        <w:t>”</w:t>
      </w:r>
      <w:r>
        <w:t>流程化培训模式，打造淬火阵地66处，建立72人淬火师资库，开发淬火课程92门，开展淬火培训170余期，培训4.1万余人次，全面提升党员党性修养，相关经验做法在省组工信息刊发。</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26" w:name="_Toc139894225"/>
      <w:bookmarkStart w:id="27" w:name="_Toc24654"/>
      <w:bookmarkStart w:id="28" w:name="_Toc139894353"/>
      <w:bookmarkStart w:id="29" w:name="_Toc139894269"/>
      <w:bookmarkStart w:id="30" w:name="_Toc148454076"/>
      <w:bookmarkStart w:id="31" w:name="_Toc15905"/>
      <w:bookmarkStart w:id="32" w:name="_Toc148450895"/>
      <w:r>
        <w:rPr>
          <w:rFonts w:eastAsia="黑体"/>
          <w:bCs/>
          <w:snapToGrid w:val="0"/>
          <w:kern w:val="0"/>
          <w:sz w:val="32"/>
          <w:szCs w:val="32"/>
        </w:rPr>
        <w:t>二、存在问题</w:t>
      </w:r>
      <w:bookmarkEnd w:id="26"/>
      <w:bookmarkEnd w:id="27"/>
      <w:bookmarkEnd w:id="28"/>
      <w:bookmarkEnd w:id="29"/>
      <w:bookmarkEnd w:id="30"/>
      <w:bookmarkEnd w:id="31"/>
      <w:bookmarkEnd w:id="32"/>
    </w:p>
    <w:p>
      <w:pPr>
        <w:ind w:firstLine="482"/>
        <w:rPr>
          <w:b/>
          <w:szCs w:val="28"/>
        </w:rPr>
      </w:pPr>
      <w:bookmarkStart w:id="33" w:name="_Hlk75766609"/>
      <w:r>
        <w:rPr>
          <w:b/>
          <w:szCs w:val="28"/>
        </w:rPr>
        <w:t>（1）工业稳增长压力大，产业转型步伐慢</w:t>
      </w:r>
    </w:p>
    <w:p>
      <w:pPr>
        <w:ind w:firstLine="480"/>
        <w:rPr>
          <w:szCs w:val="28"/>
        </w:rPr>
      </w:pPr>
      <w:r>
        <w:rPr>
          <w:szCs w:val="28"/>
        </w:rPr>
        <w:t>一是工业下行压力依然较大。国际环境更趋复杂严峻，发展的不稳定性、不确定性因素增多</w:t>
      </w:r>
      <w:r>
        <w:rPr>
          <w:rFonts w:hint="eastAsia"/>
          <w:szCs w:val="28"/>
        </w:rPr>
        <w:t>，造成部分产业链、供应链不畅，进出口业务尤为明显。拟升规企业规模膨胀速度不快，新增规上工业企业较少，新增企业对工业经济拉动作用较弱。</w:t>
      </w:r>
      <w:r>
        <w:rPr>
          <w:szCs w:val="28"/>
        </w:rPr>
        <w:t>二是企业规模实力不强。滕州市缺少产业带动力强的龙头大企业，</w:t>
      </w:r>
      <w:r>
        <w:rPr>
          <w:rFonts w:asciiTheme="minorEastAsia" w:hAnsiTheme="minorEastAsia" w:eastAsiaTheme="minorEastAsia"/>
          <w:szCs w:val="28"/>
        </w:rPr>
        <w:t>“</w:t>
      </w:r>
      <w:r>
        <w:rPr>
          <w:szCs w:val="28"/>
        </w:rPr>
        <w:t>群丘无峰</w:t>
      </w:r>
      <w:r>
        <w:rPr>
          <w:rFonts w:asciiTheme="minorEastAsia" w:hAnsiTheme="minorEastAsia" w:eastAsiaTheme="minorEastAsia"/>
          <w:szCs w:val="28"/>
        </w:rPr>
        <w:t>”</w:t>
      </w:r>
      <w:r>
        <w:rPr>
          <w:szCs w:val="28"/>
        </w:rPr>
        <w:t>现象仍较突出，缺乏</w:t>
      </w:r>
      <w:r>
        <w:rPr>
          <w:rFonts w:asciiTheme="minorEastAsia" w:hAnsiTheme="minorEastAsia" w:eastAsiaTheme="minorEastAsia"/>
          <w:szCs w:val="28"/>
        </w:rPr>
        <w:t>“</w:t>
      </w:r>
      <w:r>
        <w:rPr>
          <w:szCs w:val="28"/>
        </w:rPr>
        <w:t>顶天立地</w:t>
      </w:r>
      <w:r>
        <w:rPr>
          <w:rFonts w:asciiTheme="minorEastAsia" w:hAnsiTheme="minorEastAsia" w:eastAsiaTheme="minorEastAsia"/>
          <w:szCs w:val="28"/>
        </w:rPr>
        <w:t>”</w:t>
      </w:r>
      <w:r>
        <w:rPr>
          <w:szCs w:val="28"/>
        </w:rPr>
        <w:t>的大企业、大集团，辐射带动作用不强。三是产业结构偏重，新动能难以支撑经济发展。全市传统动能处于转型期，新动能处于培育期，</w:t>
      </w:r>
      <w:r>
        <w:rPr>
          <w:rFonts w:hint="eastAsia"/>
          <w:szCs w:val="28"/>
        </w:rPr>
        <w:t>化工产业是主要支撑行业，2</w:t>
      </w:r>
      <w:r>
        <w:rPr>
          <w:szCs w:val="28"/>
        </w:rPr>
        <w:t>022</w:t>
      </w:r>
      <w:r>
        <w:rPr>
          <w:rFonts w:hint="eastAsia"/>
          <w:szCs w:val="28"/>
        </w:rPr>
        <w:t>年山能鲁化、联泓新科、联泓化学、盛隆化工4家高端化工企业产值占全市规上工业总产值的35.2%，</w:t>
      </w:r>
      <w:r>
        <w:rPr>
          <w:szCs w:val="28"/>
        </w:rPr>
        <w:t>新兴动能难以支撑工业经济快速发展。对照</w:t>
      </w:r>
      <w:r>
        <w:rPr>
          <w:rFonts w:hint="eastAsia"/>
          <w:szCs w:val="28"/>
        </w:rPr>
        <w:t>山东</w:t>
      </w:r>
      <w:r>
        <w:rPr>
          <w:szCs w:val="28"/>
        </w:rPr>
        <w:t>省十强产业和枣庄市</w:t>
      </w:r>
      <w:r>
        <w:rPr>
          <w:rFonts w:asciiTheme="minorEastAsia" w:hAnsiTheme="minorEastAsia" w:eastAsiaTheme="minorEastAsia"/>
          <w:szCs w:val="28"/>
        </w:rPr>
        <w:t>“</w:t>
      </w:r>
      <w:r>
        <w:rPr>
          <w:szCs w:val="28"/>
        </w:rPr>
        <w:t>6+3</w:t>
      </w:r>
      <w:r>
        <w:rPr>
          <w:rFonts w:asciiTheme="minorEastAsia" w:hAnsiTheme="minorEastAsia" w:eastAsiaTheme="minorEastAsia"/>
          <w:szCs w:val="28"/>
        </w:rPr>
        <w:t>”</w:t>
      </w:r>
      <w:r>
        <w:rPr>
          <w:szCs w:val="28"/>
        </w:rPr>
        <w:t>现代产业，滕州市装备、化工、煤电等传统支柱产业</w:t>
      </w:r>
      <w:r>
        <w:rPr>
          <w:rFonts w:asciiTheme="minorEastAsia" w:hAnsiTheme="minorEastAsia" w:eastAsiaTheme="minorEastAsia"/>
          <w:szCs w:val="28"/>
        </w:rPr>
        <w:t>“</w:t>
      </w:r>
      <w:r>
        <w:rPr>
          <w:szCs w:val="28"/>
        </w:rPr>
        <w:t>量大势弱</w:t>
      </w:r>
      <w:r>
        <w:rPr>
          <w:rFonts w:asciiTheme="minorEastAsia" w:hAnsiTheme="minorEastAsia" w:eastAsiaTheme="minorEastAsia"/>
          <w:szCs w:val="28"/>
        </w:rPr>
        <w:t>”</w:t>
      </w:r>
      <w:r>
        <w:rPr>
          <w:szCs w:val="28"/>
        </w:rPr>
        <w:t>，产业集聚度和关联度不高，产业配套和创新能力不足；传统产业、资源型产业比重较大，新兴产业支撑较弱，科技创新能力不强，对外开放程度不高。</w:t>
      </w:r>
      <w:r>
        <w:rPr>
          <w:rFonts w:hint="eastAsia"/>
          <w:szCs w:val="28"/>
        </w:rPr>
        <w:t>企业整体智能化水平不高，两化融合及工业互联网应用水平低。</w:t>
      </w:r>
    </w:p>
    <w:p>
      <w:pPr>
        <w:ind w:firstLine="482"/>
        <w:rPr>
          <w:b/>
          <w:szCs w:val="28"/>
        </w:rPr>
      </w:pPr>
      <w:r>
        <w:rPr>
          <w:b/>
          <w:szCs w:val="28"/>
        </w:rPr>
        <w:t>（2）环境质量仍然有待进一步改善</w:t>
      </w:r>
    </w:p>
    <w:p>
      <w:pPr>
        <w:ind w:firstLine="480"/>
        <w:rPr>
          <w:szCs w:val="28"/>
        </w:rPr>
      </w:pPr>
      <w:r>
        <w:rPr>
          <w:szCs w:val="28"/>
        </w:rPr>
        <w:t>空气质量持续改善压力较大。滕州能源主要以煤为主，二氧化硫、氮氧化物等污染物排放总量依然较大，导致PM</w:t>
      </w:r>
      <w:r>
        <w:rPr>
          <w:szCs w:val="28"/>
          <w:vertAlign w:val="subscript"/>
        </w:rPr>
        <w:t>2.5</w:t>
      </w:r>
      <w:r>
        <w:rPr>
          <w:szCs w:val="28"/>
        </w:rPr>
        <w:t>浓度偏高；滕州工业企业数量多、规模大，虽然大部分企业安装了治污设施，实现了达标排放，但由于排放总量较大，还是对环境质量产生一定影响。辖区内复合型污染较重，各项指标持续改善压力大。水污染防治形势依然严峻。滕州面临3个国控断面、</w:t>
      </w:r>
      <w:r>
        <w:rPr>
          <w:rFonts w:hint="eastAsia"/>
          <w:szCs w:val="28"/>
        </w:rPr>
        <w:t>5</w:t>
      </w:r>
      <w:r>
        <w:rPr>
          <w:szCs w:val="28"/>
        </w:rPr>
        <w:t>个</w:t>
      </w:r>
      <w:r>
        <w:rPr>
          <w:rFonts w:hint="eastAsia"/>
          <w:szCs w:val="28"/>
        </w:rPr>
        <w:t>入湖口、1座水库水质</w:t>
      </w:r>
      <w:r>
        <w:rPr>
          <w:szCs w:val="28"/>
        </w:rPr>
        <w:t>的考核压力，加之南水北调、微山湖综合治理等，考核压力成倍叠加；河道治理任务艰巨，河湖</w:t>
      </w:r>
      <w:r>
        <w:rPr>
          <w:rFonts w:asciiTheme="minorEastAsia" w:hAnsiTheme="minorEastAsia" w:eastAsiaTheme="minorEastAsia"/>
          <w:szCs w:val="28"/>
        </w:rPr>
        <w:t>“</w:t>
      </w:r>
      <w:r>
        <w:rPr>
          <w:szCs w:val="28"/>
        </w:rPr>
        <w:t>清四乱</w:t>
      </w:r>
      <w:r>
        <w:rPr>
          <w:rFonts w:asciiTheme="minorEastAsia" w:hAnsiTheme="minorEastAsia" w:eastAsiaTheme="minorEastAsia"/>
          <w:szCs w:val="28"/>
        </w:rPr>
        <w:t>”</w:t>
      </w:r>
      <w:r>
        <w:rPr>
          <w:szCs w:val="28"/>
        </w:rPr>
        <w:t>常态化规范化还需持续深入开展。农业生产现代化、绿色化程度不高，农药化肥对河流水质造成一定影响。基础设施配套存在不足</w:t>
      </w:r>
      <w:r>
        <w:rPr>
          <w:rFonts w:hint="eastAsia"/>
          <w:szCs w:val="28"/>
        </w:rPr>
        <w:t>，</w:t>
      </w:r>
      <w:r>
        <w:rPr>
          <w:szCs w:val="28"/>
        </w:rPr>
        <w:t>城区污水管网配套不健全，个别区域存在溢流、渗漏情况，雨污不分的现象不同程度存在。土壤污染防治刚刚起步</w:t>
      </w:r>
      <w:r>
        <w:rPr>
          <w:rFonts w:hint="eastAsia"/>
          <w:szCs w:val="28"/>
        </w:rPr>
        <w:t>，</w:t>
      </w:r>
      <w:r>
        <w:rPr>
          <w:szCs w:val="28"/>
        </w:rPr>
        <w:t>全市土壤环境质量情况不明、底数不清，仍有很多停产多年的重点行业企业用地暂不开发利用，污染情况有待查明。生态修复与建设需要加强</w:t>
      </w:r>
      <w:r>
        <w:rPr>
          <w:rFonts w:hint="eastAsia"/>
          <w:szCs w:val="28"/>
        </w:rPr>
        <w:t>，</w:t>
      </w:r>
      <w:r>
        <w:rPr>
          <w:szCs w:val="28"/>
        </w:rPr>
        <w:t>过度开山采石造成生态破坏和水土流失较重，山体修复治理周期长、难度大。农村生活污水治理压力大，治理任务重与资金需求大的矛盾较突出。</w:t>
      </w:r>
    </w:p>
    <w:p>
      <w:pPr>
        <w:ind w:firstLine="482"/>
        <w:rPr>
          <w:b/>
          <w:szCs w:val="28"/>
        </w:rPr>
      </w:pPr>
      <w:r>
        <w:rPr>
          <w:b/>
          <w:szCs w:val="28"/>
        </w:rPr>
        <w:t>（3）土地、能耗等资源要素约束趋紧</w:t>
      </w:r>
    </w:p>
    <w:p>
      <w:pPr>
        <w:ind w:firstLine="480"/>
        <w:rPr>
          <w:szCs w:val="28"/>
        </w:rPr>
      </w:pPr>
      <w:r>
        <w:rPr>
          <w:szCs w:val="28"/>
        </w:rPr>
        <w:t>资源要素约束趋紧，土地、能耗接近</w:t>
      </w:r>
      <w:r>
        <w:rPr>
          <w:rFonts w:asciiTheme="minorEastAsia" w:hAnsiTheme="minorEastAsia" w:eastAsiaTheme="minorEastAsia"/>
          <w:szCs w:val="28"/>
        </w:rPr>
        <w:t>“</w:t>
      </w:r>
      <w:r>
        <w:rPr>
          <w:szCs w:val="28"/>
        </w:rPr>
        <w:t>天花板</w:t>
      </w:r>
      <w:r>
        <w:rPr>
          <w:rFonts w:asciiTheme="minorEastAsia" w:hAnsiTheme="minorEastAsia" w:eastAsiaTheme="minorEastAsia"/>
          <w:szCs w:val="28"/>
        </w:rPr>
        <w:t>”</w:t>
      </w:r>
      <w:r>
        <w:rPr>
          <w:szCs w:val="28"/>
        </w:rPr>
        <w:t>，动能转换任务艰巨，特别是资源型企业面临生存发展的严峻考验，部分重点建设项目要素保障不足，进展较慢；城乡建设精细化程度不高，公共服务供给还有不少短板弱项，改善民生任务繁重，个别领域不稳定因素仍然存在。近年来，环保、安全、节能督察力度进一步增强，对企业的强制性约束力持续增强，对企业生产经营提出了更高的要求，加之全省实施了严厉的用能总量控制制度，资源型、能源型企业面临越来越多的环保约束和较大的节能压力。</w:t>
      </w:r>
    </w:p>
    <w:bookmarkEnd w:id="33"/>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34" w:name="_Toc14601"/>
      <w:bookmarkStart w:id="35" w:name="_Toc7071"/>
      <w:bookmarkStart w:id="36" w:name="_Toc139894226"/>
      <w:bookmarkStart w:id="37" w:name="_Toc139894270"/>
      <w:bookmarkStart w:id="38" w:name="_Toc139894354"/>
      <w:r>
        <w:rPr>
          <w:rFonts w:eastAsia="黑体"/>
          <w:bCs/>
          <w:snapToGrid w:val="0"/>
          <w:kern w:val="0"/>
          <w:sz w:val="32"/>
          <w:szCs w:val="32"/>
        </w:rPr>
        <w:t>三、机遇与挑战</w:t>
      </w:r>
      <w:bookmarkEnd w:id="34"/>
      <w:bookmarkEnd w:id="35"/>
      <w:bookmarkEnd w:id="36"/>
      <w:bookmarkEnd w:id="37"/>
      <w:bookmarkEnd w:id="38"/>
    </w:p>
    <w:p>
      <w:pPr>
        <w:widowControl/>
        <w:ind w:firstLine="562"/>
        <w:jc w:val="left"/>
        <w:outlineLvl w:val="2"/>
        <w:rPr>
          <w:b/>
          <w:bCs/>
          <w:kern w:val="0"/>
          <w:sz w:val="28"/>
          <w:lang w:eastAsia="zh-Hans"/>
        </w:rPr>
      </w:pPr>
      <w:r>
        <w:rPr>
          <w:b/>
          <w:bCs/>
          <w:kern w:val="0"/>
          <w:sz w:val="28"/>
          <w:lang w:eastAsia="zh-Hans"/>
        </w:rPr>
        <w:t>（一）机遇</w:t>
      </w:r>
    </w:p>
    <w:p>
      <w:pPr>
        <w:ind w:firstLine="482"/>
        <w:rPr>
          <w:b/>
          <w:szCs w:val="28"/>
        </w:rPr>
      </w:pPr>
      <w:r>
        <w:rPr>
          <w:b/>
          <w:szCs w:val="28"/>
        </w:rPr>
        <w:t>（1）生态文明建设国家方略为滕州奠定良好环境和氛围</w:t>
      </w:r>
    </w:p>
    <w:p>
      <w:pPr>
        <w:ind w:firstLine="480"/>
        <w:rPr>
          <w:szCs w:val="28"/>
        </w:rPr>
      </w:pPr>
      <w:r>
        <w:rPr>
          <w:rFonts w:hint="eastAsia"/>
          <w:szCs w:val="28"/>
        </w:rPr>
        <w:t>党的二十大报告指出“中国式现代化是人与自然和谐共生的现代化”“要推进美丽中国建设”，</w:t>
      </w:r>
      <w:r>
        <w:rPr>
          <w:szCs w:val="28"/>
        </w:rPr>
        <w:t>对推动绿色发展、促进人与自然和谐共生作出重大决策部署，提出了一系列新理念新论断、新目标新任务、新举措新要求</w:t>
      </w:r>
      <w:r>
        <w:rPr>
          <w:rFonts w:hint="eastAsia"/>
          <w:szCs w:val="28"/>
        </w:rPr>
        <w:t>，</w:t>
      </w:r>
      <w:r>
        <w:rPr>
          <w:szCs w:val="28"/>
        </w:rPr>
        <w:t>为滕州市进一步推进生态文明建设指明了方向，坚定了信念。2020年，国家主席习近平在第七十五届联合国大会一般性辩论上宣布，中国将提高应对气候变化国家自主贡献力度，二氧化碳排放力争于2030年前达到峰值，努力争取2060年前实现碳中和。</w:t>
      </w:r>
      <w:r>
        <w:rPr>
          <w:rFonts w:asciiTheme="minorEastAsia" w:hAnsiTheme="minorEastAsia" w:eastAsiaTheme="minorEastAsia"/>
          <w:szCs w:val="28"/>
        </w:rPr>
        <w:t>“</w:t>
      </w:r>
      <w:r>
        <w:rPr>
          <w:szCs w:val="28"/>
        </w:rPr>
        <w:t>双碳</w:t>
      </w:r>
      <w:r>
        <w:rPr>
          <w:rFonts w:asciiTheme="minorEastAsia" w:hAnsiTheme="minorEastAsia" w:eastAsiaTheme="minorEastAsia"/>
          <w:szCs w:val="28"/>
        </w:rPr>
        <w:t>”</w:t>
      </w:r>
      <w:r>
        <w:rPr>
          <w:szCs w:val="28"/>
        </w:rPr>
        <w:t>承诺是党中央经过深思熟虑作出的重大战略决策，为滕州市可持续发展、高质量发展提出了新的要求。</w:t>
      </w:r>
      <w:r>
        <w:rPr>
          <w:rFonts w:hint="eastAsia"/>
          <w:szCs w:val="28"/>
        </w:rPr>
        <w:t>2</w:t>
      </w:r>
      <w:r>
        <w:rPr>
          <w:szCs w:val="28"/>
        </w:rPr>
        <w:t>023</w:t>
      </w:r>
      <w:r>
        <w:rPr>
          <w:rFonts w:hint="eastAsia"/>
          <w:szCs w:val="28"/>
        </w:rPr>
        <w:t>年7月全国生态环境保护大会，习近平总书记提出了“必须以更高站位、更宽视野、更大力度来谋划和推进新征程生态环境保护工作，谱写新时代生态文明建设新篇章”的总要求，全面总结了新时代我国生态文明建设的“四个重大转变”，深刻阐述了新征程上推进生态文明建设需要处理好的“五个重大关系”，具有很强的政治性、思想性、战略性和指导性，为我们进一步加强生态环境保护、推进生态文明建设提供了方向指引和根本遵循。</w:t>
      </w:r>
    </w:p>
    <w:p>
      <w:pPr>
        <w:ind w:firstLine="480"/>
        <w:rPr>
          <w:szCs w:val="28"/>
        </w:rPr>
      </w:pPr>
      <w:bookmarkStart w:id="39" w:name="_Hlk149055254"/>
      <w:r>
        <w:rPr>
          <w:rFonts w:hint="eastAsia"/>
          <w:szCs w:val="28"/>
        </w:rPr>
        <w:t>《美丽山东建设规划纲要（2021-2035年）》指出深入统筹实施“八美共建”，多措并举建设人与自然和谐共生的美丽山东。</w:t>
      </w:r>
      <w:bookmarkEnd w:id="39"/>
      <w:r>
        <w:rPr>
          <w:szCs w:val="28"/>
        </w:rPr>
        <w:t>滕州市生态文明建设是体现生态文明、贯彻绿色发展的重要空间载体，符合国家政策要求和发展方向，有利于争取上级政策支持。滕州市各级党委、政府始终积极贯彻中央生态文明部署，高度重视生态文明建设。在习近平生态文明思想的指引下，滕州市将进一步大力推进生态文明建设，实现绿色、低碳发展。</w:t>
      </w:r>
    </w:p>
    <w:p>
      <w:pPr>
        <w:ind w:firstLine="482"/>
        <w:rPr>
          <w:b/>
          <w:szCs w:val="28"/>
        </w:rPr>
      </w:pPr>
      <w:r>
        <w:rPr>
          <w:b/>
          <w:szCs w:val="28"/>
        </w:rPr>
        <w:t>（2）黄河流域生态保护和高质量发展等国家战略促进滕州生态文明建设</w:t>
      </w:r>
    </w:p>
    <w:p>
      <w:pPr>
        <w:ind w:firstLine="480"/>
        <w:rPr>
          <w:szCs w:val="28"/>
        </w:rPr>
      </w:pPr>
      <w:r>
        <w:rPr>
          <w:szCs w:val="28"/>
        </w:rPr>
        <w:t>为从根本上解决黄河流域面临的自然生态保护与经济社会发展之间存在的结构性矛盾问题，中央于 2019 年将黄河流域生态保护和高质量发展提升为重大国家战略。2021年，中共中央、国务院印发</w:t>
      </w:r>
      <w:bookmarkStart w:id="40" w:name="_Hlk149055412"/>
      <w:r>
        <w:rPr>
          <w:szCs w:val="28"/>
        </w:rPr>
        <w:t>《黄河流域生态保护和高质量发展规划纲要》</w:t>
      </w:r>
      <w:bookmarkEnd w:id="40"/>
      <w:r>
        <w:rPr>
          <w:szCs w:val="28"/>
        </w:rPr>
        <w:t>，提出将黄河流域生态保护和高质量发展作为事关中华民族伟大复兴的千秋大计，着力改善黄河流域生态环境，着力优化水资源配置，着力促进全流域高质量发展，着力改善人民群众生活，着力保护传承弘扬黄河文化，让黄河成为造福人民的幸福河。保护好、传承好、利用好大运河宝贵遗产，打造大运河文化带，是新时代党中央、国务院作出的一项重大决策部署。2019年2月，中共中央办公厅、国务院办公厅印发了《大运河文化保护传承利用规划纲要》。2020年3月，《山东省大运河文化保护传承利用实施规划》发布。规划提出，将着力打造大运河生态文明建设引领区，打响</w:t>
      </w:r>
      <w:r>
        <w:rPr>
          <w:rFonts w:asciiTheme="minorEastAsia" w:hAnsiTheme="minorEastAsia" w:eastAsiaTheme="minorEastAsia"/>
          <w:szCs w:val="28"/>
        </w:rPr>
        <w:t>“</w:t>
      </w:r>
      <w:r>
        <w:rPr>
          <w:szCs w:val="28"/>
        </w:rPr>
        <w:t>鲁风运河</w:t>
      </w:r>
      <w:r>
        <w:rPr>
          <w:rFonts w:asciiTheme="minorEastAsia" w:hAnsiTheme="minorEastAsia" w:eastAsiaTheme="minorEastAsia"/>
          <w:szCs w:val="28"/>
        </w:rPr>
        <w:t>”</w:t>
      </w:r>
      <w:r>
        <w:rPr>
          <w:szCs w:val="28"/>
        </w:rPr>
        <w:t>品牌。2018年，国家发展改革委印发《淮河生态经济带发展规划》。国务院批复强调，着力推进绿色发展，改善淮河流域生态环境，实施创新驱动发展战略，促进区域协调发展，加快建成美丽宜居、充满活力、和谐有序的生态经济带。总之，黄河流域生态保护和高质量发展、大运河文化带、淮河生态经济带等国家重大战略将有力推动滕州生态文明建设。</w:t>
      </w:r>
    </w:p>
    <w:p>
      <w:pPr>
        <w:ind w:firstLine="482"/>
        <w:rPr>
          <w:b/>
          <w:szCs w:val="28"/>
        </w:rPr>
      </w:pPr>
      <w:r>
        <w:rPr>
          <w:b/>
          <w:szCs w:val="28"/>
        </w:rPr>
        <w:t>（3）山东省新旧动能转换等战略助力滕州生态文明建设</w:t>
      </w:r>
    </w:p>
    <w:p>
      <w:pPr>
        <w:ind w:firstLine="480"/>
        <w:rPr>
          <w:szCs w:val="28"/>
        </w:rPr>
      </w:pPr>
      <w:r>
        <w:rPr>
          <w:szCs w:val="28"/>
        </w:rPr>
        <w:t>2018年初</w:t>
      </w:r>
      <w:r>
        <w:rPr>
          <w:rFonts w:hint="eastAsia"/>
          <w:szCs w:val="28"/>
        </w:rPr>
        <w:t>，国务院</w:t>
      </w:r>
      <w:r>
        <w:rPr>
          <w:szCs w:val="28"/>
        </w:rPr>
        <w:t>批复《山东新旧动能转换综合试验区建设总体方案》，这是全国唯一一个以新旧动能转换为主题的区域战略。山东省委、省政府认真贯彻落实党中央、国务院部署要求，完整、准确、全面贯彻新发展理念，主动服务和融入新发展格局，把新旧动能转换作为推动高质量发展的</w:t>
      </w:r>
      <w:r>
        <w:rPr>
          <w:rFonts w:asciiTheme="minorEastAsia" w:hAnsiTheme="minorEastAsia" w:eastAsiaTheme="minorEastAsia"/>
          <w:szCs w:val="28"/>
        </w:rPr>
        <w:t>“</w:t>
      </w:r>
      <w:r>
        <w:rPr>
          <w:szCs w:val="28"/>
        </w:rPr>
        <w:t>牛鼻子</w:t>
      </w:r>
      <w:r>
        <w:rPr>
          <w:rFonts w:asciiTheme="minorEastAsia" w:hAnsiTheme="minorEastAsia" w:eastAsiaTheme="minorEastAsia"/>
          <w:szCs w:val="28"/>
        </w:rPr>
        <w:t>”</w:t>
      </w:r>
      <w:r>
        <w:rPr>
          <w:szCs w:val="28"/>
        </w:rPr>
        <w:t>，高点站位、精准施策，坚定落实</w:t>
      </w:r>
      <w:r>
        <w:rPr>
          <w:rFonts w:asciiTheme="minorEastAsia" w:hAnsiTheme="minorEastAsia" w:eastAsiaTheme="minorEastAsia"/>
          <w:szCs w:val="28"/>
        </w:rPr>
        <w:t>“</w:t>
      </w:r>
      <w:r>
        <w:rPr>
          <w:szCs w:val="28"/>
        </w:rPr>
        <w:t>三个坚决</w:t>
      </w:r>
      <w:r>
        <w:rPr>
          <w:rFonts w:asciiTheme="minorEastAsia" w:hAnsiTheme="minorEastAsia" w:eastAsiaTheme="minorEastAsia"/>
          <w:szCs w:val="28"/>
        </w:rPr>
        <w:t>”</w:t>
      </w:r>
      <w:r>
        <w:rPr>
          <w:szCs w:val="28"/>
        </w:rPr>
        <w:t>，即坚决淘汰落后动能、坚决改造提升传统动能、坚决培育壮大新动能。为了促进和保障新旧动能转换，推动经济发展质量变革、效率变革、动力变革，构建现代化经济体系，实现高质量发展</w:t>
      </w:r>
      <w:r>
        <w:rPr>
          <w:rFonts w:hint="eastAsia"/>
          <w:szCs w:val="28"/>
        </w:rPr>
        <w:t>。</w:t>
      </w:r>
      <w:r>
        <w:rPr>
          <w:szCs w:val="28"/>
        </w:rPr>
        <w:t>2019年7月，山东省第十三届人民代表大会常务委员会第十三次会议通过《山东省新旧动能转换促进条例》，提出加快完善可预期的环保、能耗、水耗、安全、质量、技术等标准，加强财税、金融、价格、土地等政策的协调配套，完善去产能奖补机制，鼓励产能置换指标市场交易，构建调节产能和能耗的市场化长效机制。</w:t>
      </w:r>
      <w:r>
        <w:rPr>
          <w:rFonts w:hint="eastAsia"/>
          <w:szCs w:val="28"/>
        </w:rPr>
        <w:t>2</w:t>
      </w:r>
      <w:r>
        <w:rPr>
          <w:szCs w:val="28"/>
        </w:rPr>
        <w:t>022</w:t>
      </w:r>
      <w:r>
        <w:rPr>
          <w:rFonts w:hint="eastAsia"/>
          <w:szCs w:val="28"/>
        </w:rPr>
        <w:t>年9月，国务院发布《</w:t>
      </w:r>
      <w:bookmarkStart w:id="41" w:name="_Hlk149055377"/>
      <w:r>
        <w:rPr>
          <w:rFonts w:hint="eastAsia"/>
          <w:szCs w:val="28"/>
        </w:rPr>
        <w:t>国务院关于支持山东深化新旧动能转换推动绿色低碳高质量发展的意见》</w:t>
      </w:r>
      <w:bookmarkEnd w:id="41"/>
      <w:r>
        <w:rPr>
          <w:rFonts w:hint="eastAsia"/>
          <w:szCs w:val="28"/>
        </w:rPr>
        <w:t>，</w:t>
      </w:r>
      <w:r>
        <w:rPr>
          <w:szCs w:val="28"/>
        </w:rPr>
        <w:t>这是党中央提出“双碳”战略以来第一个以绿色低碳高质量发展为主题的区域战略</w:t>
      </w:r>
      <w:r>
        <w:rPr>
          <w:rFonts w:hint="eastAsia"/>
          <w:szCs w:val="28"/>
        </w:rPr>
        <w:t>，其中明确提出</w:t>
      </w:r>
      <w:r>
        <w:rPr>
          <w:rFonts w:ascii="Arial" w:hAnsi="Arial" w:cs="Arial"/>
          <w:shd w:val="clear" w:color="auto" w:fill="FFFFFF"/>
        </w:rPr>
        <w:t>山东是我国重要的工业基地和北方地区经济发展的战略支点</w:t>
      </w:r>
      <w:r>
        <w:rPr>
          <w:rFonts w:hint="eastAsia" w:ascii="Arial" w:hAnsi="Arial" w:cs="Arial"/>
          <w:shd w:val="clear" w:color="auto" w:fill="FFFFFF"/>
        </w:rPr>
        <w:t>，</w:t>
      </w:r>
      <w:r>
        <w:rPr>
          <w:rFonts w:ascii="Arial" w:hAnsi="Arial" w:cs="Arial"/>
          <w:shd w:val="clear" w:color="auto" w:fill="FFFFFF"/>
        </w:rPr>
        <w:t>可见山东在服务和融入新发展格局上承担</w:t>
      </w:r>
      <w:r>
        <w:rPr>
          <w:rFonts w:hint="eastAsia" w:ascii="Arial" w:hAnsi="Arial" w:cs="Arial"/>
          <w:shd w:val="clear" w:color="auto" w:fill="FFFFFF"/>
        </w:rPr>
        <w:t>的</w:t>
      </w:r>
      <w:r>
        <w:rPr>
          <w:rFonts w:ascii="Arial" w:hAnsi="Arial" w:cs="Arial"/>
          <w:shd w:val="clear" w:color="auto" w:fill="FFFFFF"/>
        </w:rPr>
        <w:t>光荣的使命</w:t>
      </w:r>
      <w:r>
        <w:rPr>
          <w:rFonts w:hint="eastAsia" w:ascii="Arial" w:hAnsi="Arial" w:cs="Arial"/>
          <w:shd w:val="clear" w:color="auto" w:fill="FFFFFF"/>
        </w:rPr>
        <w:t>，</w:t>
      </w:r>
      <w:r>
        <w:rPr>
          <w:rFonts w:hint="eastAsia"/>
          <w:szCs w:val="28"/>
        </w:rPr>
        <w:t>同时进一步明确了山东的导向为深化新旧动能转换、推动绿色低碳转型发展、促进工业化数字化深度融合、深入实施黄河流域生态保护和高质量发展战略，该意见</w:t>
      </w:r>
      <w:r>
        <w:rPr>
          <w:szCs w:val="28"/>
        </w:rPr>
        <w:t>是山东新旧动能转换目标任务升级版，是发展方向再聚焦，是指导山东省未来一段时期经济社会发展的总纲领。</w:t>
      </w:r>
    </w:p>
    <w:p>
      <w:pPr>
        <w:ind w:firstLine="480"/>
        <w:rPr>
          <w:szCs w:val="28"/>
        </w:rPr>
      </w:pPr>
      <w:r>
        <w:rPr>
          <w:szCs w:val="28"/>
        </w:rPr>
        <w:t>为抓住黄河流域生态保护和高质量发展战略机遇，加快鲁南经济圈一体化发展，建设乡村振兴先行区、转型发展新高地、淮河流域经济隆起带，培育全省高质量发展新引擎，山东省提出鲁南经济圈一体化发展区域战略。此外，枣庄市在</w:t>
      </w:r>
      <w:r>
        <w:rPr>
          <w:rFonts w:asciiTheme="minorEastAsia" w:hAnsiTheme="minorEastAsia" w:eastAsiaTheme="minorEastAsia"/>
          <w:szCs w:val="28"/>
        </w:rPr>
        <w:t>“</w:t>
      </w:r>
      <w:r>
        <w:rPr>
          <w:rFonts w:hint="eastAsia" w:eastAsiaTheme="minorEastAsia"/>
          <w:szCs w:val="28"/>
          <w:lang w:eastAsia="zh-CN"/>
        </w:rPr>
        <w:t>“十四五”</w:t>
      </w:r>
      <w:r>
        <w:rPr>
          <w:rFonts w:asciiTheme="minorEastAsia" w:hAnsiTheme="minorEastAsia" w:eastAsiaTheme="minorEastAsia"/>
          <w:szCs w:val="28"/>
        </w:rPr>
        <w:t>”</w:t>
      </w:r>
      <w:r>
        <w:rPr>
          <w:szCs w:val="28"/>
        </w:rPr>
        <w:t>规划中，提出了构建</w:t>
      </w:r>
      <w:r>
        <w:rPr>
          <w:rFonts w:asciiTheme="minorEastAsia" w:hAnsiTheme="minorEastAsia" w:eastAsiaTheme="minorEastAsia"/>
          <w:szCs w:val="28"/>
        </w:rPr>
        <w:t>“</w:t>
      </w:r>
      <w:r>
        <w:rPr>
          <w:szCs w:val="28"/>
        </w:rPr>
        <w:t>一主、一强、两极、多点</w:t>
      </w:r>
      <w:r>
        <w:rPr>
          <w:rFonts w:asciiTheme="minorEastAsia" w:hAnsiTheme="minorEastAsia" w:eastAsiaTheme="minorEastAsia"/>
          <w:szCs w:val="28"/>
        </w:rPr>
        <w:t>”</w:t>
      </w:r>
      <w:r>
        <w:rPr>
          <w:szCs w:val="28"/>
        </w:rPr>
        <w:t>的市域发展格局，把滕州作为</w:t>
      </w:r>
      <w:r>
        <w:rPr>
          <w:rFonts w:asciiTheme="minorEastAsia" w:hAnsiTheme="minorEastAsia" w:eastAsiaTheme="minorEastAsia"/>
          <w:szCs w:val="28"/>
        </w:rPr>
        <w:t>“</w:t>
      </w:r>
      <w:r>
        <w:rPr>
          <w:szCs w:val="28"/>
        </w:rPr>
        <w:t>一强</w:t>
      </w:r>
      <w:r>
        <w:rPr>
          <w:rFonts w:asciiTheme="minorEastAsia" w:hAnsiTheme="minorEastAsia" w:eastAsiaTheme="minorEastAsia"/>
          <w:szCs w:val="28"/>
        </w:rPr>
        <w:t>”</w:t>
      </w:r>
      <w:r>
        <w:rPr>
          <w:szCs w:val="28"/>
        </w:rPr>
        <w:t>予以重点支持，确保滕州持续走在全省县域经济高质量发展第一方阵。区域战略新机遇为滕州市发展生态产业、提升可持续发展水平、促进生态文明建设提供重要保障。</w:t>
      </w:r>
    </w:p>
    <w:p>
      <w:pPr>
        <w:ind w:firstLine="482"/>
        <w:rPr>
          <w:b/>
          <w:szCs w:val="28"/>
        </w:rPr>
      </w:pPr>
      <w:r>
        <w:rPr>
          <w:rFonts w:hint="eastAsia"/>
          <w:b/>
          <w:szCs w:val="28"/>
        </w:rPr>
        <w:t>（</w:t>
      </w:r>
      <w:r>
        <w:rPr>
          <w:b/>
          <w:szCs w:val="28"/>
        </w:rPr>
        <w:t>4</w:t>
      </w:r>
      <w:r>
        <w:rPr>
          <w:rFonts w:hint="eastAsia"/>
          <w:b/>
          <w:szCs w:val="28"/>
        </w:rPr>
        <w:t>）建设</w:t>
      </w:r>
      <w:r>
        <w:rPr>
          <w:b/>
          <w:bCs/>
          <w:szCs w:val="28"/>
        </w:rPr>
        <w:t>绿色低碳高质量发展先行区</w:t>
      </w:r>
      <w:r>
        <w:rPr>
          <w:rFonts w:hint="eastAsia"/>
          <w:b/>
          <w:szCs w:val="28"/>
        </w:rPr>
        <w:t>提升滕州生态文明建设水平</w:t>
      </w:r>
    </w:p>
    <w:p>
      <w:pPr>
        <w:pStyle w:val="2"/>
        <w:spacing w:after="0"/>
        <w:ind w:left="0" w:leftChars="0" w:firstLine="480"/>
      </w:pPr>
      <w:r>
        <w:rPr>
          <w:rFonts w:hint="eastAsia"/>
          <w:szCs w:val="28"/>
        </w:rPr>
        <w:t>深入贯彻党的二十大精神，落实习近平总书记对山东工作的重要指示要求，在新时代新征程上“走在前、开新局”，加快建设绿色低碳高质量发展先行区，</w:t>
      </w:r>
      <w:bookmarkStart w:id="42" w:name="_Hlk149055155"/>
      <w:r>
        <w:rPr>
          <w:rFonts w:hint="eastAsia"/>
          <w:szCs w:val="28"/>
        </w:rPr>
        <w:t>发布</w:t>
      </w:r>
      <w:bookmarkStart w:id="43" w:name="_Hlk149055393"/>
      <w:r>
        <w:rPr>
          <w:rFonts w:hint="eastAsia"/>
          <w:szCs w:val="28"/>
        </w:rPr>
        <w:t>《山东省人民政府办公厅</w:t>
      </w:r>
      <w:bookmarkStart w:id="44" w:name="_Hlk149055300"/>
      <w:r>
        <w:rPr>
          <w:rFonts w:hint="eastAsia"/>
          <w:szCs w:val="28"/>
        </w:rPr>
        <w:t>关于推动“两高”行业绿色低碳高质量发展的指导意见》</w:t>
      </w:r>
      <w:bookmarkEnd w:id="43"/>
      <w:bookmarkEnd w:id="44"/>
      <w:r>
        <w:rPr>
          <w:rFonts w:hint="eastAsia"/>
          <w:szCs w:val="28"/>
        </w:rPr>
        <w:t>。</w:t>
      </w:r>
      <w:bookmarkEnd w:id="42"/>
      <w:r>
        <w:rPr>
          <w:rFonts w:hint="eastAsia"/>
          <w:szCs w:val="28"/>
        </w:rPr>
        <w:t>山东</w:t>
      </w:r>
      <w:r>
        <w:rPr>
          <w:bCs/>
          <w:szCs w:val="28"/>
        </w:rPr>
        <w:t>省委、省政府印发《山东省建设绿色低碳高质量发展先行区三年行动计划（2023-2025年）》</w:t>
      </w:r>
      <w:r>
        <w:rPr>
          <w:rFonts w:hint="eastAsia"/>
          <w:bCs/>
          <w:szCs w:val="28"/>
        </w:rPr>
        <w:t>，</w:t>
      </w:r>
      <w:r>
        <w:rPr>
          <w:bCs/>
          <w:szCs w:val="28"/>
        </w:rPr>
        <w:t>明确十个方面重点任务，对深化新旧动能转换推动绿色低碳高质量发展进行全面部署，并从领导机制、工作机制、保障机制、督导考核机制等方面作出安排，凝聚先行区建设的强大合力</w:t>
      </w:r>
      <w:r>
        <w:rPr>
          <w:rFonts w:hint="eastAsia"/>
          <w:bCs/>
          <w:szCs w:val="28"/>
        </w:rPr>
        <w:t>，</w:t>
      </w:r>
      <w:r>
        <w:rPr>
          <w:bCs/>
          <w:szCs w:val="28"/>
        </w:rPr>
        <w:t>细化确定重点任务，配套制定责任清单、政策清单、项目清单，把建设绿色低碳高质量发展先行区作为当前和今后一个时期各项工作的总抓手，吹响了山东</w:t>
      </w:r>
      <w:r>
        <w:rPr>
          <w:rFonts w:hint="eastAsia"/>
          <w:bCs/>
          <w:szCs w:val="28"/>
        </w:rPr>
        <w:t>、枣庄、滕州</w:t>
      </w:r>
      <w:r>
        <w:rPr>
          <w:bCs/>
          <w:szCs w:val="28"/>
        </w:rPr>
        <w:t>建设绿色低碳高质量发展先行区的冲锋号。</w:t>
      </w:r>
    </w:p>
    <w:p>
      <w:pPr>
        <w:widowControl/>
        <w:ind w:firstLine="562"/>
        <w:jc w:val="left"/>
        <w:outlineLvl w:val="2"/>
        <w:rPr>
          <w:b/>
          <w:bCs/>
          <w:kern w:val="0"/>
          <w:sz w:val="28"/>
          <w:lang w:eastAsia="zh-Hans"/>
        </w:rPr>
      </w:pPr>
      <w:r>
        <w:rPr>
          <w:b/>
          <w:bCs/>
          <w:kern w:val="0"/>
          <w:sz w:val="28"/>
          <w:lang w:eastAsia="zh-Hans"/>
        </w:rPr>
        <w:t>（二）挑战</w:t>
      </w:r>
    </w:p>
    <w:p>
      <w:pPr>
        <w:ind w:firstLine="482"/>
        <w:rPr>
          <w:b/>
          <w:bCs/>
        </w:rPr>
      </w:pPr>
      <w:r>
        <w:rPr>
          <w:b/>
          <w:bCs/>
        </w:rPr>
        <w:t>（1）城市化进程对生态环境构成较大压力</w:t>
      </w:r>
    </w:p>
    <w:p>
      <w:pPr>
        <w:ind w:firstLine="480"/>
      </w:pPr>
      <w:r>
        <w:rPr>
          <w:shd w:val="clear" w:color="auto" w:fill="FFFFFF"/>
        </w:rPr>
        <w:t>滕州市</w:t>
      </w:r>
      <w:r>
        <w:t>目前仍处于城市化发展进程中，人民收入水平仍有待进一步提升，在经济持续发展中，生态空间往往直面城市高度聚集的人口及其活动带来的威胁。</w:t>
      </w:r>
      <w:r>
        <w:rPr>
          <w:shd w:val="clear" w:color="auto" w:fill="FFFFFF"/>
        </w:rPr>
        <w:t>随着人口、经济规模以及城镇建设用地的扩张，必然带来水污染物、大气污染物、固体废物等排放量的增加，生态文明建设和生态环境保护将迎来更大的压力和挑战。如何在</w:t>
      </w:r>
      <w:r>
        <w:rPr>
          <w:rFonts w:hint="eastAsia"/>
          <w:shd w:val="clear" w:color="auto" w:fill="FFFFFF"/>
        </w:rPr>
        <w:t>习近平生态文明思想</w:t>
      </w:r>
      <w:r>
        <w:rPr>
          <w:shd w:val="clear" w:color="auto" w:fill="FFFFFF"/>
        </w:rPr>
        <w:t>的指导下，通过加强生态空间管理，强化生态资源的保护，推进城市有序发展，是滕州城市化进程中生态空间管理面临的重大挑战。</w:t>
      </w:r>
    </w:p>
    <w:p>
      <w:pPr>
        <w:ind w:firstLine="482"/>
        <w:rPr>
          <w:b/>
          <w:bCs/>
        </w:rPr>
      </w:pPr>
      <w:r>
        <w:rPr>
          <w:b/>
          <w:bCs/>
        </w:rPr>
        <w:t>（2）流域生态保护和高质量发展及</w:t>
      </w:r>
      <w:r>
        <w:rPr>
          <w:rFonts w:asciiTheme="minorEastAsia" w:hAnsiTheme="minorEastAsia" w:eastAsiaTheme="minorEastAsia"/>
          <w:b/>
          <w:bCs/>
        </w:rPr>
        <w:t>“</w:t>
      </w:r>
      <w:r>
        <w:rPr>
          <w:b/>
          <w:bCs/>
        </w:rPr>
        <w:t>双碳</w:t>
      </w:r>
      <w:r>
        <w:rPr>
          <w:rFonts w:asciiTheme="minorEastAsia" w:hAnsiTheme="minorEastAsia" w:eastAsiaTheme="minorEastAsia"/>
          <w:b/>
          <w:bCs/>
        </w:rPr>
        <w:t>”</w:t>
      </w:r>
      <w:r>
        <w:rPr>
          <w:b/>
          <w:bCs/>
        </w:rPr>
        <w:t>战略等提出更高要求</w:t>
      </w:r>
    </w:p>
    <w:p>
      <w:pPr>
        <w:ind w:firstLine="480"/>
        <w:rPr>
          <w:shd w:val="clear" w:color="auto" w:fill="FFFFFF"/>
        </w:rPr>
      </w:pPr>
      <w:r>
        <w:rPr>
          <w:shd w:val="clear" w:color="auto" w:fill="FFFFFF"/>
        </w:rPr>
        <w:t>黄河经济带发展战略在为滕州生态文明建设提供良好机遇的同时，也对滕州市生态环境保护工作提出了更高的要求。《黄河保护法》明确了地方政府保护黄河生态环境的职责，尤其是对沿江一公里保护做出严格安排。党中央已经把</w:t>
      </w:r>
      <w:r>
        <w:rPr>
          <w:rFonts w:asciiTheme="minorEastAsia" w:hAnsiTheme="minorEastAsia" w:eastAsiaTheme="minorEastAsia"/>
          <w:shd w:val="clear" w:color="auto" w:fill="FFFFFF"/>
        </w:rPr>
        <w:t>“</w:t>
      </w:r>
      <w:r>
        <w:rPr>
          <w:shd w:val="clear" w:color="auto" w:fill="FFFFFF"/>
        </w:rPr>
        <w:t>碳达峰</w:t>
      </w:r>
      <w:r>
        <w:rPr>
          <w:rFonts w:asciiTheme="minorEastAsia" w:hAnsiTheme="minorEastAsia" w:eastAsiaTheme="minorEastAsia"/>
          <w:shd w:val="clear" w:color="auto" w:fill="FFFFFF"/>
        </w:rPr>
        <w:t>”“</w:t>
      </w:r>
      <w:r>
        <w:rPr>
          <w:shd w:val="clear" w:color="auto" w:fill="FFFFFF"/>
        </w:rPr>
        <w:t>碳中和</w:t>
      </w:r>
      <w:r>
        <w:rPr>
          <w:rFonts w:asciiTheme="minorEastAsia" w:hAnsiTheme="minorEastAsia" w:eastAsiaTheme="minorEastAsia"/>
          <w:shd w:val="clear" w:color="auto" w:fill="FFFFFF"/>
        </w:rPr>
        <w:t>”</w:t>
      </w:r>
      <w:r>
        <w:rPr>
          <w:shd w:val="clear" w:color="auto" w:fill="FFFFFF"/>
        </w:rPr>
        <w:t>要求纳入生态文明建设总体布局，出台了《2030年前碳达峰行动方案》，提出要把</w:t>
      </w:r>
      <w:r>
        <w:rPr>
          <w:rFonts w:hint="eastAsia"/>
          <w:shd w:val="clear" w:color="auto" w:fill="FFFFFF"/>
        </w:rPr>
        <w:t>“</w:t>
      </w:r>
      <w:r>
        <w:rPr>
          <w:shd w:val="clear" w:color="auto" w:fill="FFFFFF"/>
        </w:rPr>
        <w:t>双碳</w:t>
      </w:r>
      <w:r>
        <w:rPr>
          <w:rFonts w:hint="eastAsia"/>
          <w:shd w:val="clear" w:color="auto" w:fill="FFFFFF"/>
        </w:rPr>
        <w:t>”</w:t>
      </w:r>
      <w:r>
        <w:rPr>
          <w:shd w:val="clear" w:color="auto" w:fill="FFFFFF"/>
        </w:rPr>
        <w:t>工作纳入经济社会发展全局，</w:t>
      </w:r>
      <w:r>
        <w:rPr>
          <w:rFonts w:hint="eastAsia"/>
          <w:shd w:val="clear" w:color="auto" w:fill="FFFFFF"/>
        </w:rPr>
        <w:t>并发布</w:t>
      </w:r>
      <w:r>
        <w:rPr>
          <w:rFonts w:hint="eastAsia"/>
          <w:szCs w:val="28"/>
        </w:rPr>
        <w:t>《国务院关于支持山东深化新旧动能转换推动绿色低碳高质量发展的意见》</w:t>
      </w:r>
      <w:r>
        <w:rPr>
          <w:shd w:val="clear" w:color="auto" w:fill="FFFFFF"/>
        </w:rPr>
        <w:t>《</w:t>
      </w:r>
      <w:r>
        <w:rPr>
          <w:bCs/>
          <w:shd w:val="clear" w:color="auto" w:fill="FFFFFF"/>
        </w:rPr>
        <w:t>山东省建设绿色低碳高质量发展先行区三年行动计划（2023-2025年）》</w:t>
      </w:r>
      <w:r>
        <w:rPr>
          <w:rFonts w:hint="eastAsia"/>
          <w:bCs/>
          <w:shd w:val="clear" w:color="auto" w:fill="FFFFFF"/>
        </w:rPr>
        <w:t>等文件，</w:t>
      </w:r>
      <w:r>
        <w:rPr>
          <w:shd w:val="clear" w:color="auto" w:fill="FFFFFF"/>
        </w:rPr>
        <w:t>对滕州市生态文明建设提出了更新更高的要求。</w:t>
      </w:r>
    </w:p>
    <w:p>
      <w:pPr>
        <w:ind w:firstLine="482"/>
        <w:rPr>
          <w:b/>
          <w:bCs/>
        </w:rPr>
      </w:pPr>
      <w:r>
        <w:rPr>
          <w:b/>
          <w:bCs/>
        </w:rPr>
        <w:t>（3）</w:t>
      </w:r>
      <w:bookmarkStart w:id="45" w:name="_Hlk149143627"/>
      <w:r>
        <w:rPr>
          <w:rFonts w:hint="eastAsia"/>
          <w:b/>
          <w:bCs/>
        </w:rPr>
        <w:t>国内外局势</w:t>
      </w:r>
      <w:r>
        <w:rPr>
          <w:b/>
          <w:bCs/>
        </w:rPr>
        <w:t>不容乐观</w:t>
      </w:r>
      <w:bookmarkEnd w:id="45"/>
    </w:p>
    <w:p>
      <w:pPr>
        <w:ind w:firstLine="480"/>
      </w:pPr>
      <w:r>
        <w:t>滕州市推进高质量发展的过程中将面临压力与挑战。从国际形势看，世界百年未有之大变局和新冠肺炎疫情全球大流行交织影响，全球治理体系和经贸规则将进入变革调整期，国际环境日趋复杂，主要经济体延续缓慢复苏态势，不稳定性、不确定性明显增加，新冠肺炎疫情影响广泛深远，全球化面临诸多挑战。国内形势看依然复杂多变，受新冠肺炎疫情、内需疲软、产能过剩等多重因素叠加影响，经济增长放慢、价格下行，企业整体效益出现较大幅度下降，经济下行压力加大，滕州市在重点区域打造、企业招商引资、进出口贸易、对接国际市场等方面将受到持续影响，产业结构调整与经济稳定增长的矛盾依然存在。</w:t>
      </w:r>
    </w:p>
    <w:p>
      <w:pPr>
        <w:ind w:firstLine="480"/>
      </w:pPr>
      <w:r>
        <w:t>总体而言，滕州市建设生态文明拥有区域资源禀赋优异、区位优越利于高质量发展、生态文明建设基础良好等优势条件，但也存在产业结构有待进一步优化、环境质量仍然有待进一步改善、生态质量有待进一步提升等不足，有待通过加强产业升级和生态环境环境治理等实现生态文明建设水平的进一步提升。规划期面临宏观经济形势不容乐观、城市化进程对生态环境构成较大压力等挑战，但生态文明建设国家方略为滕州奠定良好环境和氛围，黄河经济带拉开大保护格局促进滕州生态文明建设，长三角一体化等区域战略也将有力助推滕州生态文明建设。</w:t>
      </w:r>
    </w:p>
    <w:p>
      <w:pPr>
        <w:ind w:firstLine="480"/>
      </w:pPr>
      <w:r>
        <w:br w:type="page"/>
      </w:r>
    </w:p>
    <w:p>
      <w:pPr>
        <w:keepNext/>
        <w:keepLines/>
        <w:spacing w:before="312" w:beforeLines="100" w:after="312" w:afterLines="100"/>
        <w:ind w:firstLine="0" w:firstLineChars="0"/>
        <w:jc w:val="center"/>
        <w:outlineLvl w:val="0"/>
        <w:rPr>
          <w:rFonts w:eastAsia="黑体"/>
          <w:b/>
          <w:kern w:val="0"/>
          <w:sz w:val="36"/>
          <w:szCs w:val="36"/>
        </w:rPr>
      </w:pPr>
      <w:bookmarkStart w:id="46" w:name="_Toc15230"/>
      <w:bookmarkStart w:id="47" w:name="_Toc17445"/>
      <w:r>
        <w:rPr>
          <w:rFonts w:eastAsia="黑体"/>
          <w:b/>
          <w:kern w:val="0"/>
          <w:sz w:val="36"/>
          <w:szCs w:val="36"/>
        </w:rPr>
        <w:t>第二章 规划</w:t>
      </w:r>
      <w:bookmarkEnd w:id="10"/>
      <w:bookmarkEnd w:id="11"/>
      <w:bookmarkEnd w:id="12"/>
      <w:bookmarkEnd w:id="13"/>
      <w:r>
        <w:rPr>
          <w:rFonts w:eastAsia="黑体"/>
          <w:b/>
          <w:kern w:val="0"/>
          <w:sz w:val="36"/>
          <w:szCs w:val="36"/>
        </w:rPr>
        <w:t>总则</w:t>
      </w:r>
      <w:bookmarkEnd w:id="46"/>
      <w:bookmarkEnd w:id="47"/>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48" w:name="_Toc28553"/>
      <w:bookmarkStart w:id="49" w:name="_Toc139894355"/>
      <w:bookmarkStart w:id="50" w:name="_Toc31960"/>
      <w:bookmarkStart w:id="51" w:name="_Toc139894227"/>
      <w:bookmarkStart w:id="52" w:name="_Toc139894271"/>
      <w:r>
        <w:rPr>
          <w:rFonts w:eastAsia="黑体"/>
          <w:bCs/>
          <w:snapToGrid w:val="0"/>
          <w:kern w:val="0"/>
          <w:sz w:val="32"/>
          <w:szCs w:val="32"/>
        </w:rPr>
        <w:t>一、指导思想</w:t>
      </w:r>
      <w:bookmarkEnd w:id="48"/>
      <w:bookmarkEnd w:id="49"/>
      <w:bookmarkEnd w:id="50"/>
      <w:bookmarkEnd w:id="51"/>
      <w:bookmarkEnd w:id="52"/>
    </w:p>
    <w:p>
      <w:pPr>
        <w:adjustRightInd w:val="0"/>
        <w:snapToGrid w:val="0"/>
        <w:ind w:firstLine="480"/>
        <w:rPr>
          <w:szCs w:val="28"/>
        </w:rPr>
      </w:pPr>
      <w:r>
        <w:rPr>
          <w:szCs w:val="28"/>
        </w:rPr>
        <w:t>以习近平新时代中国特色社会主义思想为指导，全面贯彻党的十九大和二十大精神，深入贯彻习近平生态文明思想</w:t>
      </w:r>
      <w:r>
        <w:rPr>
          <w:rFonts w:hint="eastAsia"/>
          <w:szCs w:val="28"/>
        </w:rPr>
        <w:t>和全国生态环境保护大会精神</w:t>
      </w:r>
      <w:r>
        <w:rPr>
          <w:szCs w:val="28"/>
        </w:rPr>
        <w:t>，遵循</w:t>
      </w:r>
      <w:r>
        <w:rPr>
          <w:rFonts w:asciiTheme="minorEastAsia" w:hAnsiTheme="minorEastAsia" w:eastAsiaTheme="minorEastAsia"/>
          <w:szCs w:val="28"/>
        </w:rPr>
        <w:t>“</w:t>
      </w:r>
      <w:r>
        <w:rPr>
          <w:szCs w:val="28"/>
        </w:rPr>
        <w:t>五位一体</w:t>
      </w:r>
      <w:r>
        <w:rPr>
          <w:rFonts w:asciiTheme="minorEastAsia" w:hAnsiTheme="minorEastAsia" w:eastAsiaTheme="minorEastAsia"/>
          <w:szCs w:val="28"/>
        </w:rPr>
        <w:t>”</w:t>
      </w:r>
      <w:r>
        <w:rPr>
          <w:szCs w:val="28"/>
        </w:rPr>
        <w:t>的总体布局和</w:t>
      </w:r>
      <w:r>
        <w:rPr>
          <w:rFonts w:asciiTheme="minorEastAsia" w:hAnsiTheme="minorEastAsia" w:eastAsiaTheme="minorEastAsia"/>
          <w:szCs w:val="28"/>
        </w:rPr>
        <w:t>“</w:t>
      </w:r>
      <w:r>
        <w:rPr>
          <w:szCs w:val="28"/>
        </w:rPr>
        <w:t>四个全面</w:t>
      </w:r>
      <w:r>
        <w:rPr>
          <w:rFonts w:asciiTheme="minorEastAsia" w:hAnsiTheme="minorEastAsia" w:eastAsiaTheme="minorEastAsia"/>
          <w:szCs w:val="28"/>
        </w:rPr>
        <w:t>”</w:t>
      </w:r>
      <w:r>
        <w:rPr>
          <w:szCs w:val="28"/>
        </w:rPr>
        <w:t>的战略布局，坚持以人民为中心，以生态环境高水平保护推动经济社会高质量发展为主题，全面贯彻新发展理念，坚持稳中求进工作总基调，以深化供给侧结构性改革为主线，以改革创新为根本动力，以满足人民日益增长的美好生活需要为根本目的，把牢高质量发展主题，锚定高品质生活目标，深化高水平对外开放，强化高效能治理保障，扭住高标准安全关键，夯实高素质干部队伍基础，大力实施产业强市、创新驱动、城乡融合、绿色发展、民生优先五大战略，在新发展格局中抢抓新机遇、展现新作为，全力打造新时代现代化强市，奋力谱写美德滕州、文明滕州、富强滕州建设新篇章。</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53" w:name="_Toc139894228"/>
      <w:bookmarkStart w:id="54" w:name="_Toc139894272"/>
      <w:bookmarkStart w:id="55" w:name="_Toc21140"/>
      <w:bookmarkStart w:id="56" w:name="_Toc1697"/>
      <w:bookmarkStart w:id="57" w:name="_Toc139894356"/>
      <w:r>
        <w:rPr>
          <w:rFonts w:eastAsia="黑体"/>
          <w:bCs/>
          <w:snapToGrid w:val="0"/>
          <w:kern w:val="0"/>
          <w:sz w:val="32"/>
          <w:szCs w:val="32"/>
        </w:rPr>
        <w:t>二、规划原则</w:t>
      </w:r>
      <w:bookmarkEnd w:id="53"/>
      <w:bookmarkEnd w:id="54"/>
      <w:bookmarkEnd w:id="55"/>
      <w:bookmarkEnd w:id="56"/>
      <w:bookmarkEnd w:id="57"/>
    </w:p>
    <w:p>
      <w:pPr>
        <w:ind w:firstLine="482"/>
        <w:rPr>
          <w:szCs w:val="28"/>
        </w:rPr>
      </w:pPr>
      <w:r>
        <w:rPr>
          <w:rFonts w:hint="eastAsia"/>
          <w:b/>
          <w:szCs w:val="28"/>
          <w:lang w:eastAsia="zh-CN"/>
        </w:rPr>
        <w:t>坚持生态优先、绿色发展</w:t>
      </w:r>
      <w:r>
        <w:rPr>
          <w:b/>
          <w:szCs w:val="28"/>
        </w:rPr>
        <w:t>。</w:t>
      </w:r>
      <w:r>
        <w:rPr>
          <w:szCs w:val="28"/>
        </w:rPr>
        <w:t>树立尊重自然、顺应自然、保护自然的理念，将生态环境承载力作为经济社会发展的重要前提，以改善环境质量和生态系统服务功能为核心，构筑自然健康的生态系统和适宜居住、创业的人居环境，确保生态环境安全。</w:t>
      </w:r>
    </w:p>
    <w:p>
      <w:pPr>
        <w:ind w:firstLine="482"/>
        <w:rPr>
          <w:szCs w:val="28"/>
        </w:rPr>
      </w:pPr>
      <w:r>
        <w:rPr>
          <w:b/>
          <w:szCs w:val="28"/>
        </w:rPr>
        <w:t>坚持因地制宜，特色发展。</w:t>
      </w:r>
      <w:r>
        <w:rPr>
          <w:szCs w:val="28"/>
        </w:rPr>
        <w:t>从滕州市实际出发，紧紧围绕自然生态环境特点和社会经济发展目标，探索生态环境治理和生态产业升级优化的可行路径。因地制宜制定建设目标，充分发挥滕州区位优势、生态经济优势和人居环境建设优势，走出具有滕州特色的生态文明建设之路。</w:t>
      </w:r>
    </w:p>
    <w:p>
      <w:pPr>
        <w:ind w:firstLine="482"/>
        <w:rPr>
          <w:b/>
          <w:szCs w:val="28"/>
        </w:rPr>
      </w:pPr>
      <w:bookmarkStart w:id="58" w:name="_Hlk150418089"/>
      <w:r>
        <w:rPr>
          <w:rFonts w:hint="eastAsia"/>
          <w:b/>
          <w:szCs w:val="28"/>
        </w:rPr>
        <w:t>坚持规划先行，科学发展。</w:t>
      </w:r>
      <w:r>
        <w:rPr>
          <w:rFonts w:hint="eastAsia"/>
          <w:bCs/>
          <w:szCs w:val="28"/>
        </w:rPr>
        <w:t>通过国土空间规划落实最严格的耕地保护制度，强化耕地保护意识，严格耕地用途管制。在落实全市、乡镇级国土空间总体规划确定的生态保护红线、永久基本农田基础上，修编完善城市绿地系统规划，科学实施城市公园、绿化带建设。</w:t>
      </w:r>
    </w:p>
    <w:bookmarkEnd w:id="58"/>
    <w:p>
      <w:pPr>
        <w:ind w:firstLine="482"/>
        <w:rPr>
          <w:szCs w:val="28"/>
        </w:rPr>
      </w:pPr>
      <w:r>
        <w:rPr>
          <w:b/>
          <w:szCs w:val="28"/>
        </w:rPr>
        <w:t>坚持问题导向，以人为本。</w:t>
      </w:r>
      <w:r>
        <w:rPr>
          <w:szCs w:val="28"/>
        </w:rPr>
        <w:t>坚持以人民为中心，以解决社会关注和人民群众关心的突出环境问题为导向，深入推进污染防治攻坚战，突出人居环境改善。在重点区域、重点领域、重点问题上实现突破、取得实效，切实为人民群众提供更多优质生态产品和服务。</w:t>
      </w:r>
    </w:p>
    <w:p>
      <w:pPr>
        <w:ind w:firstLine="482"/>
        <w:rPr>
          <w:szCs w:val="28"/>
        </w:rPr>
      </w:pPr>
      <w:r>
        <w:rPr>
          <w:b/>
          <w:szCs w:val="28"/>
        </w:rPr>
        <w:t>坚持改革创新，转型升级。</w:t>
      </w:r>
      <w:r>
        <w:rPr>
          <w:szCs w:val="28"/>
        </w:rPr>
        <w:t>把改革创新作为基本动力，强化高效能治理，提供高水平服务供给，加快推动高质量发展，创造高品质生活，深化</w:t>
      </w:r>
      <w:r>
        <w:rPr>
          <w:rFonts w:asciiTheme="minorEastAsia" w:hAnsiTheme="minorEastAsia" w:eastAsiaTheme="minorEastAsia"/>
          <w:szCs w:val="28"/>
        </w:rPr>
        <w:t>“</w:t>
      </w:r>
      <w:r>
        <w:rPr>
          <w:szCs w:val="28"/>
        </w:rPr>
        <w:t>三线一单</w:t>
      </w:r>
      <w:r>
        <w:rPr>
          <w:rFonts w:asciiTheme="minorEastAsia" w:hAnsiTheme="minorEastAsia" w:eastAsiaTheme="minorEastAsia"/>
          <w:szCs w:val="28"/>
        </w:rPr>
        <w:t>”</w:t>
      </w:r>
      <w:r>
        <w:rPr>
          <w:szCs w:val="28"/>
        </w:rPr>
        <w:t>、河（湖）长制、生态文明建设目标评价考核等制度建设，促进产业转型升级，推动形成以创新为主要引领和支撑的新经济体系和发展模式。</w:t>
      </w:r>
    </w:p>
    <w:p>
      <w:pPr>
        <w:ind w:firstLine="482"/>
        <w:rPr>
          <w:szCs w:val="28"/>
        </w:rPr>
      </w:pPr>
      <w:r>
        <w:rPr>
          <w:b/>
          <w:szCs w:val="28"/>
        </w:rPr>
        <w:t>坚持文明引领，全民参与。</w:t>
      </w:r>
      <w:r>
        <w:rPr>
          <w:szCs w:val="28"/>
        </w:rPr>
        <w:t>弘扬习近平生态文明思想的核心价值，发挥党委政府在生态文明建设中的引导作用，提供良好的政策环境和公共服务。加强生态文明宣传教育，增强公众的生态文明意识，倡导生态文明生活方式，充分调动企业和个人的积极性与创造性，引导全民主动参与生态文明建设。</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59" w:name="_Toc14140"/>
      <w:bookmarkStart w:id="60" w:name="_Toc139894229"/>
      <w:bookmarkStart w:id="61" w:name="_Toc19956"/>
      <w:bookmarkStart w:id="62" w:name="_Toc139894357"/>
      <w:bookmarkStart w:id="63" w:name="_Toc139894273"/>
      <w:r>
        <w:rPr>
          <w:rFonts w:eastAsia="黑体"/>
          <w:bCs/>
          <w:snapToGrid w:val="0"/>
          <w:kern w:val="0"/>
          <w:sz w:val="32"/>
          <w:szCs w:val="32"/>
        </w:rPr>
        <w:t>三、规划范围</w:t>
      </w:r>
      <w:bookmarkEnd w:id="59"/>
      <w:bookmarkEnd w:id="60"/>
      <w:bookmarkEnd w:id="61"/>
      <w:bookmarkEnd w:id="62"/>
      <w:bookmarkEnd w:id="63"/>
    </w:p>
    <w:p>
      <w:pPr>
        <w:adjustRightInd w:val="0"/>
        <w:ind w:firstLine="480"/>
        <w:rPr>
          <w:szCs w:val="28"/>
        </w:rPr>
      </w:pPr>
      <w:r>
        <w:t>本次的规划范围是滕州市行政区全域，具体包括5个街道（龙泉街道、荆河街道、北辛街道</w:t>
      </w:r>
      <w:r>
        <w:rPr>
          <w:rFonts w:hint="eastAsia"/>
        </w:rPr>
        <w:t>、</w:t>
      </w:r>
      <w:r>
        <w:t>善南街道</w:t>
      </w:r>
      <w:r>
        <w:rPr>
          <w:rFonts w:hint="eastAsia"/>
        </w:rPr>
        <w:t>和东沙河街道</w:t>
      </w:r>
      <w:r>
        <w:t>）、16个镇（洪绪镇、南沙河镇、大坞镇、滨湖镇、级索镇、西岗镇、姜屯镇、鲍沟镇、张汪镇、官桥镇、柴胡店镇、羊庄镇、木石镇、界河镇、龙阳镇、东郭镇），总面积1495.14平方千米</w:t>
      </w:r>
      <w:r>
        <w:rPr>
          <w:kern w:val="0"/>
          <w:szCs w:val="28"/>
        </w:rPr>
        <w:t>。</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64" w:name="_Toc18507"/>
      <w:bookmarkStart w:id="65" w:name="_Toc16054"/>
      <w:bookmarkStart w:id="66" w:name="_Toc139894358"/>
      <w:bookmarkStart w:id="67" w:name="_Toc139894230"/>
      <w:bookmarkStart w:id="68" w:name="_Toc139894274"/>
      <w:r>
        <w:rPr>
          <w:rFonts w:eastAsia="黑体"/>
          <w:bCs/>
          <w:snapToGrid w:val="0"/>
          <w:kern w:val="0"/>
          <w:sz w:val="32"/>
          <w:szCs w:val="32"/>
        </w:rPr>
        <w:t>四、规划期限</w:t>
      </w:r>
      <w:bookmarkEnd w:id="64"/>
      <w:bookmarkEnd w:id="65"/>
      <w:bookmarkEnd w:id="66"/>
      <w:bookmarkEnd w:id="67"/>
      <w:bookmarkEnd w:id="68"/>
    </w:p>
    <w:p>
      <w:pPr>
        <w:adjustRightInd w:val="0"/>
        <w:ind w:firstLine="480"/>
        <w:rPr>
          <w:szCs w:val="28"/>
        </w:rPr>
      </w:pPr>
      <w:r>
        <w:rPr>
          <w:szCs w:val="28"/>
        </w:rPr>
        <w:t>规划基准年：2022年</w:t>
      </w:r>
    </w:p>
    <w:p>
      <w:pPr>
        <w:adjustRightInd w:val="0"/>
        <w:ind w:firstLine="480"/>
        <w:rPr>
          <w:szCs w:val="28"/>
        </w:rPr>
      </w:pPr>
      <w:r>
        <w:rPr>
          <w:szCs w:val="28"/>
        </w:rPr>
        <w:t>规划期限：2023-2030年</w:t>
      </w:r>
    </w:p>
    <w:p>
      <w:pPr>
        <w:adjustRightInd w:val="0"/>
        <w:ind w:firstLine="480"/>
        <w:rPr>
          <w:szCs w:val="28"/>
        </w:rPr>
      </w:pPr>
      <w:r>
        <w:rPr>
          <w:szCs w:val="28"/>
        </w:rPr>
        <w:t>规划近期（2023-2025年）：</w:t>
      </w:r>
      <w:r>
        <w:t>全面建设时期</w:t>
      </w:r>
    </w:p>
    <w:p>
      <w:pPr>
        <w:adjustRightInd w:val="0"/>
        <w:ind w:firstLine="480"/>
        <w:rPr>
          <w:kern w:val="0"/>
          <w:szCs w:val="28"/>
        </w:rPr>
      </w:pPr>
      <w:r>
        <w:rPr>
          <w:szCs w:val="28"/>
        </w:rPr>
        <w:t>规划远期（2026-2030年）：</w:t>
      </w:r>
      <w:r>
        <w:t>深化拓展时期</w:t>
      </w: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69" w:name="_Toc11163"/>
      <w:bookmarkStart w:id="70" w:name="_Toc139894359"/>
      <w:bookmarkStart w:id="71" w:name="_Toc139894231"/>
      <w:bookmarkStart w:id="72" w:name="_Toc139894275"/>
      <w:bookmarkStart w:id="73" w:name="_Toc11599"/>
      <w:r>
        <w:rPr>
          <w:rFonts w:eastAsia="黑体"/>
          <w:bCs/>
          <w:snapToGrid w:val="0"/>
          <w:kern w:val="0"/>
          <w:sz w:val="32"/>
          <w:szCs w:val="32"/>
        </w:rPr>
        <w:t>五、规划目标</w:t>
      </w:r>
      <w:bookmarkEnd w:id="69"/>
      <w:bookmarkEnd w:id="70"/>
      <w:bookmarkEnd w:id="71"/>
      <w:bookmarkEnd w:id="72"/>
      <w:bookmarkEnd w:id="73"/>
    </w:p>
    <w:p>
      <w:pPr>
        <w:widowControl/>
        <w:ind w:firstLine="562"/>
        <w:jc w:val="left"/>
        <w:outlineLvl w:val="2"/>
        <w:rPr>
          <w:b/>
          <w:bCs/>
          <w:kern w:val="0"/>
          <w:sz w:val="28"/>
          <w:lang w:eastAsia="zh-Hans"/>
        </w:rPr>
      </w:pPr>
      <w:r>
        <w:rPr>
          <w:b/>
          <w:bCs/>
          <w:kern w:val="0"/>
          <w:sz w:val="28"/>
          <w:lang w:eastAsia="zh-Hans"/>
        </w:rPr>
        <w:t>（一）总体目标</w:t>
      </w:r>
    </w:p>
    <w:p>
      <w:pPr>
        <w:ind w:firstLine="480"/>
        <w:rPr>
          <w:szCs w:val="28"/>
        </w:rPr>
      </w:pPr>
      <w:r>
        <w:rPr>
          <w:szCs w:val="28"/>
        </w:rPr>
        <w:t>围绕</w:t>
      </w:r>
      <w:r>
        <w:rPr>
          <w:rFonts w:asciiTheme="minorEastAsia" w:hAnsiTheme="minorEastAsia" w:eastAsiaTheme="minorEastAsia"/>
          <w:szCs w:val="28"/>
        </w:rPr>
        <w:t>“</w:t>
      </w:r>
      <w:r>
        <w:rPr>
          <w:szCs w:val="28"/>
        </w:rPr>
        <w:t>美德滕州、文明滕州、富强滕州</w:t>
      </w:r>
      <w:r>
        <w:rPr>
          <w:rFonts w:asciiTheme="minorEastAsia" w:hAnsiTheme="minorEastAsia" w:eastAsiaTheme="minorEastAsia"/>
          <w:szCs w:val="28"/>
        </w:rPr>
        <w:t>”</w:t>
      </w:r>
      <w:r>
        <w:rPr>
          <w:szCs w:val="28"/>
        </w:rPr>
        <w:t>建设的总要求，紧扣新时代县域经济强市、京沪廊道先进制造业基地、全国知名商贸集散地、城乡一体化发展先行区和新时代历史文化传承新高地的发展定位。通过分阶段建设，推动滕州市生态文明建设整体水平的全面提升，届时绿色发展、生态文明理念深入人心，污染防治效果更加显著，生产方式和生活方式向绿色、低碳转变，能源资源利用效率大幅提高，空气、水、土壤环境质量持续提升，城镇综合承载能力持续增强，农村基础设施配套更趋完善，城乡基本公共服务均等化水平大幅提升。打造极具代表性的鲁西南生态文明建设新高地，成功创建山东省级生态文明建设示范区，力争创成国家生态文明建设示范区。</w:t>
      </w:r>
    </w:p>
    <w:p>
      <w:pPr>
        <w:widowControl/>
        <w:ind w:firstLine="562"/>
        <w:jc w:val="left"/>
        <w:outlineLvl w:val="2"/>
        <w:rPr>
          <w:b/>
          <w:bCs/>
          <w:kern w:val="0"/>
          <w:sz w:val="28"/>
          <w:lang w:eastAsia="zh-Hans"/>
        </w:rPr>
      </w:pPr>
      <w:r>
        <w:rPr>
          <w:b/>
          <w:bCs/>
          <w:kern w:val="0"/>
          <w:sz w:val="28"/>
          <w:lang w:eastAsia="zh-Hans"/>
        </w:rPr>
        <w:t>（二）分阶段目标</w:t>
      </w:r>
    </w:p>
    <w:p>
      <w:pPr>
        <w:ind w:firstLine="482"/>
        <w:rPr>
          <w:b/>
          <w:bCs/>
        </w:rPr>
      </w:pPr>
      <w:bookmarkStart w:id="74" w:name="_Toc30169"/>
      <w:r>
        <w:rPr>
          <w:b/>
          <w:bCs/>
        </w:rPr>
        <w:t>近期目标（2023年－2025年）</w:t>
      </w:r>
      <w:bookmarkEnd w:id="74"/>
    </w:p>
    <w:p>
      <w:pPr>
        <w:ind w:firstLine="480"/>
      </w:pPr>
      <w:r>
        <w:rPr>
          <w:rFonts w:ascii="宋体" w:hAnsi="宋体"/>
        </w:rPr>
        <w:t>做好滕州市山东省级、国家生态文明建设示范区创建的宣传、发动工作；着重对标最新国家生态文明建设示范区创建要求，以环境保护基础设施建设、产业改造升级转型、城乡人居环境改善、生态文化培育为建设重点，稳步推进实施滕州市生态文明示范区建设规划涉及重点工程项目；依托主导产业基本建立绿色低碳经济发展体系，促进滕州市绿色发展水平和污染防治水平稳步提升，资源节约利用水平位居枣庄市前列；大气、水、土壤等环境质量逐步改善，环境风险得到有效防范；生态系统稳定性、生物多样性水平和生态系统服务功能得以全面提升；全社会生态文明意识明显增强，生态文明制度体系基本建立。至</w:t>
      </w:r>
      <w:r>
        <w:t>202</w:t>
      </w:r>
      <w:r>
        <w:rPr>
          <w:rFonts w:hint="eastAsia"/>
        </w:rPr>
        <w:t>4</w:t>
      </w:r>
      <w:r>
        <w:rPr>
          <w:rFonts w:ascii="宋体" w:hAnsi="宋体"/>
        </w:rPr>
        <w:t>年，</w:t>
      </w:r>
      <w:r>
        <w:rPr>
          <w:rFonts w:hint="eastAsia" w:ascii="宋体" w:hAnsi="宋体"/>
        </w:rPr>
        <w:t>各项建设</w:t>
      </w:r>
      <w:r>
        <w:rPr>
          <w:rFonts w:ascii="宋体" w:hAnsi="宋体"/>
        </w:rPr>
        <w:t>指标全面达到山东省级生态文明建设示范区创建要求，</w:t>
      </w:r>
      <w:r>
        <w:rPr>
          <w:rFonts w:hint="eastAsia" w:ascii="宋体" w:hAnsi="宋体"/>
        </w:rPr>
        <w:t>申报山东省级生态文明建设示范区</w:t>
      </w:r>
      <w:r>
        <w:rPr>
          <w:rFonts w:ascii="宋体" w:hAnsi="宋体"/>
        </w:rPr>
        <w:t>。</w:t>
      </w:r>
      <w:r>
        <w:rPr>
          <w:rFonts w:hint="eastAsia" w:ascii="宋体" w:hAnsi="宋体"/>
        </w:rPr>
        <w:t>至</w:t>
      </w:r>
      <w:r>
        <w:rPr>
          <w:rFonts w:hint="eastAsia"/>
        </w:rPr>
        <w:t>2025</w:t>
      </w:r>
      <w:r>
        <w:rPr>
          <w:rFonts w:hint="eastAsia" w:ascii="宋体" w:hAnsi="宋体"/>
        </w:rPr>
        <w:t>年，各项建设指标稳步提升，确保</w:t>
      </w:r>
      <w:r>
        <w:rPr>
          <w:rFonts w:ascii="宋体" w:hAnsi="宋体"/>
        </w:rPr>
        <w:t>环境空气优良天数比例</w:t>
      </w:r>
      <w:r>
        <w:rPr>
          <w:rFonts w:hint="eastAsia" w:ascii="宋体" w:hAnsi="宋体"/>
        </w:rPr>
        <w:t>稳定</w:t>
      </w:r>
      <w:r>
        <w:rPr>
          <w:rFonts w:ascii="宋体" w:hAnsi="宋体"/>
        </w:rPr>
        <w:t>达到</w:t>
      </w:r>
      <w:r>
        <w:t>70%</w:t>
      </w:r>
      <w:r>
        <w:rPr>
          <w:rFonts w:ascii="宋体" w:hAnsi="宋体"/>
        </w:rPr>
        <w:t>以上</w:t>
      </w:r>
      <w:r>
        <w:rPr>
          <w:rFonts w:hint="eastAsia" w:ascii="宋体" w:hAnsi="宋体"/>
        </w:rPr>
        <w:t>；林草覆盖率稳定达到</w:t>
      </w:r>
      <w:r>
        <w:rPr>
          <w:rFonts w:hint="eastAsia"/>
        </w:rPr>
        <w:t>16%</w:t>
      </w:r>
      <w:r>
        <w:rPr>
          <w:rFonts w:hint="eastAsia" w:ascii="宋体" w:hAnsi="宋体"/>
        </w:rPr>
        <w:t>以上；城镇污水处理率稳定达到</w:t>
      </w:r>
      <w:r>
        <w:rPr>
          <w:rFonts w:hint="eastAsia"/>
        </w:rPr>
        <w:t>85%</w:t>
      </w:r>
      <w:r>
        <w:rPr>
          <w:rFonts w:hint="eastAsia" w:ascii="宋体" w:hAnsi="宋体"/>
        </w:rPr>
        <w:t>以上。规划</w:t>
      </w:r>
      <w:r>
        <w:rPr>
          <w:rFonts w:ascii="宋体" w:hAnsi="宋体"/>
        </w:rPr>
        <w:t>所涉及生态文明建设重点工程项目实施率达到</w:t>
      </w:r>
      <w:r>
        <w:t>80%</w:t>
      </w:r>
      <w:r>
        <w:rPr>
          <w:rFonts w:ascii="宋体" w:hAnsi="宋体"/>
        </w:rPr>
        <w:t>以上，</w:t>
      </w:r>
      <w:r>
        <w:rPr>
          <w:rFonts w:hint="eastAsia" w:ascii="宋体" w:hAnsi="宋体"/>
        </w:rPr>
        <w:t>成功创建山东省级生态文明建设示范区</w:t>
      </w:r>
      <w:r>
        <w:rPr>
          <w:rFonts w:ascii="宋体" w:hAnsi="宋体"/>
        </w:rPr>
        <w:t>。</w:t>
      </w:r>
    </w:p>
    <w:p>
      <w:pPr>
        <w:ind w:firstLine="482"/>
        <w:rPr>
          <w:b/>
          <w:szCs w:val="28"/>
        </w:rPr>
      </w:pPr>
      <w:r>
        <w:rPr>
          <w:b/>
          <w:szCs w:val="28"/>
        </w:rPr>
        <w:t>远期目标（2026年－2030年）</w:t>
      </w:r>
    </w:p>
    <w:p>
      <w:pPr>
        <w:ind w:firstLine="480"/>
      </w:pPr>
      <w:r>
        <w:rPr>
          <w:rFonts w:ascii="宋体" w:hAnsi="宋体"/>
        </w:rPr>
        <w:t>通过完善环境基础设施、发展绿色循环经济、提升城乡人居环境、培育特色生态文化、健全生态制度等措施，巩固滕州市省级生态文明建设示范区争创期间的建设成果，确保全部创建指标稳定到达国家生态文明建设示范区创建要求，</w:t>
      </w:r>
      <w:r>
        <w:rPr>
          <w:rFonts w:hint="eastAsia" w:ascii="宋体" w:hAnsi="宋体"/>
        </w:rPr>
        <w:t>规划</w:t>
      </w:r>
      <w:r>
        <w:rPr>
          <w:rFonts w:ascii="宋体" w:hAnsi="宋体"/>
        </w:rPr>
        <w:t>所涉及生态文明建设重点工程项目完成率达到</w:t>
      </w:r>
      <w:r>
        <w:rPr>
          <w:rFonts w:hint="eastAsia"/>
        </w:rPr>
        <w:t>8</w:t>
      </w:r>
      <w:r>
        <w:t>0%</w:t>
      </w:r>
      <w:r>
        <w:rPr>
          <w:rFonts w:ascii="宋体" w:hAnsi="宋体"/>
        </w:rPr>
        <w:t>以上。力争环境空气质量、水环境质量、生态</w:t>
      </w:r>
      <w:r>
        <w:rPr>
          <w:rFonts w:hint="eastAsia" w:ascii="宋体" w:hAnsi="宋体"/>
        </w:rPr>
        <w:t>质量</w:t>
      </w:r>
      <w:r>
        <w:rPr>
          <w:rFonts w:ascii="宋体" w:hAnsi="宋体"/>
        </w:rPr>
        <w:t>指数（</w:t>
      </w:r>
      <w:r>
        <w:t>EQI</w:t>
      </w:r>
      <w:r>
        <w:rPr>
          <w:rFonts w:ascii="宋体" w:hAnsi="宋体"/>
        </w:rPr>
        <w:t>）、单位地区生产总值能耗、单位地区生产总值用水量</w:t>
      </w:r>
      <w:r>
        <w:rPr>
          <w:rFonts w:hint="eastAsia" w:ascii="宋体" w:hAnsi="宋体"/>
        </w:rPr>
        <w:t>、城镇污水处理率</w:t>
      </w:r>
      <w:r>
        <w:rPr>
          <w:rFonts w:ascii="宋体" w:hAnsi="宋体"/>
        </w:rPr>
        <w:t>等重要</w:t>
      </w:r>
      <w:r>
        <w:rPr>
          <w:rFonts w:hint="eastAsia" w:ascii="宋体" w:hAnsi="宋体"/>
        </w:rPr>
        <w:t>建设</w:t>
      </w:r>
      <w:r>
        <w:rPr>
          <w:rFonts w:ascii="宋体" w:hAnsi="宋体"/>
        </w:rPr>
        <w:t>指标在枣庄市乃至全省位居前列。继而形成经济可持续发展、资源循环利用、环境质量优良、生态系统健康稳定、产业结构合理、城乡环境优美宜居、绿色生活方式和生态文明理念深入人心，生态文化空前繁荣，彰显鲁西南地区特色的生态文明社会协调发展的新局面。在成功创建山东省级生态文明建设示范区的基础上，申报</w:t>
      </w:r>
      <w:r>
        <w:rPr>
          <w:rFonts w:hint="eastAsia" w:ascii="宋体" w:hAnsi="宋体"/>
        </w:rPr>
        <w:t>并力争</w:t>
      </w:r>
      <w:r>
        <w:rPr>
          <w:rFonts w:ascii="宋体" w:hAnsi="宋体"/>
        </w:rPr>
        <w:t>创</w:t>
      </w:r>
      <w:r>
        <w:rPr>
          <w:rFonts w:hint="eastAsia" w:ascii="宋体" w:hAnsi="宋体"/>
        </w:rPr>
        <w:t>成</w:t>
      </w:r>
      <w:r>
        <w:rPr>
          <w:rFonts w:ascii="宋体" w:hAnsi="宋体"/>
        </w:rPr>
        <w:t>国家生态文明建设示范区，</w:t>
      </w:r>
      <w:r>
        <w:rPr>
          <w:rFonts w:hint="eastAsia" w:ascii="宋体" w:hAnsi="宋体"/>
        </w:rPr>
        <w:t>打造</w:t>
      </w:r>
      <w:r>
        <w:rPr>
          <w:rFonts w:ascii="宋体" w:hAnsi="宋体"/>
        </w:rPr>
        <w:t>鲁西南地区乃至山东省生态文明建设的典范城市。</w:t>
      </w:r>
    </w:p>
    <w:p>
      <w:pPr>
        <w:ind w:firstLine="480"/>
        <w:rPr>
          <w:szCs w:val="28"/>
        </w:rPr>
      </w:pPr>
    </w:p>
    <w:p>
      <w:pPr>
        <w:keepNext/>
        <w:keepLines/>
        <w:autoSpaceDE w:val="0"/>
        <w:autoSpaceDN w:val="0"/>
        <w:spacing w:before="156" w:beforeLines="50" w:after="156" w:afterLines="50"/>
        <w:ind w:firstLine="0" w:firstLineChars="0"/>
        <w:outlineLvl w:val="1"/>
        <w:rPr>
          <w:rFonts w:eastAsia="黑体"/>
          <w:bCs/>
          <w:snapToGrid w:val="0"/>
          <w:kern w:val="0"/>
          <w:sz w:val="32"/>
          <w:szCs w:val="32"/>
        </w:rPr>
      </w:pPr>
      <w:bookmarkStart w:id="75" w:name="_Toc139894276"/>
      <w:bookmarkStart w:id="76" w:name="_Toc139894232"/>
      <w:bookmarkStart w:id="77" w:name="_Toc11622"/>
      <w:bookmarkStart w:id="78" w:name="_Toc6765"/>
      <w:bookmarkStart w:id="79" w:name="_Toc139894360"/>
      <w:r>
        <w:rPr>
          <w:rFonts w:eastAsia="黑体"/>
          <w:bCs/>
          <w:snapToGrid w:val="0"/>
          <w:kern w:val="0"/>
          <w:sz w:val="32"/>
          <w:szCs w:val="32"/>
        </w:rPr>
        <w:t>六、建设指标</w:t>
      </w:r>
      <w:bookmarkEnd w:id="75"/>
      <w:bookmarkEnd w:id="76"/>
      <w:bookmarkEnd w:id="77"/>
      <w:bookmarkEnd w:id="78"/>
      <w:bookmarkEnd w:id="79"/>
    </w:p>
    <w:p>
      <w:pPr>
        <w:ind w:firstLine="480"/>
        <w:rPr>
          <w:bCs/>
          <w:szCs w:val="28"/>
        </w:rPr>
      </w:pPr>
      <w:bookmarkStart w:id="80" w:name="_Toc24279045"/>
      <w:bookmarkStart w:id="81" w:name="_Toc504633262"/>
      <w:r>
        <w:t>根据生态环境部《国家生态文明建设示范区建设指标（修订版）》（环办生态函〔2023〕</w:t>
      </w:r>
      <w:r>
        <w:rPr>
          <w:rFonts w:hint="eastAsia"/>
        </w:rPr>
        <w:t>2</w:t>
      </w:r>
      <w:r>
        <w:t>09号）和《山东省省级生态文明建设示范区指标》（鲁环发〔2020〕16号），滕州市国家、省级生态文明建设指标体系及2022年指标现状和2025年、2030年指标目标情况见下表</w:t>
      </w:r>
      <w:r>
        <w:rPr>
          <w:bCs/>
          <w:szCs w:val="28"/>
        </w:rPr>
        <w:t>。</w:t>
      </w:r>
    </w:p>
    <w:p>
      <w:pPr>
        <w:ind w:firstLine="480"/>
        <w:rPr>
          <w:bCs/>
          <w:szCs w:val="28"/>
        </w:rPr>
        <w:sectPr>
          <w:pgSz w:w="11906" w:h="16838"/>
          <w:pgMar w:top="1440" w:right="1800" w:bottom="1440" w:left="1800" w:header="851" w:footer="992" w:gutter="0"/>
          <w:cols w:space="720" w:num="1"/>
          <w:docGrid w:type="lines" w:linePitch="312" w:charSpace="0"/>
        </w:sectPr>
      </w:pPr>
    </w:p>
    <w:p>
      <w:pPr>
        <w:ind w:firstLine="0" w:firstLineChars="0"/>
        <w:jc w:val="center"/>
        <w:rPr>
          <w:b/>
          <w:bCs/>
          <w:kern w:val="0"/>
          <w:sz w:val="28"/>
          <w:szCs w:val="28"/>
        </w:rPr>
      </w:pPr>
      <w:r>
        <w:rPr>
          <w:b/>
          <w:bCs/>
        </w:rPr>
        <w:t>表1  滕州市省级、国家生态文明建设示范区建设指标现状值及规划目标值一览表</w:t>
      </w:r>
    </w:p>
    <w:bookmarkEnd w:id="80"/>
    <w:bookmarkEnd w:id="81"/>
    <w:tbl>
      <w:tblPr>
        <w:tblStyle w:val="59"/>
        <w:tblW w:w="4671"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6"/>
        <w:gridCol w:w="814"/>
        <w:gridCol w:w="710"/>
        <w:gridCol w:w="2036"/>
        <w:gridCol w:w="731"/>
        <w:gridCol w:w="1245"/>
        <w:gridCol w:w="1042"/>
        <w:gridCol w:w="1420"/>
        <w:gridCol w:w="1284"/>
        <w:gridCol w:w="1334"/>
        <w:gridCol w:w="93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blHeader/>
        </w:trPr>
        <w:tc>
          <w:tcPr>
            <w:tcW w:w="282"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bookmarkStart w:id="82" w:name="_Hlk135227452"/>
            <w:bookmarkStart w:id="83" w:name="_Toc29123"/>
            <w:bookmarkStart w:id="84" w:name="_Toc524956484"/>
            <w:r>
              <w:rPr>
                <w:rFonts w:ascii="宋体" w:hAnsi="宋体"/>
                <w:b/>
                <w:bCs/>
                <w:sz w:val="21"/>
                <w:szCs w:val="21"/>
              </w:rPr>
              <w:t>领域</w:t>
            </w:r>
            <w:bookmarkEnd w:id="82"/>
          </w:p>
        </w:tc>
        <w:tc>
          <w:tcPr>
            <w:tcW w:w="312"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任务</w:t>
            </w:r>
          </w:p>
        </w:tc>
        <w:tc>
          <w:tcPr>
            <w:tcW w:w="272"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序号</w:t>
            </w:r>
          </w:p>
        </w:tc>
        <w:tc>
          <w:tcPr>
            <w:tcW w:w="780"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指标名称</w:t>
            </w:r>
          </w:p>
        </w:tc>
        <w:tc>
          <w:tcPr>
            <w:tcW w:w="280"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单位</w:t>
            </w:r>
          </w:p>
        </w:tc>
        <w:tc>
          <w:tcPr>
            <w:tcW w:w="477"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指标要求</w:t>
            </w:r>
          </w:p>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（山东省）</w:t>
            </w:r>
          </w:p>
        </w:tc>
        <w:tc>
          <w:tcPr>
            <w:tcW w:w="399"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指标要求</w:t>
            </w:r>
          </w:p>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（国家）</w:t>
            </w:r>
          </w:p>
        </w:tc>
        <w:tc>
          <w:tcPr>
            <w:tcW w:w="544"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b/>
                <w:bCs/>
                <w:sz w:val="21"/>
                <w:szCs w:val="21"/>
              </w:rPr>
            </w:pPr>
            <w:r>
              <w:rPr>
                <w:rFonts w:hint="eastAsia" w:ascii="宋体" w:hAnsi="宋体"/>
                <w:b/>
                <w:bCs/>
                <w:sz w:val="21"/>
                <w:szCs w:val="21"/>
              </w:rPr>
              <w:t>现状值</w:t>
            </w:r>
          </w:p>
          <w:p>
            <w:pPr>
              <w:spacing w:line="240" w:lineRule="auto"/>
              <w:ind w:firstLine="0" w:firstLineChars="0"/>
              <w:jc w:val="center"/>
              <w:rPr>
                <w:rFonts w:eastAsia="等线"/>
                <w:b/>
                <w:bCs/>
                <w:sz w:val="21"/>
                <w:szCs w:val="21"/>
              </w:rPr>
            </w:pPr>
            <w:r>
              <w:rPr>
                <w:rFonts w:hint="eastAsia" w:ascii="宋体" w:hAnsi="宋体"/>
                <w:b/>
                <w:bCs/>
                <w:sz w:val="21"/>
                <w:szCs w:val="21"/>
              </w:rPr>
              <w:t>（</w:t>
            </w:r>
            <w:r>
              <w:rPr>
                <w:b/>
                <w:bCs/>
                <w:sz w:val="21"/>
                <w:szCs w:val="21"/>
              </w:rPr>
              <w:t>202</w:t>
            </w:r>
            <w:r>
              <w:rPr>
                <w:rFonts w:hint="eastAsia"/>
                <w:b/>
                <w:bCs/>
                <w:sz w:val="21"/>
                <w:szCs w:val="21"/>
              </w:rPr>
              <w:t>2</w:t>
            </w:r>
            <w:r>
              <w:rPr>
                <w:rFonts w:hint="eastAsia" w:ascii="宋体" w:hAnsi="宋体"/>
                <w:b/>
                <w:bCs/>
                <w:sz w:val="21"/>
                <w:szCs w:val="21"/>
              </w:rPr>
              <w:t>年）</w:t>
            </w:r>
          </w:p>
        </w:tc>
        <w:tc>
          <w:tcPr>
            <w:tcW w:w="1003" w:type="pct"/>
            <w:gridSpan w:val="2"/>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目标值</w:t>
            </w:r>
          </w:p>
        </w:tc>
        <w:tc>
          <w:tcPr>
            <w:tcW w:w="357"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指标属性</w:t>
            </w:r>
          </w:p>
        </w:tc>
        <w:tc>
          <w:tcPr>
            <w:tcW w:w="293" w:type="pct"/>
            <w:vMerge w:val="restar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是否</w:t>
            </w:r>
          </w:p>
          <w:p>
            <w:pPr>
              <w:adjustRightInd w:val="0"/>
              <w:snapToGrid w:val="0"/>
              <w:spacing w:line="240" w:lineRule="auto"/>
              <w:ind w:firstLine="0" w:firstLineChars="0"/>
              <w:jc w:val="center"/>
              <w:rPr>
                <w:rFonts w:eastAsia="等线"/>
                <w:b/>
                <w:bCs/>
                <w:sz w:val="21"/>
                <w:szCs w:val="21"/>
              </w:rPr>
            </w:pPr>
            <w:r>
              <w:rPr>
                <w:rFonts w:ascii="宋体" w:hAnsi="宋体"/>
                <w:b/>
                <w:bCs/>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blHead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b/>
                <w:bCs/>
                <w:sz w:val="21"/>
                <w:szCs w:val="21"/>
              </w:rPr>
              <w:t>202</w:t>
            </w:r>
            <w:r>
              <w:rPr>
                <w:rFonts w:hint="eastAsia"/>
                <w:b/>
                <w:bCs/>
                <w:sz w:val="21"/>
                <w:szCs w:val="21"/>
              </w:rPr>
              <w:t>5</w:t>
            </w:r>
            <w:r>
              <w:rPr>
                <w:rFonts w:ascii="宋体" w:hAnsi="宋体"/>
                <w:b/>
                <w:bCs/>
                <w:sz w:val="21"/>
                <w:szCs w:val="21"/>
              </w:rPr>
              <w:t>年</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b/>
                <w:bCs/>
                <w:sz w:val="21"/>
                <w:szCs w:val="21"/>
              </w:rPr>
              <w:t>20</w:t>
            </w:r>
            <w:r>
              <w:rPr>
                <w:rFonts w:hint="eastAsia"/>
                <w:b/>
                <w:bCs/>
                <w:sz w:val="21"/>
                <w:szCs w:val="21"/>
              </w:rPr>
              <w:t>30</w:t>
            </w:r>
            <w:r>
              <w:rPr>
                <w:rFonts w:ascii="宋体" w:hAnsi="宋体"/>
                <w:b/>
                <w:bCs/>
                <w:sz w:val="21"/>
                <w:szCs w:val="21"/>
              </w:rPr>
              <w:t>年</w:t>
            </w: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c>
          <w:tcPr>
            <w:tcW w:w="0" w:type="auto"/>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eastAsia="等线"/>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6"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制</w:t>
            </w:r>
          </w:p>
          <w:p>
            <w:pPr>
              <w:adjustRightInd w:val="0"/>
              <w:snapToGrid w:val="0"/>
              <w:spacing w:line="240" w:lineRule="auto"/>
              <w:ind w:firstLine="0" w:firstLineChars="0"/>
              <w:jc w:val="center"/>
              <w:rPr>
                <w:rFonts w:eastAsia="等线"/>
                <w:sz w:val="21"/>
                <w:szCs w:val="21"/>
              </w:rPr>
            </w:pPr>
            <w:r>
              <w:rPr>
                <w:rFonts w:ascii="宋体" w:hAnsi="宋体"/>
                <w:sz w:val="21"/>
                <w:szCs w:val="21"/>
              </w:rPr>
              <w:t>度</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（一）</w:t>
            </w:r>
          </w:p>
          <w:p>
            <w:pPr>
              <w:adjustRightInd w:val="0"/>
              <w:snapToGrid w:val="0"/>
              <w:spacing w:line="240" w:lineRule="auto"/>
              <w:ind w:firstLine="0" w:firstLineChars="0"/>
              <w:jc w:val="center"/>
              <w:rPr>
                <w:rFonts w:eastAsia="等线"/>
                <w:sz w:val="21"/>
                <w:szCs w:val="21"/>
              </w:rPr>
            </w:pPr>
            <w:r>
              <w:rPr>
                <w:rFonts w:ascii="宋体" w:hAnsi="宋体"/>
                <w:sz w:val="21"/>
                <w:szCs w:val="21"/>
              </w:rPr>
              <w:t>目标责任体系与制度建设</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生态文明建设规划</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制定实施</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制定实施</w:t>
            </w:r>
          </w:p>
        </w:tc>
        <w:tc>
          <w:tcPr>
            <w:tcW w:w="544"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kern w:val="0"/>
                <w:sz w:val="21"/>
                <w:szCs w:val="21"/>
              </w:rPr>
            </w:pPr>
            <w:r>
              <w:rPr>
                <w:rFonts w:hint="eastAsia" w:ascii="宋体" w:hAnsi="宋体"/>
                <w:kern w:val="0"/>
                <w:sz w:val="21"/>
                <w:szCs w:val="21"/>
              </w:rPr>
              <w:t>正在编制</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制定实施</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制定实施</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党委政府对生态文明建设重大目标任务部署情况</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有效开展</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有效开展</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ascii="宋体" w:hAnsi="宋体"/>
                <w:kern w:val="0"/>
                <w:sz w:val="21"/>
                <w:szCs w:val="21"/>
              </w:rPr>
              <w:t>有效开展</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有效开展</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有效开展</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生态文明建设工作占党政实绩考核的比例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sz w:val="21"/>
                <w:szCs w:val="21"/>
              </w:rPr>
              <w:t>≥20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≥20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20</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w:t>
            </w:r>
            <w:r>
              <w:rPr>
                <w:sz w:val="21"/>
                <w:szCs w:val="21"/>
              </w:rPr>
              <w:t>22</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w:t>
            </w:r>
            <w:r>
              <w:rPr>
                <w:sz w:val="21"/>
                <w:szCs w:val="21"/>
              </w:rPr>
              <w:t>25</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4</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河长制</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全面实施</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全面实施</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ascii="宋体" w:hAnsi="宋体"/>
                <w:kern w:val="0"/>
                <w:sz w:val="21"/>
                <w:szCs w:val="21"/>
              </w:rPr>
              <w:t>全面实施</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全面实施</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全面实施</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5</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生态环境信息公开率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sz w:val="21"/>
                <w:szCs w:val="21"/>
              </w:rPr>
              <w:t>100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100</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100</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6</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依法开展规划环境影响评价</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开展</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开展</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ascii="宋体" w:hAnsi="宋体"/>
                <w:kern w:val="0"/>
                <w:sz w:val="21"/>
                <w:szCs w:val="21"/>
              </w:rPr>
              <w:t>开展</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开展</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rFonts w:ascii="宋体" w:hAnsi="宋体"/>
                <w:kern w:val="0"/>
                <w:sz w:val="21"/>
                <w:szCs w:val="21"/>
              </w:rPr>
              <w:t>开展</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安</w:t>
            </w:r>
          </w:p>
          <w:p>
            <w:pPr>
              <w:adjustRightInd w:val="0"/>
              <w:snapToGrid w:val="0"/>
              <w:spacing w:line="240" w:lineRule="auto"/>
              <w:ind w:firstLine="0" w:firstLineChars="0"/>
              <w:jc w:val="center"/>
              <w:rPr>
                <w:rFonts w:eastAsia="等线"/>
                <w:sz w:val="21"/>
                <w:szCs w:val="21"/>
              </w:rPr>
            </w:pPr>
            <w:r>
              <w:rPr>
                <w:rFonts w:ascii="宋体" w:hAnsi="宋体"/>
                <w:sz w:val="21"/>
                <w:szCs w:val="21"/>
              </w:rPr>
              <w:t>全</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（二）</w:t>
            </w:r>
          </w:p>
          <w:p>
            <w:pPr>
              <w:adjustRightInd w:val="0"/>
              <w:snapToGrid w:val="0"/>
              <w:spacing w:line="240" w:lineRule="auto"/>
              <w:ind w:firstLine="0" w:firstLineChars="0"/>
              <w:jc w:val="center"/>
              <w:rPr>
                <w:rFonts w:eastAsia="等线"/>
                <w:sz w:val="21"/>
                <w:szCs w:val="21"/>
              </w:rPr>
            </w:pPr>
            <w:r>
              <w:rPr>
                <w:rFonts w:ascii="宋体" w:hAnsi="宋体"/>
                <w:sz w:val="21"/>
                <w:szCs w:val="21"/>
              </w:rPr>
              <w:t>生态环境质量改善</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7</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环境空气质量</w:t>
            </w:r>
          </w:p>
          <w:p>
            <w:pPr>
              <w:adjustRightInd w:val="0"/>
              <w:snapToGrid w:val="0"/>
              <w:spacing w:line="240" w:lineRule="auto"/>
              <w:ind w:firstLine="0" w:firstLineChars="0"/>
              <w:rPr>
                <w:rFonts w:eastAsia="等线"/>
                <w:sz w:val="21"/>
                <w:szCs w:val="21"/>
              </w:rPr>
            </w:pPr>
            <w:r>
              <w:rPr>
                <w:rFonts w:ascii="宋体" w:hAnsi="宋体"/>
                <w:sz w:val="21"/>
                <w:szCs w:val="21"/>
              </w:rPr>
              <w:t>优良天数比例</w:t>
            </w:r>
          </w:p>
          <w:p>
            <w:pPr>
              <w:adjustRightInd w:val="0"/>
              <w:snapToGrid w:val="0"/>
              <w:spacing w:line="240" w:lineRule="auto"/>
              <w:ind w:firstLine="0" w:firstLineChars="0"/>
              <w:rPr>
                <w:rFonts w:eastAsia="等线"/>
                <w:sz w:val="21"/>
                <w:szCs w:val="21"/>
              </w:rPr>
            </w:pPr>
            <w:r>
              <w:rPr>
                <w:sz w:val="21"/>
                <w:szCs w:val="21"/>
              </w:rPr>
              <w:t>PM</w:t>
            </w:r>
            <w:r>
              <w:rPr>
                <w:sz w:val="21"/>
                <w:szCs w:val="21"/>
                <w:vertAlign w:val="subscript"/>
              </w:rPr>
              <w:t>2.5</w:t>
            </w:r>
            <w:r>
              <w:rPr>
                <w:rFonts w:ascii="宋体" w:hAnsi="宋体"/>
                <w:sz w:val="21"/>
                <w:szCs w:val="21"/>
              </w:rPr>
              <w:t>浓度下降幅度</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pacing w:val="-10"/>
                <w:sz w:val="21"/>
                <w:szCs w:val="21"/>
              </w:rPr>
              <w:t>完成上级规定的考核任务；保持稳定或持续改善</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pacing w:val="-4"/>
                <w:sz w:val="21"/>
                <w:szCs w:val="21"/>
              </w:rPr>
              <w:t>完成上级规定的考核任务；保持稳定或持续改善</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hint="eastAsia" w:ascii="宋体" w:hAnsi="宋体"/>
                <w:sz w:val="21"/>
                <w:szCs w:val="21"/>
              </w:rPr>
              <w:t>优良天数比例为</w:t>
            </w:r>
            <w:r>
              <w:rPr>
                <w:sz w:val="21"/>
                <w:szCs w:val="21"/>
              </w:rPr>
              <w:t>6</w:t>
            </w:r>
            <w:r>
              <w:rPr>
                <w:rFonts w:hint="eastAsia" w:eastAsia="等线"/>
                <w:sz w:val="21"/>
                <w:szCs w:val="21"/>
              </w:rPr>
              <w:t>6.8</w:t>
            </w:r>
            <w:r>
              <w:rPr>
                <w:sz w:val="21"/>
                <w:szCs w:val="21"/>
              </w:rPr>
              <w:t>%</w:t>
            </w:r>
            <w:r>
              <w:rPr>
                <w:rFonts w:hint="eastAsia" w:ascii="宋体" w:hAnsi="宋体"/>
                <w:sz w:val="21"/>
                <w:szCs w:val="21"/>
              </w:rPr>
              <w:t>，同比提高</w:t>
            </w:r>
            <w:r>
              <w:rPr>
                <w:rFonts w:hint="eastAsia" w:eastAsia="等线"/>
                <w:sz w:val="21"/>
                <w:szCs w:val="21"/>
              </w:rPr>
              <w:t>3.5</w:t>
            </w:r>
            <w:r>
              <w:rPr>
                <w:sz w:val="21"/>
                <w:szCs w:val="21"/>
              </w:rPr>
              <w:t>%</w:t>
            </w:r>
            <w:r>
              <w:rPr>
                <w:rFonts w:hint="eastAsia" w:ascii="宋体" w:hAnsi="宋体"/>
                <w:sz w:val="21"/>
                <w:szCs w:val="21"/>
              </w:rPr>
              <w:t>；</w:t>
            </w:r>
            <w:r>
              <w:rPr>
                <w:sz w:val="21"/>
                <w:szCs w:val="21"/>
              </w:rPr>
              <w:t>PM</w:t>
            </w:r>
            <w:r>
              <w:rPr>
                <w:sz w:val="21"/>
                <w:szCs w:val="21"/>
                <w:vertAlign w:val="subscript"/>
              </w:rPr>
              <w:t>2.5</w:t>
            </w:r>
            <w:r>
              <w:rPr>
                <w:rFonts w:hint="eastAsia" w:ascii="宋体" w:hAnsi="宋体"/>
                <w:sz w:val="21"/>
                <w:szCs w:val="21"/>
              </w:rPr>
              <w:t>浓度</w:t>
            </w:r>
            <w:r>
              <w:rPr>
                <w:rFonts w:eastAsia="等线"/>
                <w:sz w:val="21"/>
                <w:szCs w:val="21"/>
              </w:rPr>
              <w:t>4</w:t>
            </w:r>
            <w:r>
              <w:rPr>
                <w:rFonts w:hint="eastAsia" w:eastAsia="等线"/>
                <w:sz w:val="21"/>
                <w:szCs w:val="21"/>
              </w:rPr>
              <w:t>2</w:t>
            </w:r>
            <w:r>
              <w:rPr>
                <w:rFonts w:hint="eastAsia" w:ascii="宋体" w:hAnsi="宋体"/>
                <w:sz w:val="21"/>
                <w:szCs w:val="21"/>
              </w:rPr>
              <w:t>微克，同比下降</w:t>
            </w:r>
            <w:r>
              <w:rPr>
                <w:rFonts w:hint="eastAsia" w:eastAsia="等线"/>
                <w:sz w:val="21"/>
                <w:szCs w:val="21"/>
              </w:rPr>
              <w:t>4.5</w:t>
            </w:r>
            <w:r>
              <w:rPr>
                <w:sz w:val="21"/>
                <w:szCs w:val="21"/>
              </w:rPr>
              <w:t>%</w:t>
            </w:r>
            <w:r>
              <w:rPr>
                <w:rFonts w:hint="eastAsia" w:ascii="宋体" w:hAnsi="宋体"/>
                <w:sz w:val="21"/>
                <w:szCs w:val="21"/>
              </w:rPr>
              <w:t>。完成上级下达任务目标，保持持续改善</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pacing w:val="-4"/>
                <w:sz w:val="21"/>
                <w:szCs w:val="21"/>
              </w:rPr>
              <w:t>完成上级规定的考核任务；保持持续改善</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b/>
                <w:sz w:val="21"/>
                <w:szCs w:val="21"/>
              </w:rPr>
            </w:pPr>
            <w:r>
              <w:rPr>
                <w:rFonts w:ascii="宋体" w:hAnsi="宋体"/>
                <w:spacing w:val="-4"/>
                <w:sz w:val="21"/>
                <w:szCs w:val="21"/>
              </w:rPr>
              <w:t>完成上级规定的考核任务；保持持续改善</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水环境质量</w:t>
            </w:r>
          </w:p>
          <w:p>
            <w:pPr>
              <w:spacing w:line="240" w:lineRule="auto"/>
              <w:ind w:firstLine="0" w:firstLineChars="0"/>
              <w:rPr>
                <w:rFonts w:eastAsia="等线"/>
                <w:sz w:val="21"/>
                <w:szCs w:val="21"/>
              </w:rPr>
            </w:pPr>
            <w:r>
              <w:rPr>
                <w:rFonts w:ascii="宋体" w:hAnsi="宋体"/>
                <w:sz w:val="21"/>
                <w:szCs w:val="21"/>
              </w:rPr>
              <w:t>水质达到或优于</w:t>
            </w:r>
            <w:r>
              <w:rPr>
                <w:sz w:val="21"/>
                <w:szCs w:val="21"/>
              </w:rPr>
              <w:t>Ⅲ</w:t>
            </w:r>
            <w:r>
              <w:rPr>
                <w:rFonts w:ascii="宋体" w:hAnsi="宋体"/>
                <w:sz w:val="21"/>
                <w:szCs w:val="21"/>
              </w:rPr>
              <w:t>类比例提高幅度</w:t>
            </w:r>
          </w:p>
          <w:p>
            <w:pPr>
              <w:spacing w:line="240" w:lineRule="auto"/>
              <w:ind w:firstLine="0" w:firstLineChars="0"/>
              <w:rPr>
                <w:rFonts w:eastAsia="等线"/>
                <w:sz w:val="21"/>
                <w:szCs w:val="21"/>
              </w:rPr>
            </w:pPr>
            <w:r>
              <w:rPr>
                <w:rFonts w:ascii="宋体" w:hAnsi="宋体"/>
                <w:sz w:val="21"/>
                <w:szCs w:val="21"/>
              </w:rPr>
              <w:t>劣</w:t>
            </w:r>
            <w:r>
              <w:rPr>
                <w:sz w:val="21"/>
                <w:szCs w:val="21"/>
              </w:rPr>
              <w:t>V</w:t>
            </w:r>
            <w:r>
              <w:rPr>
                <w:rFonts w:ascii="宋体" w:hAnsi="宋体"/>
                <w:sz w:val="21"/>
                <w:szCs w:val="21"/>
              </w:rPr>
              <w:t>类水体比例下降幅度</w:t>
            </w:r>
          </w:p>
          <w:p>
            <w:pPr>
              <w:adjustRightInd w:val="0"/>
              <w:snapToGrid w:val="0"/>
              <w:spacing w:line="240" w:lineRule="auto"/>
              <w:ind w:firstLine="0" w:firstLineChars="0"/>
              <w:rPr>
                <w:rFonts w:eastAsia="等线"/>
                <w:sz w:val="21"/>
                <w:szCs w:val="21"/>
              </w:rPr>
            </w:pPr>
            <w:r>
              <w:rPr>
                <w:rFonts w:ascii="宋体" w:hAnsi="宋体"/>
                <w:sz w:val="21"/>
                <w:szCs w:val="21"/>
              </w:rPr>
              <w:t>黑臭水体消除比例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pacing w:val="-10"/>
                <w:sz w:val="21"/>
                <w:szCs w:val="21"/>
              </w:rPr>
              <w:t>完成上级规定的考核任务；保持稳定或持续改善</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pacing w:val="-4"/>
                <w:sz w:val="21"/>
                <w:szCs w:val="21"/>
              </w:rPr>
              <w:t>完成上级规定的考核任务；保持稳定或持续改善</w:t>
            </w:r>
          </w:p>
        </w:tc>
        <w:tc>
          <w:tcPr>
            <w:tcW w:w="544" w:type="pct"/>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sz w:val="21"/>
                <w:szCs w:val="21"/>
              </w:rPr>
            </w:pPr>
            <w:r>
              <w:rPr>
                <w:rFonts w:hint="eastAsia" w:ascii="宋体" w:hAnsi="宋体"/>
                <w:sz w:val="21"/>
                <w:szCs w:val="21"/>
              </w:rPr>
              <w:t>全市</w:t>
            </w:r>
            <w:r>
              <w:rPr>
                <w:sz w:val="21"/>
                <w:szCs w:val="21"/>
              </w:rPr>
              <w:t>3</w:t>
            </w:r>
            <w:r>
              <w:rPr>
                <w:rFonts w:hint="eastAsia" w:ascii="宋体" w:hAnsi="宋体"/>
                <w:sz w:val="21"/>
                <w:szCs w:val="21"/>
              </w:rPr>
              <w:t>个国控断面水质优Ⅲ比例</w:t>
            </w:r>
            <w:r>
              <w:rPr>
                <w:sz w:val="21"/>
                <w:szCs w:val="21"/>
              </w:rPr>
              <w:t>100%</w:t>
            </w:r>
            <w:r>
              <w:rPr>
                <w:rFonts w:hint="eastAsia" w:ascii="宋体" w:hAnsi="宋体"/>
                <w:sz w:val="21"/>
                <w:szCs w:val="21"/>
              </w:rPr>
              <w:t>，地下水水质达Ⅲ类，无劣</w:t>
            </w:r>
            <w:r>
              <w:rPr>
                <w:sz w:val="21"/>
                <w:szCs w:val="21"/>
              </w:rPr>
              <w:t>V</w:t>
            </w:r>
            <w:r>
              <w:rPr>
                <w:rFonts w:hint="eastAsia" w:ascii="宋体" w:hAnsi="宋体"/>
                <w:sz w:val="21"/>
                <w:szCs w:val="21"/>
              </w:rPr>
              <w:t>类水体，黑臭水体全面消除，完成上级规定考核任务</w:t>
            </w:r>
          </w:p>
        </w:tc>
        <w:tc>
          <w:tcPr>
            <w:tcW w:w="492" w:type="pct"/>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eastAsia="等线"/>
                <w:sz w:val="21"/>
                <w:szCs w:val="21"/>
              </w:rPr>
            </w:pPr>
            <w:r>
              <w:rPr>
                <w:rFonts w:ascii="宋体" w:hAnsi="宋体"/>
                <w:sz w:val="21"/>
                <w:szCs w:val="21"/>
              </w:rPr>
              <w:t>国控断面优</w:t>
            </w:r>
            <w:r>
              <w:rPr>
                <w:sz w:val="21"/>
                <w:szCs w:val="21"/>
              </w:rPr>
              <w:t>Ⅲ</w:t>
            </w:r>
            <w:r>
              <w:rPr>
                <w:rFonts w:ascii="宋体" w:hAnsi="宋体"/>
                <w:sz w:val="21"/>
                <w:szCs w:val="21"/>
              </w:rPr>
              <w:t>比例</w:t>
            </w:r>
            <w:r>
              <w:rPr>
                <w:sz w:val="21"/>
                <w:szCs w:val="21"/>
              </w:rPr>
              <w:t>100%</w:t>
            </w:r>
            <w:r>
              <w:rPr>
                <w:rFonts w:ascii="宋体" w:hAnsi="宋体"/>
                <w:sz w:val="21"/>
                <w:szCs w:val="21"/>
              </w:rPr>
              <w:t>，劣</w:t>
            </w:r>
            <w:r>
              <w:rPr>
                <w:sz w:val="21"/>
                <w:szCs w:val="21"/>
              </w:rPr>
              <w:t>V</w:t>
            </w:r>
            <w:r>
              <w:rPr>
                <w:rFonts w:ascii="宋体" w:hAnsi="宋体"/>
                <w:sz w:val="21"/>
                <w:szCs w:val="21"/>
              </w:rPr>
              <w:t>类和黑臭水体全面消除，</w:t>
            </w:r>
            <w:r>
              <w:rPr>
                <w:rFonts w:ascii="宋体" w:hAnsi="宋体"/>
                <w:spacing w:val="-4"/>
                <w:sz w:val="21"/>
                <w:szCs w:val="21"/>
              </w:rPr>
              <w:t>完成上级规定的考核任务；保持稳定或持续改善</w:t>
            </w:r>
          </w:p>
        </w:tc>
        <w:tc>
          <w:tcPr>
            <w:tcW w:w="511" w:type="pct"/>
            <w:tcBorders>
              <w:top w:val="single" w:color="auto" w:sz="4" w:space="0"/>
              <w:left w:val="nil"/>
              <w:bottom w:val="single" w:color="auto" w:sz="4" w:space="0"/>
              <w:right w:val="single" w:color="auto" w:sz="4" w:space="0"/>
            </w:tcBorders>
            <w:shd w:val="clear" w:color="auto" w:fill="FFFFFF"/>
            <w:vAlign w:val="center"/>
          </w:tcPr>
          <w:p>
            <w:pPr>
              <w:adjustRightInd w:val="0"/>
              <w:snapToGrid w:val="0"/>
              <w:spacing w:line="240" w:lineRule="auto"/>
              <w:ind w:firstLine="0" w:firstLineChars="0"/>
              <w:rPr>
                <w:rFonts w:eastAsia="等线"/>
                <w:sz w:val="21"/>
                <w:szCs w:val="21"/>
              </w:rPr>
            </w:pPr>
            <w:r>
              <w:rPr>
                <w:rFonts w:ascii="宋体" w:hAnsi="宋体"/>
                <w:sz w:val="21"/>
                <w:szCs w:val="21"/>
              </w:rPr>
              <w:t>国控断面优</w:t>
            </w:r>
            <w:r>
              <w:rPr>
                <w:sz w:val="21"/>
                <w:szCs w:val="21"/>
              </w:rPr>
              <w:t>Ⅲ</w:t>
            </w:r>
            <w:r>
              <w:rPr>
                <w:rFonts w:ascii="宋体" w:hAnsi="宋体"/>
                <w:sz w:val="21"/>
                <w:szCs w:val="21"/>
              </w:rPr>
              <w:t>比例</w:t>
            </w:r>
            <w:r>
              <w:rPr>
                <w:sz w:val="21"/>
                <w:szCs w:val="21"/>
              </w:rPr>
              <w:t>100%</w:t>
            </w:r>
            <w:r>
              <w:rPr>
                <w:rFonts w:ascii="宋体" w:hAnsi="宋体"/>
                <w:sz w:val="21"/>
                <w:szCs w:val="21"/>
              </w:rPr>
              <w:t>，劣</w:t>
            </w:r>
            <w:r>
              <w:rPr>
                <w:sz w:val="21"/>
                <w:szCs w:val="21"/>
              </w:rPr>
              <w:t>V</w:t>
            </w:r>
            <w:r>
              <w:rPr>
                <w:rFonts w:ascii="宋体" w:hAnsi="宋体"/>
                <w:sz w:val="21"/>
                <w:szCs w:val="21"/>
              </w:rPr>
              <w:t>类和黑臭水体全面消除，</w:t>
            </w:r>
            <w:r>
              <w:rPr>
                <w:rFonts w:ascii="宋体" w:hAnsi="宋体"/>
                <w:spacing w:val="-4"/>
                <w:sz w:val="21"/>
                <w:szCs w:val="21"/>
              </w:rPr>
              <w:t>完成上级规定的考核任务；保持稳定或持续改善</w:t>
            </w:r>
          </w:p>
        </w:tc>
        <w:tc>
          <w:tcPr>
            <w:tcW w:w="357" w:type="pct"/>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（三）</w:t>
            </w:r>
          </w:p>
          <w:p>
            <w:pPr>
              <w:adjustRightInd w:val="0"/>
              <w:snapToGrid w:val="0"/>
              <w:spacing w:line="240" w:lineRule="auto"/>
              <w:ind w:firstLine="0" w:firstLineChars="0"/>
              <w:jc w:val="center"/>
              <w:rPr>
                <w:rFonts w:eastAsia="等线"/>
                <w:sz w:val="21"/>
                <w:szCs w:val="21"/>
              </w:rPr>
            </w:pPr>
            <w:r>
              <w:rPr>
                <w:rFonts w:ascii="宋体" w:hAnsi="宋体"/>
                <w:sz w:val="21"/>
                <w:szCs w:val="21"/>
              </w:rPr>
              <w:t>生态系统保护</w:t>
            </w:r>
          </w:p>
        </w:tc>
        <w:tc>
          <w:tcPr>
            <w:tcW w:w="27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sz w:val="21"/>
                <w:szCs w:val="21"/>
              </w:rPr>
            </w:pPr>
            <w:r>
              <w:rPr>
                <w:rFonts w:ascii="宋体" w:hAnsi="宋体"/>
                <w:sz w:val="21"/>
                <w:szCs w:val="21"/>
              </w:rPr>
              <w:t>生态质量指数（湿润地区）</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ascii="宋体" w:hAnsi="宋体"/>
                <w:sz w:val="21"/>
                <w:szCs w:val="21"/>
              </w:rPr>
              <w:t>无此项要求</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eastAsia="微软雅黑"/>
                <w:sz w:val="21"/>
                <w:szCs w:val="21"/>
              </w:rPr>
              <w:t>∆</w:t>
            </w:r>
            <w:r>
              <w:rPr>
                <w:sz w:val="21"/>
                <w:szCs w:val="21"/>
              </w:rPr>
              <w:t>EQI≥-1</w:t>
            </w:r>
          </w:p>
        </w:tc>
        <w:tc>
          <w:tcPr>
            <w:tcW w:w="544"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sz w:val="21"/>
                <w:szCs w:val="21"/>
              </w:rPr>
              <w:t>EQI=</w:t>
            </w:r>
            <w:r>
              <w:rPr>
                <w:rFonts w:hint="eastAsia"/>
                <w:sz w:val="21"/>
                <w:szCs w:val="21"/>
              </w:rPr>
              <w:t>48.81</w:t>
            </w:r>
          </w:p>
          <w:p>
            <w:pPr>
              <w:widowControl/>
              <w:adjustRightInd w:val="0"/>
              <w:snapToGrid w:val="0"/>
              <w:spacing w:line="240" w:lineRule="auto"/>
              <w:ind w:firstLine="0" w:firstLineChars="0"/>
              <w:jc w:val="center"/>
              <w:rPr>
                <w:sz w:val="21"/>
                <w:szCs w:val="21"/>
              </w:rPr>
            </w:pPr>
            <w:r>
              <w:rPr>
                <w:sz w:val="21"/>
                <w:szCs w:val="21"/>
              </w:rPr>
              <w:t>∆EQI=</w:t>
            </w:r>
            <w:r>
              <w:rPr>
                <w:rFonts w:hint="eastAsia"/>
                <w:sz w:val="21"/>
                <w:szCs w:val="21"/>
              </w:rPr>
              <w:t>-0.27</w:t>
            </w:r>
          </w:p>
        </w:tc>
        <w:tc>
          <w:tcPr>
            <w:tcW w:w="492"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eastAsia="微软雅黑"/>
                <w:sz w:val="21"/>
                <w:szCs w:val="21"/>
              </w:rPr>
              <w:t>∆</w:t>
            </w:r>
            <w:r>
              <w:rPr>
                <w:sz w:val="21"/>
                <w:szCs w:val="21"/>
              </w:rPr>
              <w:t>EQI≥-1</w:t>
            </w:r>
          </w:p>
        </w:tc>
        <w:tc>
          <w:tcPr>
            <w:tcW w:w="511"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eastAsia="微软雅黑"/>
                <w:sz w:val="21"/>
                <w:szCs w:val="21"/>
              </w:rPr>
              <w:t>∆</w:t>
            </w:r>
            <w:r>
              <w:rPr>
                <w:sz w:val="21"/>
                <w:szCs w:val="21"/>
              </w:rPr>
              <w:t>EQI≥-1</w:t>
            </w:r>
          </w:p>
        </w:tc>
        <w:tc>
          <w:tcPr>
            <w:tcW w:w="357" w:type="pct"/>
            <w:vMerge w:val="restart"/>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highlight w:val="yellow"/>
              </w:rPr>
            </w:pPr>
            <w:r>
              <w:rPr>
                <w:rFonts w:ascii="宋体" w:hAnsi="宋体"/>
                <w:sz w:val="21"/>
                <w:szCs w:val="21"/>
              </w:rPr>
              <w:t>约束性</w:t>
            </w:r>
          </w:p>
        </w:tc>
        <w:tc>
          <w:tcPr>
            <w:tcW w:w="293" w:type="pct"/>
            <w:vMerge w:val="restart"/>
            <w:tcBorders>
              <w:top w:val="nil"/>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sz w:val="21"/>
                <w:szCs w:val="21"/>
              </w:rPr>
            </w:pPr>
            <w:r>
              <w:rPr>
                <w:rFonts w:ascii="宋体" w:hAnsi="宋体"/>
                <w:sz w:val="21"/>
                <w:szCs w:val="21"/>
              </w:rPr>
              <w:t>生态环境</w:t>
            </w:r>
            <w:r>
              <w:rPr>
                <w:rFonts w:hint="eastAsia" w:ascii="宋体" w:hAnsi="宋体"/>
                <w:sz w:val="21"/>
                <w:szCs w:val="21"/>
              </w:rPr>
              <w:t>状况</w:t>
            </w:r>
            <w:r>
              <w:rPr>
                <w:rFonts w:ascii="宋体" w:hAnsi="宋体"/>
                <w:sz w:val="21"/>
                <w:szCs w:val="21"/>
              </w:rPr>
              <w:t>指数</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≥57</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ascii="宋体" w:hAnsi="宋体"/>
                <w:sz w:val="21"/>
                <w:szCs w:val="21"/>
              </w:rPr>
              <w:t>无此项要求</w:t>
            </w:r>
          </w:p>
        </w:tc>
        <w:tc>
          <w:tcPr>
            <w:tcW w:w="544"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sz w:val="21"/>
                <w:szCs w:val="21"/>
              </w:rPr>
              <w:t>58.98</w:t>
            </w:r>
          </w:p>
        </w:tc>
        <w:tc>
          <w:tcPr>
            <w:tcW w:w="492"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highlight w:val="yellow"/>
              </w:rPr>
            </w:pPr>
            <w:r>
              <w:rPr>
                <w:sz w:val="21"/>
                <w:szCs w:val="21"/>
              </w:rPr>
              <w:t>≥58.98</w:t>
            </w:r>
          </w:p>
        </w:tc>
        <w:tc>
          <w:tcPr>
            <w:tcW w:w="511"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highlight w:val="yellow"/>
              </w:rPr>
            </w:pPr>
            <w:r>
              <w:rPr>
                <w:sz w:val="21"/>
                <w:szCs w:val="21"/>
              </w:rPr>
              <w:t>≥</w:t>
            </w:r>
            <w:r>
              <w:rPr>
                <w:rFonts w:hint="eastAsia"/>
                <w:sz w:val="21"/>
                <w:szCs w:val="21"/>
              </w:rPr>
              <w:t>59</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sz w:val="21"/>
                <w:szCs w:val="21"/>
                <w:highlight w:val="yellow"/>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sz w:val="21"/>
                <w:szCs w:val="21"/>
              </w:rPr>
            </w:pPr>
            <w:r>
              <w:rPr>
                <w:rFonts w:ascii="宋体" w:hAnsi="宋体"/>
                <w:sz w:val="21"/>
                <w:szCs w:val="21"/>
              </w:rPr>
              <w:t>林草覆盖率（平原地区）</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≥16</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≥18</w:t>
            </w:r>
          </w:p>
        </w:tc>
        <w:tc>
          <w:tcPr>
            <w:tcW w:w="544"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hint="eastAsia" w:ascii="宋体" w:hAnsi="宋体"/>
                <w:sz w:val="21"/>
                <w:szCs w:val="21"/>
              </w:rPr>
              <w:t>暂不掌握</w:t>
            </w:r>
          </w:p>
        </w:tc>
        <w:tc>
          <w:tcPr>
            <w:tcW w:w="492"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sz w:val="21"/>
                <w:szCs w:val="21"/>
              </w:rPr>
              <w:t>≥16</w:t>
            </w:r>
          </w:p>
        </w:tc>
        <w:tc>
          <w:tcPr>
            <w:tcW w:w="511"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sz w:val="21"/>
                <w:szCs w:val="21"/>
              </w:rPr>
              <w:t>≥18</w:t>
            </w:r>
          </w:p>
        </w:tc>
        <w:tc>
          <w:tcPr>
            <w:tcW w:w="35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11</w:t>
            </w:r>
          </w:p>
        </w:tc>
        <w:tc>
          <w:tcPr>
            <w:tcW w:w="780"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生物多样性保护</w:t>
            </w:r>
          </w:p>
          <w:p>
            <w:pPr>
              <w:adjustRightInd w:val="0"/>
              <w:snapToGrid w:val="0"/>
              <w:spacing w:line="240" w:lineRule="auto"/>
              <w:ind w:firstLine="0" w:firstLineChars="0"/>
              <w:rPr>
                <w:rFonts w:eastAsia="等线"/>
                <w:sz w:val="21"/>
                <w:szCs w:val="21"/>
              </w:rPr>
            </w:pPr>
            <w:r>
              <w:rPr>
                <w:rFonts w:ascii="宋体" w:hAnsi="宋体"/>
                <w:sz w:val="21"/>
                <w:szCs w:val="21"/>
              </w:rPr>
              <w:t>国家重点保护野生动植物保护率</w:t>
            </w:r>
          </w:p>
          <w:p>
            <w:pPr>
              <w:adjustRightInd w:val="0"/>
              <w:snapToGrid w:val="0"/>
              <w:spacing w:line="240" w:lineRule="auto"/>
              <w:ind w:firstLine="0" w:firstLineChars="0"/>
              <w:rPr>
                <w:rFonts w:eastAsia="等线"/>
                <w:sz w:val="21"/>
                <w:szCs w:val="21"/>
              </w:rPr>
            </w:pPr>
            <w:r>
              <w:rPr>
                <w:rFonts w:ascii="宋体" w:hAnsi="宋体"/>
                <w:sz w:val="21"/>
                <w:szCs w:val="21"/>
              </w:rPr>
              <w:t>外来物种入侵</w:t>
            </w:r>
          </w:p>
          <w:p>
            <w:pPr>
              <w:adjustRightInd w:val="0"/>
              <w:snapToGrid w:val="0"/>
              <w:spacing w:line="240" w:lineRule="auto"/>
              <w:ind w:firstLine="0" w:firstLineChars="0"/>
              <w:rPr>
                <w:rFonts w:eastAsia="等线"/>
                <w:sz w:val="21"/>
                <w:szCs w:val="21"/>
              </w:rPr>
            </w:pPr>
            <w:r>
              <w:rPr>
                <w:rFonts w:ascii="宋体" w:hAnsi="宋体"/>
                <w:sz w:val="21"/>
                <w:szCs w:val="21"/>
              </w:rPr>
              <w:t>特有性或指示性水生物种保持率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≥95</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≥95</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有效遏制</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不明显</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有效遏制</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有效遏制</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有效遏制</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不降低</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不降低</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不存在特有性和指示性水生物种</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ascii="宋体" w:hAnsi="宋体"/>
                <w:sz w:val="21"/>
                <w:szCs w:val="21"/>
              </w:rPr>
              <w:t>不存在特有性和指示性水生物种</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ascii="宋体" w:hAnsi="宋体"/>
                <w:sz w:val="21"/>
                <w:szCs w:val="21"/>
              </w:rPr>
              <w:t>不存在特有性和指示性水生物种</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（四）</w:t>
            </w:r>
          </w:p>
          <w:p>
            <w:pPr>
              <w:adjustRightInd w:val="0"/>
              <w:snapToGrid w:val="0"/>
              <w:spacing w:line="240" w:lineRule="auto"/>
              <w:ind w:firstLine="0" w:firstLineChars="0"/>
              <w:jc w:val="center"/>
              <w:rPr>
                <w:rFonts w:eastAsia="等线"/>
                <w:sz w:val="21"/>
                <w:szCs w:val="21"/>
              </w:rPr>
            </w:pPr>
            <w:r>
              <w:rPr>
                <w:rFonts w:ascii="宋体" w:hAnsi="宋体"/>
                <w:sz w:val="21"/>
                <w:szCs w:val="21"/>
              </w:rPr>
              <w:t>生态环境风险防范</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12</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危险废物利用处置率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sz w:val="21"/>
                <w:szCs w:val="21"/>
              </w:rPr>
              <w:t>100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13</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建设用地土壤污染风险管控和修复名录制度</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建立</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14</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6"/>
                <w:sz w:val="21"/>
                <w:szCs w:val="21"/>
              </w:rPr>
            </w:pPr>
            <w:r>
              <w:rPr>
                <w:rFonts w:ascii="宋体" w:hAnsi="宋体"/>
                <w:spacing w:val="-6"/>
                <w:sz w:val="21"/>
                <w:szCs w:val="21"/>
              </w:rPr>
              <w:t>突发生态环境事件应急管理机制</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建立</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建立</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空</w:t>
            </w:r>
          </w:p>
          <w:p>
            <w:pPr>
              <w:adjustRightInd w:val="0"/>
              <w:snapToGrid w:val="0"/>
              <w:spacing w:line="240" w:lineRule="auto"/>
              <w:ind w:firstLine="0" w:firstLineChars="0"/>
              <w:jc w:val="center"/>
              <w:rPr>
                <w:rFonts w:eastAsia="等线"/>
                <w:sz w:val="21"/>
                <w:szCs w:val="21"/>
              </w:rPr>
            </w:pPr>
            <w:r>
              <w:rPr>
                <w:rFonts w:ascii="宋体" w:hAnsi="宋体"/>
                <w:sz w:val="21"/>
                <w:szCs w:val="21"/>
              </w:rPr>
              <w:t>间</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（五）</w:t>
            </w:r>
          </w:p>
          <w:p>
            <w:pPr>
              <w:adjustRightInd w:val="0"/>
              <w:snapToGrid w:val="0"/>
              <w:spacing w:line="240" w:lineRule="auto"/>
              <w:ind w:firstLine="0" w:firstLineChars="0"/>
              <w:jc w:val="center"/>
              <w:rPr>
                <w:rFonts w:eastAsia="等线"/>
                <w:sz w:val="21"/>
                <w:szCs w:val="21"/>
              </w:rPr>
            </w:pPr>
            <w:r>
              <w:rPr>
                <w:rFonts w:ascii="宋体" w:hAnsi="宋体"/>
                <w:sz w:val="21"/>
                <w:szCs w:val="21"/>
              </w:rPr>
              <w:t>空间格局优化</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15</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自然生态空间</w:t>
            </w:r>
          </w:p>
          <w:p>
            <w:pPr>
              <w:adjustRightInd w:val="0"/>
              <w:snapToGrid w:val="0"/>
              <w:spacing w:line="240" w:lineRule="auto"/>
              <w:ind w:firstLine="0" w:firstLineChars="0"/>
              <w:rPr>
                <w:rFonts w:eastAsia="等线"/>
                <w:sz w:val="21"/>
                <w:szCs w:val="21"/>
              </w:rPr>
            </w:pPr>
            <w:r>
              <w:rPr>
                <w:rFonts w:ascii="宋体" w:hAnsi="宋体"/>
                <w:sz w:val="21"/>
                <w:szCs w:val="21"/>
              </w:rPr>
              <w:t>生态保护红线</w:t>
            </w:r>
          </w:p>
          <w:p>
            <w:pPr>
              <w:adjustRightInd w:val="0"/>
              <w:snapToGrid w:val="0"/>
              <w:spacing w:line="240" w:lineRule="auto"/>
              <w:ind w:firstLine="0" w:firstLineChars="0"/>
              <w:rPr>
                <w:rFonts w:eastAsia="等线"/>
                <w:sz w:val="21"/>
                <w:szCs w:val="21"/>
              </w:rPr>
            </w:pPr>
            <w:r>
              <w:rPr>
                <w:rFonts w:ascii="宋体" w:hAnsi="宋体"/>
                <w:sz w:val="21"/>
                <w:szCs w:val="21"/>
              </w:rPr>
              <w:t>自然保护地</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面积不减少，性质不改变，功能不降低</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面积不减少，性质不改变，功能不降低</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ascii="宋体" w:hAnsi="宋体"/>
                <w:kern w:val="0"/>
                <w:sz w:val="21"/>
                <w:szCs w:val="21"/>
              </w:rPr>
              <w:t>划定生态保护红线</w:t>
            </w:r>
            <w:r>
              <w:rPr>
                <w:kern w:val="0"/>
                <w:sz w:val="21"/>
                <w:szCs w:val="21"/>
              </w:rPr>
              <w:t>8.3586</w:t>
            </w:r>
            <w:r>
              <w:rPr>
                <w:rFonts w:hint="eastAsia" w:ascii="宋体" w:hAnsi="宋体"/>
                <w:kern w:val="0"/>
                <w:sz w:val="21"/>
                <w:szCs w:val="21"/>
              </w:rPr>
              <w:t>万亩；按照相关管控要求确保面积不减少，性质不改变，功能不降低</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面积不减少，性质不改变，功能不降低</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面积不减少，性质不改变，功能不降低</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16</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河湖岸线保护率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rFonts w:ascii="宋体" w:hAnsi="宋体"/>
                <w:sz w:val="21"/>
                <w:szCs w:val="21"/>
              </w:rPr>
              <w:t>完成上级管控目标</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pacing w:val="-4"/>
                <w:sz w:val="21"/>
                <w:szCs w:val="21"/>
              </w:rPr>
              <w:t>完成上级管控目标</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已编制滕州市河湖岸线保护规划，按要求开展保护，上级暂未下达管控目标</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完成上级管控目标</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完成上级管控目标</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spacing w:val="-4"/>
                <w:sz w:val="21"/>
                <w:szCs w:val="21"/>
              </w:rPr>
            </w:pPr>
            <w:r>
              <w:rPr>
                <w:rFonts w:hint="eastAsia" w:ascii="宋体" w:hAnsi="宋体"/>
                <w:spacing w:val="-4"/>
                <w:sz w:val="21"/>
                <w:szCs w:val="21"/>
              </w:rPr>
              <w:t>生</w:t>
            </w:r>
          </w:p>
          <w:p>
            <w:pPr>
              <w:adjustRightInd w:val="0"/>
              <w:snapToGrid w:val="0"/>
              <w:spacing w:line="240" w:lineRule="auto"/>
              <w:ind w:firstLine="0" w:firstLineChars="0"/>
              <w:jc w:val="center"/>
              <w:rPr>
                <w:spacing w:val="-4"/>
                <w:sz w:val="21"/>
                <w:szCs w:val="21"/>
              </w:rPr>
            </w:pPr>
            <w:r>
              <w:rPr>
                <w:rFonts w:hint="eastAsia" w:ascii="宋体" w:hAnsi="宋体"/>
                <w:spacing w:val="-4"/>
                <w:sz w:val="21"/>
                <w:szCs w:val="21"/>
              </w:rPr>
              <w:t>态</w:t>
            </w:r>
          </w:p>
          <w:p>
            <w:pPr>
              <w:adjustRightInd w:val="0"/>
              <w:snapToGrid w:val="0"/>
              <w:spacing w:line="240" w:lineRule="auto"/>
              <w:ind w:firstLine="0" w:firstLineChars="0"/>
              <w:jc w:val="center"/>
              <w:rPr>
                <w:spacing w:val="-4"/>
                <w:sz w:val="21"/>
                <w:szCs w:val="21"/>
              </w:rPr>
            </w:pPr>
            <w:r>
              <w:rPr>
                <w:rFonts w:hint="eastAsia" w:ascii="宋体" w:hAnsi="宋体"/>
                <w:spacing w:val="-4"/>
                <w:sz w:val="21"/>
                <w:szCs w:val="21"/>
              </w:rPr>
              <w:t>经</w:t>
            </w:r>
          </w:p>
          <w:p>
            <w:pPr>
              <w:adjustRightInd w:val="0"/>
              <w:snapToGrid w:val="0"/>
              <w:spacing w:line="240" w:lineRule="auto"/>
              <w:ind w:firstLine="0" w:firstLineChars="0"/>
              <w:jc w:val="center"/>
              <w:rPr>
                <w:rFonts w:eastAsia="等线"/>
                <w:sz w:val="21"/>
                <w:szCs w:val="21"/>
              </w:rPr>
            </w:pPr>
            <w:r>
              <w:rPr>
                <w:rFonts w:hint="eastAsia" w:ascii="宋体" w:hAnsi="宋体"/>
                <w:spacing w:val="-4"/>
                <w:sz w:val="21"/>
                <w:szCs w:val="21"/>
              </w:rPr>
              <w:t>济</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（六）</w:t>
            </w:r>
          </w:p>
          <w:p>
            <w:pPr>
              <w:adjustRightInd w:val="0"/>
              <w:snapToGrid w:val="0"/>
              <w:spacing w:line="240" w:lineRule="auto"/>
              <w:ind w:firstLine="0" w:firstLineChars="0"/>
              <w:jc w:val="center"/>
              <w:rPr>
                <w:rFonts w:eastAsia="等线"/>
                <w:sz w:val="21"/>
                <w:szCs w:val="21"/>
              </w:rPr>
            </w:pPr>
            <w:r>
              <w:rPr>
                <w:rFonts w:ascii="宋体" w:hAnsi="宋体"/>
                <w:sz w:val="21"/>
                <w:szCs w:val="21"/>
              </w:rPr>
              <w:t>资源节约与利用</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17</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hint="eastAsia" w:ascii="宋体" w:hAnsi="宋体"/>
                <w:kern w:val="0"/>
                <w:sz w:val="21"/>
                <w:szCs w:val="21"/>
              </w:rPr>
              <w:t>单位地区生产总值能耗</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kern w:val="0"/>
                <w:sz w:val="21"/>
                <w:szCs w:val="21"/>
              </w:rPr>
              <w:t>吨标煤</w:t>
            </w:r>
            <w:r>
              <w:rPr>
                <w:kern w:val="0"/>
                <w:sz w:val="21"/>
                <w:szCs w:val="21"/>
              </w:rPr>
              <w:t>/</w:t>
            </w:r>
            <w:r>
              <w:rPr>
                <w:rFonts w:hint="eastAsia" w:ascii="宋体" w:hAnsi="宋体"/>
                <w:kern w:val="0"/>
                <w:sz w:val="21"/>
                <w:szCs w:val="21"/>
              </w:rPr>
              <w:t>万元</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hint="eastAsia" w:ascii="宋体" w:hAnsi="宋体"/>
                <w:sz w:val="21"/>
                <w:szCs w:val="21"/>
              </w:rPr>
              <w:t>完成上级规定的目标任务；保持稳定或持续改善</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12"/>
                <w:sz w:val="21"/>
                <w:szCs w:val="21"/>
              </w:rPr>
            </w:pPr>
            <w:r>
              <w:rPr>
                <w:rFonts w:hint="eastAsia" w:ascii="宋体" w:hAnsi="宋体"/>
                <w:kern w:val="0"/>
                <w:sz w:val="21"/>
                <w:szCs w:val="21"/>
              </w:rPr>
              <w:t>完成上级规定的目标任务；保持稳定或持续改善</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sz w:val="21"/>
                <w:szCs w:val="21"/>
              </w:rPr>
              <w:t>万元</w:t>
            </w:r>
            <w:r>
              <w:rPr>
                <w:sz w:val="21"/>
                <w:szCs w:val="21"/>
              </w:rPr>
              <w:t>GDP</w:t>
            </w:r>
            <w:r>
              <w:rPr>
                <w:rFonts w:hint="eastAsia"/>
                <w:sz w:val="21"/>
                <w:szCs w:val="21"/>
              </w:rPr>
              <w:t>能耗下降5.1</w:t>
            </w:r>
            <w:r>
              <w:rPr>
                <w:sz w:val="21"/>
                <w:szCs w:val="21"/>
              </w:rPr>
              <w:t>%</w:t>
            </w:r>
            <w:r>
              <w:rPr>
                <w:rFonts w:hint="eastAsia"/>
                <w:sz w:val="21"/>
                <w:szCs w:val="21"/>
              </w:rPr>
              <w:t>，</w:t>
            </w:r>
            <w:r>
              <w:rPr>
                <w:rFonts w:hint="eastAsia"/>
                <w:sz w:val="21"/>
                <w:szCs w:val="21"/>
                <w:lang w:eastAsia="zh-CN"/>
              </w:rPr>
              <w:t>“十四五”</w:t>
            </w:r>
            <w:r>
              <w:rPr>
                <w:rFonts w:hint="eastAsia"/>
                <w:sz w:val="21"/>
                <w:szCs w:val="21"/>
              </w:rPr>
              <w:t>累计完成下降10.5%。超额完成枣庄市下达的7.5%的任务目标</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完成上级规定的比2020年下降14%目标任务，且持续改善</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kern w:val="0"/>
                <w:sz w:val="21"/>
                <w:szCs w:val="21"/>
              </w:rPr>
              <w:t>完成上级规定的目标任务，且持续改善</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18</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kern w:val="0"/>
                <w:sz w:val="21"/>
                <w:szCs w:val="21"/>
              </w:rPr>
              <w:t>单位地区生产总值用水量</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立方米</w:t>
            </w:r>
            <w:r>
              <w:rPr>
                <w:kern w:val="0"/>
                <w:sz w:val="21"/>
                <w:szCs w:val="21"/>
              </w:rPr>
              <w:t>/</w:t>
            </w:r>
            <w:r>
              <w:rPr>
                <w:rFonts w:ascii="宋体" w:hAnsi="宋体"/>
                <w:kern w:val="0"/>
                <w:sz w:val="21"/>
                <w:szCs w:val="21"/>
              </w:rPr>
              <w:t>万元</w:t>
            </w:r>
          </w:p>
        </w:tc>
        <w:tc>
          <w:tcPr>
            <w:tcW w:w="477" w:type="pct"/>
            <w:tcBorders>
              <w:top w:val="single" w:color="auto" w:sz="4" w:space="0"/>
              <w:left w:val="nil"/>
              <w:bottom w:val="single" w:color="auto" w:sz="4" w:space="0"/>
              <w:right w:val="single" w:color="auto" w:sz="4" w:space="0"/>
            </w:tcBorders>
            <w:vAlign w:val="center"/>
          </w:tcPr>
          <w:p>
            <w:pPr>
              <w:spacing w:line="240" w:lineRule="auto"/>
              <w:ind w:firstLine="0" w:firstLineChars="0"/>
              <w:jc w:val="center"/>
              <w:textAlignment w:val="baseline"/>
              <w:rPr>
                <w:kern w:val="0"/>
                <w:sz w:val="21"/>
                <w:szCs w:val="21"/>
              </w:rPr>
            </w:pPr>
            <w:r>
              <w:rPr>
                <w:rFonts w:ascii="宋体" w:hAnsi="宋体"/>
                <w:kern w:val="0"/>
                <w:sz w:val="21"/>
                <w:szCs w:val="21"/>
              </w:rPr>
              <w:t>完成上级规定的目标任务；保持稳定或持续改善</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完成上级规定的目标任务；保持稳定或持续改善</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kern w:val="0"/>
                <w:sz w:val="21"/>
                <w:szCs w:val="21"/>
              </w:rPr>
              <w:t>33.35</w:t>
            </w:r>
            <w:r>
              <w:rPr>
                <w:rFonts w:hint="eastAsia" w:ascii="宋体" w:hAnsi="宋体"/>
                <w:kern w:val="0"/>
                <w:sz w:val="21"/>
                <w:szCs w:val="21"/>
              </w:rPr>
              <w:t>；比</w:t>
            </w:r>
            <w:r>
              <w:rPr>
                <w:kern w:val="0"/>
                <w:sz w:val="21"/>
                <w:szCs w:val="21"/>
              </w:rPr>
              <w:t>2020</w:t>
            </w:r>
            <w:r>
              <w:rPr>
                <w:rFonts w:hint="eastAsia" w:ascii="宋体" w:hAnsi="宋体"/>
                <w:kern w:val="0"/>
                <w:sz w:val="21"/>
                <w:szCs w:val="21"/>
              </w:rPr>
              <w:t>年降低</w:t>
            </w:r>
            <w:r>
              <w:rPr>
                <w:rFonts w:hint="eastAsia" w:eastAsia="等线"/>
                <w:kern w:val="0"/>
                <w:sz w:val="21"/>
                <w:szCs w:val="21"/>
              </w:rPr>
              <w:t>2.1</w:t>
            </w:r>
            <w:r>
              <w:rPr>
                <w:rFonts w:eastAsia="等线"/>
                <w:kern w:val="0"/>
                <w:sz w:val="21"/>
                <w:szCs w:val="21"/>
              </w:rPr>
              <w:t>%</w:t>
            </w:r>
            <w:r>
              <w:rPr>
                <w:rFonts w:hint="eastAsia" w:ascii="等线" w:hAnsi="等线" w:eastAsia="等线"/>
                <w:kern w:val="0"/>
                <w:sz w:val="21"/>
                <w:szCs w:val="21"/>
              </w:rPr>
              <w:t>，</w:t>
            </w:r>
            <w:r>
              <w:rPr>
                <w:rFonts w:hint="eastAsia" w:ascii="宋体" w:hAnsi="宋体"/>
                <w:sz w:val="21"/>
                <w:szCs w:val="21"/>
              </w:rPr>
              <w:t>完成上级下达的任务目标</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kern w:val="0"/>
                <w:sz w:val="21"/>
                <w:szCs w:val="21"/>
              </w:rPr>
              <w:t>完成上级规定的比</w:t>
            </w:r>
            <w:r>
              <w:rPr>
                <w:rFonts w:hint="eastAsia"/>
                <w:kern w:val="0"/>
                <w:sz w:val="21"/>
                <w:szCs w:val="21"/>
              </w:rPr>
              <w:t>2020</w:t>
            </w:r>
            <w:r>
              <w:rPr>
                <w:rFonts w:hint="eastAsia" w:ascii="宋体" w:hAnsi="宋体"/>
                <w:kern w:val="0"/>
                <w:sz w:val="21"/>
                <w:szCs w:val="21"/>
              </w:rPr>
              <w:t>年下降</w:t>
            </w:r>
            <w:r>
              <w:rPr>
                <w:rFonts w:hint="eastAsia"/>
                <w:kern w:val="0"/>
                <w:sz w:val="21"/>
                <w:szCs w:val="21"/>
              </w:rPr>
              <w:t>18%</w:t>
            </w:r>
            <w:r>
              <w:rPr>
                <w:rFonts w:hint="eastAsia" w:ascii="宋体" w:hAnsi="宋体"/>
                <w:kern w:val="0"/>
                <w:sz w:val="21"/>
                <w:szCs w:val="21"/>
              </w:rPr>
              <w:t>目标，且持续改善</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kern w:val="0"/>
                <w:sz w:val="21"/>
                <w:szCs w:val="21"/>
              </w:rPr>
              <w:t>完成上级规定的目标任务，且持续改善</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19</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kern w:val="0"/>
                <w:sz w:val="21"/>
                <w:szCs w:val="21"/>
              </w:rPr>
              <w:t>单位国内生产总值建设用地使用面积下降率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kern w:val="0"/>
                <w:sz w:val="21"/>
                <w:szCs w:val="21"/>
              </w:rPr>
            </w:pPr>
            <w:r>
              <w:rPr>
                <w:rFonts w:ascii="宋体" w:hAnsi="宋体"/>
                <w:sz w:val="21"/>
                <w:szCs w:val="21"/>
              </w:rPr>
              <w:t>完成上级规定的目标任务</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≥4.5</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eastAsia="等线"/>
                <w:spacing w:val="-4"/>
                <w:sz w:val="21"/>
                <w:szCs w:val="21"/>
              </w:rPr>
              <w:t>11.77</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kern w:val="0"/>
                <w:sz w:val="21"/>
                <w:szCs w:val="21"/>
              </w:rPr>
              <w:t>≥6</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kern w:val="0"/>
                <w:sz w:val="21"/>
                <w:szCs w:val="21"/>
              </w:rPr>
              <w:t>≥8</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20</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kern w:val="0"/>
                <w:sz w:val="21"/>
                <w:szCs w:val="21"/>
              </w:rPr>
            </w:pPr>
            <w:r>
              <w:rPr>
                <w:rFonts w:ascii="宋体" w:hAnsi="宋体"/>
                <w:kern w:val="0"/>
                <w:sz w:val="21"/>
                <w:szCs w:val="21"/>
              </w:rPr>
              <w:t>应当实施强制性清洁生产企业通过审核的比例</w:t>
            </w:r>
          </w:p>
        </w:tc>
        <w:tc>
          <w:tcPr>
            <w:tcW w:w="280" w:type="pct"/>
            <w:tcBorders>
              <w:top w:val="single" w:color="auto" w:sz="4" w:space="0"/>
              <w:left w:val="nil"/>
              <w:bottom w:val="single" w:color="auto" w:sz="4" w:space="0"/>
              <w:right w:val="single" w:color="auto" w:sz="4" w:space="0"/>
            </w:tcBorders>
            <w:vAlign w:val="center"/>
          </w:tcPr>
          <w:p>
            <w:pPr>
              <w:widowControl/>
              <w:adjustRightInd w:val="0"/>
              <w:snapToGrid w:val="0"/>
              <w:spacing w:line="240" w:lineRule="auto"/>
              <w:ind w:firstLine="0" w:firstLineChars="0"/>
              <w:jc w:val="center"/>
              <w:rPr>
                <w:rFonts w:eastAsia="等线"/>
                <w:sz w:val="21"/>
                <w:szCs w:val="21"/>
              </w:rPr>
            </w:pPr>
            <w:r>
              <w:rPr>
                <w:spacing w:val="-10"/>
                <w:sz w:val="21"/>
                <w:szCs w:val="21"/>
              </w:rPr>
              <w:t>%</w:t>
            </w:r>
          </w:p>
        </w:tc>
        <w:tc>
          <w:tcPr>
            <w:tcW w:w="477" w:type="pct"/>
            <w:tcBorders>
              <w:top w:val="single" w:color="auto" w:sz="4" w:space="0"/>
              <w:left w:val="nil"/>
              <w:bottom w:val="single" w:color="auto" w:sz="4" w:space="0"/>
              <w:right w:val="single" w:color="auto" w:sz="4" w:space="0"/>
            </w:tcBorders>
            <w:vAlign w:val="center"/>
          </w:tcPr>
          <w:p>
            <w:pPr>
              <w:spacing w:line="240" w:lineRule="auto"/>
              <w:ind w:firstLine="0" w:firstLineChars="0"/>
              <w:jc w:val="center"/>
              <w:textAlignment w:val="baseline"/>
              <w:rPr>
                <w:kern w:val="0"/>
                <w:sz w:val="21"/>
                <w:szCs w:val="21"/>
              </w:rPr>
            </w:pPr>
            <w:r>
              <w:rPr>
                <w:rFonts w:ascii="宋体" w:hAnsi="宋体"/>
                <w:kern w:val="0"/>
                <w:sz w:val="21"/>
                <w:szCs w:val="21"/>
              </w:rPr>
              <w:t>完成年度审核计划</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ascii="宋体" w:hAnsi="宋体"/>
                <w:kern w:val="0"/>
                <w:sz w:val="21"/>
                <w:szCs w:val="21"/>
              </w:rPr>
              <w:t>无此项要求</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完成年度审核计划</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ascii="宋体" w:hAnsi="宋体"/>
                <w:sz w:val="21"/>
                <w:szCs w:val="21"/>
              </w:rPr>
              <w:t>完成年度审核计划</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ascii="宋体" w:hAnsi="宋体"/>
                <w:sz w:val="21"/>
                <w:szCs w:val="21"/>
              </w:rPr>
              <w:t>完成年度审核计划</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vMerge w:val="restart"/>
            <w:tcBorders>
              <w:top w:val="nil"/>
              <w:left w:val="nil"/>
              <w:bottom w:val="single" w:color="auto" w:sz="4" w:space="0"/>
              <w:right w:val="single" w:color="auto" w:sz="4" w:space="0"/>
            </w:tcBorders>
            <w:vAlign w:val="center"/>
          </w:tcPr>
          <w:p>
            <w:pPr>
              <w:widowControl/>
              <w:spacing w:line="240" w:lineRule="auto"/>
              <w:ind w:firstLine="0" w:firstLineChars="0"/>
              <w:jc w:val="center"/>
              <w:rPr>
                <w:rFonts w:eastAsia="等线"/>
                <w:sz w:val="21"/>
                <w:szCs w:val="21"/>
              </w:rPr>
            </w:pPr>
            <w:r>
              <w:rPr>
                <w:sz w:val="21"/>
                <w:szCs w:val="21"/>
              </w:rPr>
              <w:t>21</w:t>
            </w:r>
          </w:p>
        </w:tc>
        <w:tc>
          <w:tcPr>
            <w:tcW w:w="780"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rPr>
                <w:kern w:val="0"/>
                <w:sz w:val="21"/>
                <w:szCs w:val="21"/>
              </w:rPr>
            </w:pPr>
            <w:r>
              <w:rPr>
                <w:rFonts w:ascii="宋体" w:hAnsi="宋体"/>
                <w:kern w:val="0"/>
                <w:sz w:val="21"/>
                <w:szCs w:val="21"/>
              </w:rPr>
              <w:t>化肥农药减量化</w:t>
            </w:r>
          </w:p>
          <w:p>
            <w:pPr>
              <w:spacing w:line="240" w:lineRule="auto"/>
              <w:ind w:firstLine="0" w:firstLineChars="0"/>
              <w:rPr>
                <w:sz w:val="21"/>
                <w:szCs w:val="21"/>
              </w:rPr>
            </w:pPr>
          </w:p>
          <w:p>
            <w:pPr>
              <w:spacing w:line="240" w:lineRule="auto"/>
              <w:ind w:firstLine="0" w:firstLineChars="0"/>
              <w:rPr>
                <w:sz w:val="21"/>
                <w:szCs w:val="21"/>
              </w:rPr>
            </w:pPr>
            <w:bookmarkStart w:id="85" w:name="_Hlk149142915"/>
            <w:r>
              <w:rPr>
                <w:rFonts w:ascii="宋体" w:hAnsi="宋体"/>
                <w:sz w:val="21"/>
                <w:szCs w:val="21"/>
              </w:rPr>
              <w:t>主要农作物化肥亩均施用量</w:t>
            </w:r>
            <w:bookmarkEnd w:id="85"/>
          </w:p>
          <w:p>
            <w:pPr>
              <w:widowControl/>
              <w:spacing w:line="240" w:lineRule="auto"/>
              <w:ind w:firstLine="0" w:firstLineChars="0"/>
              <w:jc w:val="left"/>
              <w:rPr>
                <w:sz w:val="21"/>
                <w:szCs w:val="21"/>
              </w:rPr>
            </w:pPr>
            <w:bookmarkStart w:id="86" w:name="_Hlk149142956"/>
            <w:r>
              <w:rPr>
                <w:rFonts w:ascii="宋体" w:hAnsi="宋体"/>
                <w:sz w:val="21"/>
                <w:szCs w:val="21"/>
              </w:rPr>
              <w:t>主要农作物农药亩均使用量</w:t>
            </w:r>
            <w:bookmarkEnd w:id="86"/>
          </w:p>
        </w:tc>
        <w:tc>
          <w:tcPr>
            <w:tcW w:w="2703" w:type="pct"/>
            <w:gridSpan w:val="6"/>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p>
        </w:tc>
        <w:tc>
          <w:tcPr>
            <w:tcW w:w="357" w:type="pct"/>
            <w:vMerge w:val="restart"/>
            <w:tcBorders>
              <w:top w:val="nil"/>
              <w:left w:val="nil"/>
              <w:bottom w:val="single" w:color="auto" w:sz="4" w:space="0"/>
              <w:right w:val="single" w:color="auto" w:sz="4" w:space="0"/>
            </w:tcBorders>
            <w:vAlign w:val="center"/>
          </w:tcPr>
          <w:p>
            <w:pPr>
              <w:widowControl/>
              <w:spacing w:line="240" w:lineRule="auto"/>
              <w:ind w:firstLine="0" w:firstLineChars="0"/>
              <w:jc w:val="center"/>
              <w:rPr>
                <w:rFonts w:eastAsia="等线"/>
                <w:sz w:val="21"/>
                <w:szCs w:val="21"/>
              </w:rPr>
            </w:pPr>
            <w:r>
              <w:rPr>
                <w:rFonts w:ascii="宋体" w:hAnsi="宋体"/>
                <w:sz w:val="21"/>
                <w:szCs w:val="21"/>
              </w:rPr>
              <w:t>参考性</w:t>
            </w:r>
          </w:p>
        </w:tc>
        <w:tc>
          <w:tcPr>
            <w:tcW w:w="293"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ascii="宋体" w:hAnsi="宋体"/>
                <w:sz w:val="21"/>
                <w:szCs w:val="21"/>
              </w:rPr>
              <w:t>千克</w:t>
            </w:r>
            <w:r>
              <w:rPr>
                <w:sz w:val="21"/>
                <w:szCs w:val="21"/>
              </w:rPr>
              <w:t>/</w:t>
            </w:r>
            <w:r>
              <w:rPr>
                <w:rFonts w:ascii="宋体" w:hAnsi="宋体"/>
                <w:sz w:val="21"/>
                <w:szCs w:val="21"/>
              </w:rPr>
              <w:t>亩</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highlight w:val="yellow"/>
              </w:rPr>
            </w:pPr>
            <w:r>
              <w:rPr>
                <w:rFonts w:ascii="宋体" w:hAnsi="宋体"/>
                <w:kern w:val="0"/>
                <w:sz w:val="21"/>
                <w:szCs w:val="21"/>
              </w:rPr>
              <w:t>无此项要求</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pacing w:val="-4"/>
                <w:sz w:val="21"/>
                <w:szCs w:val="21"/>
              </w:rPr>
            </w:pPr>
            <w:r>
              <w:rPr>
                <w:rFonts w:ascii="宋体" w:hAnsi="宋体"/>
                <w:kern w:val="0"/>
                <w:sz w:val="21"/>
                <w:szCs w:val="21"/>
              </w:rPr>
              <w:t>减少</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kern w:val="0"/>
                <w:sz w:val="21"/>
                <w:szCs w:val="21"/>
              </w:rPr>
              <w:t>249</w:t>
            </w:r>
            <w:r>
              <w:rPr>
                <w:kern w:val="0"/>
                <w:sz w:val="21"/>
                <w:szCs w:val="21"/>
              </w:rPr>
              <w:t>.</w:t>
            </w:r>
            <w:r>
              <w:rPr>
                <w:rFonts w:hint="eastAsia"/>
                <w:kern w:val="0"/>
                <w:sz w:val="21"/>
                <w:szCs w:val="21"/>
              </w:rPr>
              <w:t>1</w:t>
            </w:r>
            <w:r>
              <w:rPr>
                <w:rFonts w:hint="eastAsia" w:ascii="宋体" w:hAnsi="宋体"/>
                <w:kern w:val="0"/>
                <w:sz w:val="21"/>
                <w:szCs w:val="21"/>
              </w:rPr>
              <w:t>，持续减少</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pacing w:val="-4"/>
                <w:sz w:val="21"/>
                <w:szCs w:val="21"/>
              </w:rPr>
            </w:pPr>
            <w:r>
              <w:rPr>
                <w:rFonts w:ascii="宋体" w:hAnsi="宋体"/>
                <w:kern w:val="0"/>
                <w:sz w:val="21"/>
                <w:szCs w:val="21"/>
              </w:rPr>
              <w:t>减少</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pacing w:val="-4"/>
                <w:sz w:val="21"/>
                <w:szCs w:val="21"/>
              </w:rPr>
            </w:pPr>
            <w:r>
              <w:rPr>
                <w:rFonts w:ascii="宋体" w:hAnsi="宋体"/>
                <w:kern w:val="0"/>
                <w:sz w:val="21"/>
                <w:szCs w:val="21"/>
              </w:rPr>
              <w:t>减少</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ascii="宋体" w:hAnsi="宋体"/>
                <w:kern w:val="0"/>
                <w:sz w:val="21"/>
                <w:szCs w:val="21"/>
              </w:rPr>
              <w:t>千克</w:t>
            </w:r>
            <w:r>
              <w:rPr>
                <w:kern w:val="0"/>
                <w:sz w:val="21"/>
                <w:szCs w:val="21"/>
              </w:rPr>
              <w:t>/</w:t>
            </w:r>
            <w:r>
              <w:rPr>
                <w:rFonts w:ascii="宋体" w:hAnsi="宋体"/>
                <w:kern w:val="0"/>
                <w:sz w:val="21"/>
                <w:szCs w:val="21"/>
              </w:rPr>
              <w:t>亩</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highlight w:val="yellow"/>
              </w:rPr>
            </w:pPr>
            <w:r>
              <w:rPr>
                <w:rFonts w:ascii="宋体" w:hAnsi="宋体"/>
                <w:kern w:val="0"/>
                <w:sz w:val="21"/>
                <w:szCs w:val="21"/>
              </w:rPr>
              <w:t>无此项要求</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ascii="宋体" w:hAnsi="宋体"/>
                <w:kern w:val="0"/>
                <w:sz w:val="21"/>
                <w:szCs w:val="21"/>
              </w:rPr>
              <w:t>减少</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hint="eastAsia"/>
                <w:kern w:val="0"/>
                <w:sz w:val="21"/>
                <w:szCs w:val="21"/>
              </w:rPr>
              <w:t>0.92</w:t>
            </w:r>
            <w:r>
              <w:rPr>
                <w:rFonts w:hint="eastAsia" w:ascii="宋体" w:hAnsi="宋体"/>
                <w:kern w:val="0"/>
                <w:sz w:val="21"/>
                <w:szCs w:val="21"/>
              </w:rPr>
              <w:t>，持续减少</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ascii="宋体" w:hAnsi="宋体"/>
                <w:kern w:val="0"/>
                <w:sz w:val="21"/>
                <w:szCs w:val="21"/>
              </w:rPr>
              <w:t>减少</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rFonts w:ascii="宋体" w:hAnsi="宋体"/>
                <w:kern w:val="0"/>
                <w:sz w:val="21"/>
                <w:szCs w:val="21"/>
              </w:rPr>
              <w:t>减少</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312" w:type="pct"/>
            <w:vMerge w:val="restart"/>
            <w:tcBorders>
              <w:top w:val="nil"/>
              <w:left w:val="nil"/>
              <w:bottom w:val="single" w:color="auto" w:sz="4" w:space="0"/>
              <w:right w:val="single" w:color="auto" w:sz="4" w:space="0"/>
            </w:tcBorders>
            <w:vAlign w:val="center"/>
          </w:tcPr>
          <w:p>
            <w:pPr>
              <w:widowControl/>
              <w:spacing w:line="240" w:lineRule="auto"/>
              <w:ind w:firstLine="0" w:firstLineChars="0"/>
              <w:jc w:val="center"/>
              <w:rPr>
                <w:rFonts w:eastAsia="等线"/>
                <w:sz w:val="21"/>
                <w:szCs w:val="21"/>
              </w:rPr>
            </w:pPr>
            <w:r>
              <w:rPr>
                <w:rFonts w:ascii="宋体" w:hAnsi="宋体"/>
                <w:sz w:val="21"/>
                <w:szCs w:val="21"/>
              </w:rPr>
              <w:t>（七）</w:t>
            </w:r>
          </w:p>
          <w:p>
            <w:pPr>
              <w:spacing w:line="240" w:lineRule="auto"/>
              <w:ind w:firstLine="0" w:firstLineChars="0"/>
              <w:jc w:val="center"/>
              <w:rPr>
                <w:rFonts w:eastAsia="等线"/>
                <w:sz w:val="21"/>
                <w:szCs w:val="21"/>
              </w:rPr>
            </w:pPr>
            <w:r>
              <w:rPr>
                <w:rFonts w:ascii="宋体" w:hAnsi="宋体"/>
                <w:sz w:val="21"/>
                <w:szCs w:val="21"/>
              </w:rPr>
              <w:t>产业循环发展</w:t>
            </w:r>
          </w:p>
        </w:tc>
        <w:tc>
          <w:tcPr>
            <w:tcW w:w="27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22</w:t>
            </w:r>
          </w:p>
        </w:tc>
        <w:tc>
          <w:tcPr>
            <w:tcW w:w="780"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rPr>
                <w:rFonts w:ascii="宋体" w:hAnsi="宋体"/>
                <w:kern w:val="0"/>
                <w:sz w:val="21"/>
                <w:szCs w:val="21"/>
              </w:rPr>
            </w:pPr>
            <w:r>
              <w:rPr>
                <w:rFonts w:ascii="宋体" w:hAnsi="宋体"/>
                <w:kern w:val="0"/>
                <w:sz w:val="21"/>
                <w:szCs w:val="21"/>
              </w:rPr>
              <w:t>农业废弃物综合利用率</w:t>
            </w:r>
          </w:p>
          <w:p>
            <w:pPr>
              <w:spacing w:line="240" w:lineRule="auto"/>
              <w:ind w:firstLine="0" w:firstLineChars="0"/>
              <w:rPr>
                <w:sz w:val="21"/>
                <w:szCs w:val="21"/>
              </w:rPr>
            </w:pPr>
            <w:r>
              <w:rPr>
                <w:rFonts w:ascii="宋体" w:hAnsi="宋体"/>
                <w:sz w:val="21"/>
                <w:szCs w:val="21"/>
              </w:rPr>
              <w:t>秸秆综合利用率</w:t>
            </w:r>
          </w:p>
          <w:p>
            <w:pPr>
              <w:spacing w:line="240" w:lineRule="auto"/>
              <w:ind w:firstLine="0" w:firstLineChars="0"/>
              <w:rPr>
                <w:rFonts w:eastAsia="等线"/>
                <w:sz w:val="21"/>
                <w:szCs w:val="21"/>
              </w:rPr>
            </w:pPr>
            <w:r>
              <w:rPr>
                <w:rFonts w:ascii="宋体" w:hAnsi="宋体"/>
                <w:sz w:val="21"/>
                <w:szCs w:val="21"/>
              </w:rPr>
              <w:t>畜禽粪污综合利用率</w:t>
            </w:r>
          </w:p>
          <w:p>
            <w:pPr>
              <w:spacing w:line="240" w:lineRule="auto"/>
              <w:ind w:firstLine="0" w:firstLineChars="0"/>
              <w:rPr>
                <w:rFonts w:eastAsia="等线"/>
                <w:sz w:val="21"/>
                <w:szCs w:val="21"/>
              </w:rPr>
            </w:pPr>
          </w:p>
          <w:p>
            <w:pPr>
              <w:spacing w:line="240" w:lineRule="auto"/>
              <w:ind w:firstLine="0" w:firstLineChars="0"/>
              <w:rPr>
                <w:rFonts w:eastAsia="等线"/>
                <w:sz w:val="21"/>
                <w:szCs w:val="21"/>
              </w:rPr>
            </w:pPr>
            <w:r>
              <w:rPr>
                <w:rFonts w:ascii="宋体" w:hAnsi="宋体"/>
                <w:sz w:val="21"/>
                <w:szCs w:val="21"/>
              </w:rPr>
              <w:t>农膜回收利用率</w:t>
            </w:r>
          </w:p>
        </w:tc>
        <w:tc>
          <w:tcPr>
            <w:tcW w:w="2703" w:type="pct"/>
            <w:gridSpan w:val="6"/>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highlight w:val="yellow"/>
              </w:rPr>
            </w:pPr>
          </w:p>
        </w:tc>
        <w:tc>
          <w:tcPr>
            <w:tcW w:w="357"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pacing w:val="-4"/>
                <w:sz w:val="21"/>
                <w:szCs w:val="21"/>
              </w:rPr>
            </w:pPr>
            <w:r>
              <w:rPr>
                <w:rFonts w:ascii="宋体" w:hAnsi="宋体"/>
                <w:sz w:val="21"/>
                <w:szCs w:val="21"/>
              </w:rPr>
              <w:t>参考性</w:t>
            </w:r>
          </w:p>
        </w:tc>
        <w:tc>
          <w:tcPr>
            <w:tcW w:w="293" w:type="pct"/>
            <w:vMerge w:val="restart"/>
            <w:tcBorders>
              <w:top w:val="nil"/>
              <w:left w:val="nil"/>
              <w:bottom w:val="single" w:color="auto" w:sz="4" w:space="0"/>
              <w:right w:val="single" w:color="auto" w:sz="4" w:space="0"/>
            </w:tcBorders>
            <w:vAlign w:val="center"/>
          </w:tcPr>
          <w:p>
            <w:pPr>
              <w:spacing w:line="240" w:lineRule="auto"/>
              <w:ind w:firstLine="0" w:firstLineChars="0"/>
              <w:jc w:val="center"/>
              <w:rPr>
                <w:rFonts w:eastAsia="等线"/>
                <w:sz w:val="21"/>
                <w:szCs w:val="21"/>
              </w:rPr>
            </w:pPr>
            <w:r>
              <w:rPr>
                <w:rFonts w:hint="eastAsia" w:ascii="宋体" w:hAnsi="宋体"/>
                <w:sz w:val="22"/>
                <w:szCs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≥92</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≥90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96.75</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kern w:val="0"/>
                <w:sz w:val="21"/>
                <w:szCs w:val="21"/>
              </w:rPr>
              <w:t>≥9</w:t>
            </w:r>
            <w:r>
              <w:rPr>
                <w:rFonts w:hint="eastAsia"/>
                <w:kern w:val="0"/>
                <w:sz w:val="21"/>
                <w:szCs w:val="21"/>
              </w:rPr>
              <w:t>5</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kern w:val="0"/>
                <w:sz w:val="21"/>
                <w:szCs w:val="21"/>
              </w:rPr>
              <w:t>≥9</w:t>
            </w:r>
            <w:r>
              <w:rPr>
                <w:rFonts w:hint="eastAsia"/>
                <w:kern w:val="0"/>
                <w:sz w:val="21"/>
                <w:szCs w:val="21"/>
              </w:rPr>
              <w:t>7</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pacing w:val="-4"/>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≥81</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≥75</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eastAsia="等线"/>
                <w:sz w:val="21"/>
                <w:szCs w:val="21"/>
              </w:rPr>
              <w:t>92.6</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≥90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≥90</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pacing w:val="-4"/>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ascii="宋体" w:hAnsi="宋体"/>
                <w:sz w:val="21"/>
                <w:szCs w:val="21"/>
              </w:rPr>
              <w:t>完成上级规定的目标任务</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rFonts w:hint="eastAsia" w:eastAsia="等线"/>
                <w:kern w:val="0"/>
                <w:sz w:val="21"/>
                <w:szCs w:val="21"/>
              </w:rPr>
              <w:t>92.58</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kern w:val="0"/>
                <w:sz w:val="21"/>
                <w:szCs w:val="21"/>
              </w:rPr>
              <w:t>≥9</w:t>
            </w:r>
            <w:r>
              <w:rPr>
                <w:rFonts w:hint="eastAsia"/>
                <w:kern w:val="0"/>
                <w:sz w:val="21"/>
                <w:szCs w:val="21"/>
              </w:rPr>
              <w:t>2</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kern w:val="0"/>
                <w:sz w:val="21"/>
                <w:szCs w:val="21"/>
              </w:rPr>
            </w:pPr>
            <w:r>
              <w:rPr>
                <w:kern w:val="0"/>
                <w:sz w:val="21"/>
                <w:szCs w:val="21"/>
              </w:rPr>
              <w:t>≥9</w:t>
            </w:r>
            <w:r>
              <w:rPr>
                <w:rFonts w:hint="eastAsia"/>
                <w:kern w:val="0"/>
                <w:sz w:val="21"/>
                <w:szCs w:val="21"/>
              </w:rPr>
              <w:t>3</w:t>
            </w: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pacing w:val="-4"/>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23</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6"/>
                <w:sz w:val="21"/>
                <w:szCs w:val="21"/>
              </w:rPr>
            </w:pPr>
            <w:r>
              <w:rPr>
                <w:rFonts w:ascii="宋体" w:hAnsi="宋体"/>
                <w:kern w:val="0"/>
                <w:sz w:val="21"/>
                <w:szCs w:val="21"/>
              </w:rPr>
              <w:t>一般工业固体废物综合利用率提高幅度（综合利用率</w:t>
            </w:r>
            <w:r>
              <w:rPr>
                <w:kern w:val="0"/>
                <w:sz w:val="21"/>
                <w:szCs w:val="21"/>
              </w:rPr>
              <w:t>&gt;60%</w:t>
            </w:r>
            <w:r>
              <w:rPr>
                <w:rFonts w:ascii="宋体" w:hAnsi="宋体"/>
                <w:kern w:val="0"/>
                <w:sz w:val="21"/>
                <w:szCs w:val="21"/>
              </w:rPr>
              <w:t>的地区）</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≥85</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kern w:val="0"/>
                <w:sz w:val="21"/>
                <w:szCs w:val="21"/>
              </w:rPr>
              <w:t>保持稳定或持续改善</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86</w:t>
            </w:r>
            <w:r>
              <w:rPr>
                <w:rFonts w:hint="eastAsia" w:ascii="宋体" w:hAnsi="宋体"/>
                <w:sz w:val="21"/>
                <w:szCs w:val="21"/>
              </w:rPr>
              <w:t>，保持持续改善</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≥85</w:t>
            </w:r>
            <w:r>
              <w:rPr>
                <w:rFonts w:ascii="宋体" w:hAnsi="宋体"/>
                <w:kern w:val="0"/>
                <w:sz w:val="21"/>
                <w:szCs w:val="21"/>
              </w:rPr>
              <w:t>，保持稳定或持续改善</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≥88</w:t>
            </w:r>
            <w:r>
              <w:rPr>
                <w:rFonts w:ascii="宋体" w:hAnsi="宋体"/>
                <w:kern w:val="0"/>
                <w:sz w:val="21"/>
                <w:szCs w:val="21"/>
              </w:rPr>
              <w:t>，保持稳定或持续改善</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highlight w:val="yellow"/>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活</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（八）</w:t>
            </w:r>
          </w:p>
          <w:p>
            <w:pPr>
              <w:adjustRightInd w:val="0"/>
              <w:snapToGrid w:val="0"/>
              <w:spacing w:line="240" w:lineRule="auto"/>
              <w:ind w:firstLine="0" w:firstLineChars="0"/>
              <w:jc w:val="center"/>
              <w:rPr>
                <w:rFonts w:eastAsia="等线"/>
                <w:sz w:val="21"/>
                <w:szCs w:val="21"/>
              </w:rPr>
            </w:pPr>
            <w:r>
              <w:rPr>
                <w:rFonts w:ascii="宋体" w:hAnsi="宋体"/>
                <w:sz w:val="21"/>
                <w:szCs w:val="21"/>
              </w:rPr>
              <w:t>人居环境改善</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w:t>
            </w:r>
            <w:r>
              <w:rPr>
                <w:rFonts w:hint="eastAsia" w:eastAsia="等线"/>
                <w:sz w:val="21"/>
                <w:szCs w:val="21"/>
              </w:rPr>
              <w:t>4</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4"/>
                <w:sz w:val="21"/>
                <w:szCs w:val="21"/>
              </w:rPr>
            </w:pPr>
            <w:r>
              <w:rPr>
                <w:rFonts w:ascii="宋体" w:hAnsi="宋体"/>
                <w:spacing w:val="-4"/>
                <w:sz w:val="21"/>
                <w:szCs w:val="21"/>
              </w:rPr>
              <w:t>集中式饮用水水源地水质优良比例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r>
              <w:rPr>
                <w:rFonts w:ascii="宋体" w:hAnsi="宋体"/>
                <w:sz w:val="21"/>
                <w:szCs w:val="21"/>
              </w:rPr>
              <w:t>（剔除地址因素、调水因素等影响）</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25</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4"/>
                <w:sz w:val="21"/>
                <w:szCs w:val="21"/>
              </w:rPr>
            </w:pPr>
            <w:r>
              <w:rPr>
                <w:rFonts w:ascii="宋体" w:hAnsi="宋体"/>
                <w:spacing w:val="-4"/>
                <w:sz w:val="21"/>
                <w:szCs w:val="21"/>
              </w:rPr>
              <w:t>村镇饮用水卫生合格率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8"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26</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sz w:val="21"/>
                <w:szCs w:val="21"/>
              </w:rPr>
            </w:pPr>
            <w:bookmarkStart w:id="87" w:name="_Hlk149143059"/>
            <w:r>
              <w:rPr>
                <w:rFonts w:hint="eastAsia" w:ascii="宋体" w:hAnsi="宋体"/>
                <w:sz w:val="21"/>
                <w:szCs w:val="21"/>
              </w:rPr>
              <w:t>城镇污水处理率（城市）</w:t>
            </w:r>
            <w:bookmarkEnd w:id="87"/>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w:t>
            </w:r>
            <w:r>
              <w:rPr>
                <w:sz w:val="21"/>
                <w:szCs w:val="21"/>
              </w:rPr>
              <w:t>85</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w:t>
            </w:r>
            <w:r>
              <w:rPr>
                <w:sz w:val="21"/>
                <w:szCs w:val="21"/>
              </w:rPr>
              <w:t>85</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eastAsia="等线"/>
                <w:sz w:val="21"/>
                <w:szCs w:val="21"/>
              </w:rPr>
              <w:t>98</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b/>
                <w:bCs/>
                <w:sz w:val="21"/>
                <w:szCs w:val="21"/>
              </w:rPr>
            </w:pPr>
            <w:r>
              <w:rPr>
                <w:sz w:val="21"/>
                <w:szCs w:val="21"/>
              </w:rPr>
              <w:t>≥</w:t>
            </w:r>
            <w:r>
              <w:rPr>
                <w:rFonts w:hint="eastAsia"/>
                <w:sz w:val="21"/>
                <w:szCs w:val="21"/>
              </w:rPr>
              <w:t>85</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b/>
                <w:bCs/>
                <w:sz w:val="21"/>
                <w:szCs w:val="21"/>
              </w:rPr>
            </w:pPr>
            <w:r>
              <w:rPr>
                <w:sz w:val="21"/>
                <w:szCs w:val="21"/>
              </w:rPr>
              <w:t>≥</w:t>
            </w:r>
            <w:r>
              <w:rPr>
                <w:rFonts w:hint="eastAsia"/>
                <w:sz w:val="21"/>
                <w:szCs w:val="21"/>
              </w:rPr>
              <w:t>90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27</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bookmarkStart w:id="88" w:name="_Hlk149143129"/>
            <w:r>
              <w:rPr>
                <w:rFonts w:ascii="宋体" w:hAnsi="宋体"/>
                <w:sz w:val="21"/>
                <w:szCs w:val="21"/>
              </w:rPr>
              <w:t>农村生活污水治理率</w:t>
            </w:r>
            <w:bookmarkEnd w:id="88"/>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完成上年度的目标任务</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≥50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eastAsia="等线"/>
                <w:sz w:val="21"/>
                <w:szCs w:val="21"/>
              </w:rPr>
              <w:t>60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r>
              <w:rPr>
                <w:rFonts w:hint="eastAsia"/>
                <w:sz w:val="21"/>
                <w:szCs w:val="21"/>
              </w:rPr>
              <w:t>65</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sz w:val="21"/>
                <w:szCs w:val="21"/>
              </w:rPr>
              <w:t>≥</w:t>
            </w:r>
            <w:r>
              <w:rPr>
                <w:rFonts w:hint="eastAsia"/>
                <w:sz w:val="21"/>
                <w:szCs w:val="21"/>
              </w:rPr>
              <w:t>70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28</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城镇生活垃圾无害化处理率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29</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农村生活垃圾无害化处理村占比</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无此项要求</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eastAsia="等线"/>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30</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hint="eastAsia" w:ascii="宋体" w:hAnsi="宋体"/>
                <w:sz w:val="21"/>
                <w:szCs w:val="21"/>
              </w:rPr>
              <w:t>农村无害化厕所普及率</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完成上级规定的目标任务</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完成上级规定的目标任务</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hint="eastAsia"/>
                <w:sz w:val="21"/>
                <w:szCs w:val="21"/>
              </w:rPr>
              <w:t>92.7</w:t>
            </w:r>
            <w:r>
              <w:rPr>
                <w:rFonts w:hint="eastAsia" w:ascii="宋体" w:hAnsi="宋体"/>
                <w:sz w:val="21"/>
                <w:szCs w:val="21"/>
              </w:rPr>
              <w:t>，完成上级规定的目标任务</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完成上级规定的目标任务</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完成上级规定的目标任务</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（九）</w:t>
            </w:r>
          </w:p>
          <w:p>
            <w:pPr>
              <w:adjustRightInd w:val="0"/>
              <w:snapToGrid w:val="0"/>
              <w:spacing w:line="240" w:lineRule="auto"/>
              <w:ind w:firstLine="0" w:firstLineChars="0"/>
              <w:jc w:val="center"/>
              <w:rPr>
                <w:rFonts w:eastAsia="等线"/>
                <w:sz w:val="21"/>
                <w:szCs w:val="21"/>
              </w:rPr>
            </w:pPr>
            <w:r>
              <w:rPr>
                <w:rFonts w:ascii="宋体" w:hAnsi="宋体"/>
                <w:sz w:val="21"/>
                <w:szCs w:val="21"/>
              </w:rPr>
              <w:t>生活方式</w:t>
            </w:r>
          </w:p>
          <w:p>
            <w:pPr>
              <w:adjustRightInd w:val="0"/>
              <w:snapToGrid w:val="0"/>
              <w:spacing w:line="240" w:lineRule="auto"/>
              <w:ind w:firstLine="0" w:firstLineChars="0"/>
              <w:jc w:val="center"/>
              <w:rPr>
                <w:rFonts w:eastAsia="等线"/>
                <w:sz w:val="21"/>
                <w:szCs w:val="21"/>
              </w:rPr>
            </w:pPr>
            <w:r>
              <w:rPr>
                <w:rFonts w:ascii="宋体" w:hAnsi="宋体"/>
                <w:sz w:val="21"/>
                <w:szCs w:val="21"/>
              </w:rPr>
              <w:t>绿色化</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31</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城镇新建绿色建筑比例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≥50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≥50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32</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生活废弃物综合利用</w:t>
            </w:r>
          </w:p>
          <w:p>
            <w:pPr>
              <w:adjustRightInd w:val="0"/>
              <w:snapToGrid w:val="0"/>
              <w:spacing w:line="240" w:lineRule="auto"/>
              <w:ind w:firstLine="0" w:firstLineChars="0"/>
              <w:rPr>
                <w:rFonts w:eastAsia="等线"/>
                <w:sz w:val="21"/>
                <w:szCs w:val="21"/>
              </w:rPr>
            </w:pPr>
            <w:r>
              <w:rPr>
                <w:rFonts w:ascii="宋体" w:hAnsi="宋体"/>
                <w:sz w:val="21"/>
                <w:szCs w:val="21"/>
              </w:rPr>
              <w:t>城镇生活垃圾分类减量化行动</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实施</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实施</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ascii="宋体" w:hAnsi="宋体"/>
                <w:sz w:val="21"/>
                <w:szCs w:val="21"/>
              </w:rPr>
              <w:t>实施</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实施</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实施</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33</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政府绿色采购比例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hint="eastAsia"/>
                <w:sz w:val="21"/>
                <w:szCs w:val="21"/>
              </w:rPr>
              <w:t>85.9</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≥8</w:t>
            </w:r>
            <w:r>
              <w:rPr>
                <w:rFonts w:hint="eastAsia"/>
                <w:sz w:val="21"/>
                <w:szCs w:val="21"/>
              </w:rPr>
              <w:t>6</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约束性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sz w:val="21"/>
                <w:szCs w:val="21"/>
              </w:rPr>
            </w:pPr>
            <w:r>
              <w:rPr>
                <w:rFonts w:hint="eastAsia"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282" w:type="pct"/>
            <w:vMerge w:val="restart"/>
            <w:tcBorders>
              <w:top w:val="nil"/>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生</w:t>
            </w:r>
          </w:p>
          <w:p>
            <w:pPr>
              <w:adjustRightInd w:val="0"/>
              <w:snapToGrid w:val="0"/>
              <w:spacing w:line="240" w:lineRule="auto"/>
              <w:ind w:firstLine="0" w:firstLineChars="0"/>
              <w:jc w:val="center"/>
              <w:rPr>
                <w:rFonts w:eastAsia="等线"/>
                <w:sz w:val="21"/>
                <w:szCs w:val="21"/>
              </w:rPr>
            </w:pPr>
            <w:r>
              <w:rPr>
                <w:rFonts w:ascii="宋体" w:hAnsi="宋体"/>
                <w:sz w:val="21"/>
                <w:szCs w:val="21"/>
              </w:rPr>
              <w:t>态</w:t>
            </w:r>
          </w:p>
          <w:p>
            <w:pPr>
              <w:adjustRightInd w:val="0"/>
              <w:snapToGrid w:val="0"/>
              <w:spacing w:line="240" w:lineRule="auto"/>
              <w:ind w:firstLine="0" w:firstLineChars="0"/>
              <w:jc w:val="center"/>
              <w:rPr>
                <w:rFonts w:eastAsia="等线"/>
                <w:sz w:val="21"/>
                <w:szCs w:val="21"/>
              </w:rPr>
            </w:pPr>
            <w:r>
              <w:rPr>
                <w:rFonts w:ascii="宋体" w:hAnsi="宋体"/>
                <w:sz w:val="21"/>
                <w:szCs w:val="21"/>
              </w:rPr>
              <w:t>文</w:t>
            </w:r>
          </w:p>
          <w:p>
            <w:pPr>
              <w:adjustRightInd w:val="0"/>
              <w:snapToGrid w:val="0"/>
              <w:spacing w:line="240" w:lineRule="auto"/>
              <w:ind w:firstLine="0" w:firstLineChars="0"/>
              <w:jc w:val="center"/>
              <w:rPr>
                <w:rFonts w:eastAsia="等线"/>
                <w:sz w:val="21"/>
                <w:szCs w:val="21"/>
              </w:rPr>
            </w:pPr>
            <w:r>
              <w:rPr>
                <w:rFonts w:ascii="宋体" w:hAnsi="宋体"/>
                <w:sz w:val="21"/>
                <w:szCs w:val="21"/>
              </w:rPr>
              <w:t>化</w:t>
            </w:r>
          </w:p>
        </w:tc>
        <w:tc>
          <w:tcPr>
            <w:tcW w:w="312" w:type="pct"/>
            <w:vMerge w:val="restart"/>
            <w:tcBorders>
              <w:top w:val="nil"/>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（十）</w:t>
            </w:r>
          </w:p>
          <w:p>
            <w:pPr>
              <w:adjustRightInd w:val="0"/>
              <w:snapToGrid w:val="0"/>
              <w:spacing w:line="240" w:lineRule="auto"/>
              <w:ind w:firstLine="0" w:firstLineChars="0"/>
              <w:jc w:val="center"/>
              <w:rPr>
                <w:rFonts w:eastAsia="等线"/>
                <w:sz w:val="21"/>
                <w:szCs w:val="21"/>
              </w:rPr>
            </w:pPr>
            <w:r>
              <w:rPr>
                <w:rFonts w:ascii="宋体" w:hAnsi="宋体"/>
                <w:sz w:val="21"/>
                <w:szCs w:val="21"/>
              </w:rPr>
              <w:t>观念意识普及</w:t>
            </w: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34</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z w:val="21"/>
                <w:szCs w:val="21"/>
              </w:rPr>
            </w:pPr>
            <w:r>
              <w:rPr>
                <w:rFonts w:ascii="宋体" w:hAnsi="宋体"/>
                <w:sz w:val="21"/>
                <w:szCs w:val="21"/>
              </w:rPr>
              <w:t>党政领导干部参加生态文明培训的人数比例</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100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100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100</w:t>
            </w:r>
          </w:p>
        </w:tc>
        <w:tc>
          <w:tcPr>
            <w:tcW w:w="49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100</w:t>
            </w:r>
          </w:p>
        </w:tc>
        <w:tc>
          <w:tcPr>
            <w:tcW w:w="511"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100</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35</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12"/>
                <w:sz w:val="21"/>
                <w:szCs w:val="21"/>
              </w:rPr>
            </w:pPr>
            <w:r>
              <w:rPr>
                <w:rFonts w:ascii="宋体" w:hAnsi="宋体"/>
                <w:spacing w:val="-12"/>
                <w:sz w:val="21"/>
                <w:szCs w:val="21"/>
              </w:rPr>
              <w:t>公众对生态文明建设的满意度</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99.3</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≥99</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≥99</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0" w:type="auto"/>
            <w:vMerge w:val="continue"/>
            <w:tcBorders>
              <w:top w:val="nil"/>
              <w:left w:val="nil"/>
              <w:bottom w:val="single" w:color="auto" w:sz="4" w:space="0"/>
              <w:right w:val="single" w:color="auto" w:sz="4" w:space="0"/>
            </w:tcBorders>
            <w:vAlign w:val="center"/>
          </w:tcPr>
          <w:p>
            <w:pPr>
              <w:widowControl/>
              <w:spacing w:line="240" w:lineRule="auto"/>
              <w:ind w:firstLine="0" w:firstLineChars="0"/>
              <w:jc w:val="left"/>
              <w:rPr>
                <w:rFonts w:eastAsia="等线"/>
                <w:sz w:val="21"/>
                <w:szCs w:val="21"/>
              </w:rPr>
            </w:pPr>
          </w:p>
        </w:tc>
        <w:tc>
          <w:tcPr>
            <w:tcW w:w="272"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36</w:t>
            </w:r>
          </w:p>
        </w:tc>
        <w:tc>
          <w:tcPr>
            <w:tcW w:w="7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rPr>
                <w:rFonts w:eastAsia="等线"/>
                <w:spacing w:val="-12"/>
                <w:sz w:val="21"/>
                <w:szCs w:val="21"/>
              </w:rPr>
            </w:pPr>
            <w:r>
              <w:rPr>
                <w:rFonts w:ascii="宋体" w:hAnsi="宋体"/>
                <w:spacing w:val="-12"/>
                <w:sz w:val="21"/>
                <w:szCs w:val="21"/>
              </w:rPr>
              <w:t>公众对生态文明建设的参与度</w:t>
            </w:r>
          </w:p>
        </w:tc>
        <w:tc>
          <w:tcPr>
            <w:tcW w:w="280"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w:t>
            </w:r>
          </w:p>
        </w:tc>
        <w:tc>
          <w:tcPr>
            <w:tcW w:w="47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kern w:val="0"/>
                <w:sz w:val="21"/>
                <w:szCs w:val="21"/>
              </w:rPr>
            </w:pPr>
            <w:r>
              <w:rPr>
                <w:kern w:val="0"/>
                <w:sz w:val="21"/>
                <w:szCs w:val="21"/>
              </w:rPr>
              <w:t>≥80</w:t>
            </w:r>
          </w:p>
        </w:tc>
        <w:tc>
          <w:tcPr>
            <w:tcW w:w="399"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kern w:val="0"/>
                <w:sz w:val="21"/>
                <w:szCs w:val="21"/>
              </w:rPr>
              <w:t>≥80</w:t>
            </w:r>
          </w:p>
        </w:tc>
        <w:tc>
          <w:tcPr>
            <w:tcW w:w="544"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sz w:val="21"/>
                <w:szCs w:val="21"/>
              </w:rPr>
              <w:t>96.36</w:t>
            </w:r>
          </w:p>
        </w:tc>
        <w:tc>
          <w:tcPr>
            <w:tcW w:w="492"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≥97</w:t>
            </w:r>
          </w:p>
        </w:tc>
        <w:tc>
          <w:tcPr>
            <w:tcW w:w="511" w:type="pct"/>
            <w:tcBorders>
              <w:top w:val="single" w:color="auto" w:sz="4" w:space="0"/>
              <w:left w:val="nil"/>
              <w:bottom w:val="single" w:color="auto" w:sz="4" w:space="0"/>
              <w:right w:val="single" w:color="auto" w:sz="4" w:space="0"/>
            </w:tcBorders>
            <w:vAlign w:val="center"/>
          </w:tcPr>
          <w:p>
            <w:pPr>
              <w:autoSpaceDE w:val="0"/>
              <w:autoSpaceDN w:val="0"/>
              <w:spacing w:line="240" w:lineRule="auto"/>
              <w:ind w:firstLine="0" w:firstLineChars="0"/>
              <w:jc w:val="center"/>
              <w:rPr>
                <w:rFonts w:eastAsia="等线"/>
                <w:sz w:val="21"/>
                <w:szCs w:val="21"/>
              </w:rPr>
            </w:pPr>
            <w:r>
              <w:rPr>
                <w:kern w:val="0"/>
                <w:sz w:val="21"/>
                <w:szCs w:val="21"/>
              </w:rPr>
              <w:t>≥98</w:t>
            </w:r>
          </w:p>
        </w:tc>
        <w:tc>
          <w:tcPr>
            <w:tcW w:w="357"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b/>
                <w:bCs/>
                <w:sz w:val="21"/>
                <w:szCs w:val="21"/>
              </w:rPr>
            </w:pPr>
            <w:r>
              <w:rPr>
                <w:rFonts w:ascii="宋体" w:hAnsi="宋体"/>
                <w:sz w:val="21"/>
                <w:szCs w:val="21"/>
              </w:rPr>
              <w:t>参考性</w:t>
            </w:r>
          </w:p>
        </w:tc>
        <w:tc>
          <w:tcPr>
            <w:tcW w:w="293" w:type="pct"/>
            <w:tcBorders>
              <w:top w:val="single" w:color="auto" w:sz="4" w:space="0"/>
              <w:left w:val="nil"/>
              <w:bottom w:val="single" w:color="auto" w:sz="4" w:space="0"/>
              <w:right w:val="single" w:color="auto" w:sz="4" w:space="0"/>
            </w:tcBorders>
            <w:vAlign w:val="center"/>
          </w:tcPr>
          <w:p>
            <w:pPr>
              <w:adjustRightInd w:val="0"/>
              <w:snapToGrid w:val="0"/>
              <w:spacing w:line="240" w:lineRule="auto"/>
              <w:ind w:firstLine="0" w:firstLineChars="0"/>
              <w:jc w:val="center"/>
              <w:rPr>
                <w:rFonts w:eastAsia="等线"/>
                <w:sz w:val="21"/>
                <w:szCs w:val="21"/>
              </w:rPr>
            </w:pPr>
            <w:r>
              <w:rPr>
                <w:rFonts w:ascii="宋体" w:hAnsi="宋体"/>
                <w:sz w:val="21"/>
                <w:szCs w:val="21"/>
              </w:rPr>
              <w:t>是</w:t>
            </w:r>
          </w:p>
        </w:tc>
      </w:tr>
    </w:tbl>
    <w:p>
      <w:pPr>
        <w:ind w:firstLine="0" w:firstLineChars="0"/>
        <w:rPr>
          <w:sz w:val="21"/>
          <w:szCs w:val="21"/>
        </w:rPr>
      </w:pPr>
      <w:r>
        <w:rPr>
          <w:rFonts w:hint="eastAsia" w:ascii="宋体" w:hAnsi="宋体"/>
        </w:rPr>
        <w:t>注：因镇级污水处理相关数据有待进一步核实，上表中城镇污水处理率暂以城市污水处理率为准。</w:t>
      </w:r>
    </w:p>
    <w:p>
      <w:pPr>
        <w:pStyle w:val="2"/>
        <w:ind w:left="0" w:leftChars="0" w:firstLine="0" w:firstLineChars="0"/>
      </w:pPr>
    </w:p>
    <w:p>
      <w:pPr>
        <w:pStyle w:val="2"/>
        <w:ind w:left="480" w:firstLine="480"/>
      </w:pPr>
    </w:p>
    <w:p>
      <w:pPr>
        <w:pStyle w:val="2"/>
        <w:ind w:left="480" w:firstLine="480"/>
        <w:sectPr>
          <w:pgSz w:w="16838" w:h="11906" w:orient="landscape"/>
          <w:pgMar w:top="1797" w:right="1440" w:bottom="1797" w:left="1440" w:header="851" w:footer="992" w:gutter="0"/>
          <w:cols w:space="720" w:num="1"/>
          <w:docGrid w:type="linesAndChars" w:linePitch="312" w:charSpace="0"/>
        </w:sectPr>
      </w:pPr>
    </w:p>
    <w:bookmarkEnd w:id="83"/>
    <w:p>
      <w:pPr>
        <w:keepNext/>
        <w:keepLines/>
        <w:spacing w:before="326" w:beforeLines="100" w:after="326" w:afterLines="100"/>
        <w:ind w:firstLine="0" w:firstLineChars="0"/>
        <w:jc w:val="center"/>
        <w:outlineLvl w:val="0"/>
        <w:rPr>
          <w:rFonts w:eastAsia="黑体"/>
          <w:b/>
          <w:kern w:val="0"/>
          <w:sz w:val="36"/>
          <w:szCs w:val="36"/>
        </w:rPr>
      </w:pPr>
      <w:bookmarkStart w:id="89" w:name="_Toc17224"/>
      <w:bookmarkStart w:id="90" w:name="_Toc5957"/>
      <w:bookmarkStart w:id="91" w:name="_Toc7765"/>
      <w:r>
        <w:rPr>
          <w:rFonts w:eastAsia="黑体"/>
          <w:b/>
          <w:kern w:val="0"/>
          <w:sz w:val="36"/>
          <w:szCs w:val="36"/>
        </w:rPr>
        <w:t>第三章 建设绿色创新的生态制度体系</w:t>
      </w:r>
      <w:bookmarkEnd w:id="89"/>
      <w:bookmarkEnd w:id="90"/>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92" w:name="_Toc29140"/>
      <w:bookmarkStart w:id="93" w:name="_Toc139894277"/>
      <w:bookmarkStart w:id="94" w:name="_Toc4448"/>
      <w:bookmarkStart w:id="95" w:name="_Toc139894361"/>
      <w:bookmarkStart w:id="96" w:name="_Toc139894233"/>
      <w:r>
        <w:rPr>
          <w:rFonts w:eastAsia="黑体"/>
          <w:bCs/>
          <w:snapToGrid w:val="0"/>
          <w:kern w:val="0"/>
          <w:sz w:val="32"/>
          <w:szCs w:val="32"/>
        </w:rPr>
        <w:t>一、</w:t>
      </w:r>
      <w:bookmarkEnd w:id="92"/>
      <w:r>
        <w:rPr>
          <w:rFonts w:hint="eastAsia" w:eastAsia="黑体"/>
          <w:bCs/>
          <w:snapToGrid w:val="0"/>
          <w:kern w:val="0"/>
          <w:sz w:val="32"/>
          <w:szCs w:val="32"/>
        </w:rPr>
        <w:t>完善生态环境保护制度</w:t>
      </w:r>
      <w:bookmarkEnd w:id="93"/>
      <w:bookmarkEnd w:id="94"/>
      <w:bookmarkEnd w:id="95"/>
      <w:bookmarkEnd w:id="96"/>
    </w:p>
    <w:p>
      <w:pPr>
        <w:widowControl/>
        <w:ind w:firstLine="562"/>
        <w:jc w:val="left"/>
        <w:outlineLvl w:val="2"/>
        <w:rPr>
          <w:b/>
          <w:bCs/>
          <w:kern w:val="0"/>
          <w:sz w:val="28"/>
          <w:lang w:eastAsia="zh-Hans"/>
        </w:rPr>
      </w:pPr>
      <w:r>
        <w:rPr>
          <w:rFonts w:hint="eastAsia"/>
          <w:b/>
          <w:bCs/>
          <w:kern w:val="0"/>
          <w:sz w:val="28"/>
          <w:lang w:eastAsia="zh-Hans"/>
        </w:rPr>
        <w:t>（一）</w:t>
      </w:r>
      <w:r>
        <w:rPr>
          <w:b/>
          <w:bCs/>
          <w:kern w:val="0"/>
          <w:sz w:val="28"/>
          <w:lang w:eastAsia="zh-Hans"/>
        </w:rPr>
        <w:t>严格执行规划环境影响评价制度</w:t>
      </w:r>
    </w:p>
    <w:p>
      <w:pPr>
        <w:ind w:firstLine="480"/>
        <w:rPr>
          <w:shd w:val="clear" w:color="auto" w:fill="FFFFFF"/>
        </w:rPr>
      </w:pPr>
      <w:r>
        <w:rPr>
          <w:shd w:val="clear" w:color="auto" w:fill="FFFFFF"/>
        </w:rPr>
        <w:t>严格落实国家及山东省有关规划环境影响评价、规划环评区域评估的法律规定和要求，充分发挥规划环评制度在优化空间开发布局、推进区域环境质量改善以及推动产业转型升级的作用，尤其是加大对南四湖的保护力度，将生态环境影响纳入产业布局、经济结构调整等重大决策。严格园区规划环境影响评价，及时开展规划环评、修编规划环评或跟踪评价。进一步强化全市规划环评质量管理，督促各级产业园区定期开展自查工作，及时上报自查情况，针对园区的基础配套设施、审查意见落实情况定期开展现场核查。积极开展园区基础设施建设调度工作，定期调度基础设施建设工作，对于进度过于缓慢的园区，实施现场督办、项目限批等，确保规划环评执行率达到100%。</w:t>
      </w:r>
    </w:p>
    <w:p>
      <w:pPr>
        <w:widowControl/>
        <w:ind w:firstLine="562"/>
        <w:jc w:val="left"/>
        <w:outlineLvl w:val="2"/>
        <w:rPr>
          <w:b/>
          <w:bCs/>
          <w:kern w:val="0"/>
          <w:sz w:val="28"/>
          <w:lang w:eastAsia="zh-Hans"/>
        </w:rPr>
      </w:pPr>
      <w:r>
        <w:rPr>
          <w:rFonts w:hint="eastAsia"/>
          <w:b/>
          <w:bCs/>
          <w:kern w:val="0"/>
          <w:sz w:val="28"/>
          <w:lang w:eastAsia="zh-Hans"/>
        </w:rPr>
        <w:t>（</w:t>
      </w:r>
      <w:r>
        <w:rPr>
          <w:rFonts w:hint="eastAsia"/>
          <w:b/>
          <w:bCs/>
          <w:kern w:val="0"/>
          <w:sz w:val="28"/>
        </w:rPr>
        <w:t>二</w:t>
      </w:r>
      <w:r>
        <w:rPr>
          <w:rFonts w:hint="eastAsia"/>
          <w:b/>
          <w:bCs/>
          <w:kern w:val="0"/>
          <w:sz w:val="28"/>
          <w:lang w:eastAsia="zh-Hans"/>
        </w:rPr>
        <w:t>）</w:t>
      </w:r>
      <w:r>
        <w:rPr>
          <w:b/>
          <w:bCs/>
          <w:kern w:val="0"/>
          <w:sz w:val="28"/>
          <w:lang w:eastAsia="zh-Hans"/>
        </w:rPr>
        <w:t>全面落实污染物排放许可证制度</w:t>
      </w:r>
    </w:p>
    <w:p>
      <w:pPr>
        <w:ind w:firstLine="480"/>
        <w:rPr>
          <w:shd w:val="clear" w:color="auto" w:fill="FFFFFF"/>
        </w:rPr>
      </w:pPr>
      <w:r>
        <w:rPr>
          <w:shd w:val="clear" w:color="auto" w:fill="FFFFFF"/>
        </w:rPr>
        <w:t>加快推进排污许可行业全覆盖，贯彻落实省固定污染源排污许可</w:t>
      </w:r>
      <w:r>
        <w:rPr>
          <w:rFonts w:asciiTheme="minorEastAsia" w:hAnsiTheme="minorEastAsia" w:eastAsiaTheme="minorEastAsia"/>
          <w:shd w:val="clear" w:color="auto" w:fill="FFFFFF"/>
        </w:rPr>
        <w:t>“</w:t>
      </w:r>
      <w:r>
        <w:rPr>
          <w:shd w:val="clear" w:color="auto" w:fill="FFFFFF"/>
        </w:rPr>
        <w:t>一证式</w:t>
      </w:r>
      <w:r>
        <w:rPr>
          <w:rFonts w:asciiTheme="minorEastAsia" w:hAnsiTheme="minorEastAsia" w:eastAsiaTheme="minorEastAsia"/>
          <w:shd w:val="clear" w:color="auto" w:fill="FFFFFF"/>
        </w:rPr>
        <w:t>”</w:t>
      </w:r>
      <w:r>
        <w:rPr>
          <w:shd w:val="clear" w:color="auto" w:fill="FFFFFF"/>
        </w:rPr>
        <w:t>管理相关规定，推动排污许可与环境执法、环境监测、总量控制、排污权交易等环境管理制度有机衔接。健全以排污许可制为核心的固定污染源监管制度体系，严格落实持证排污各项要求，完善企业台账管理、自行监测、执行报告制度，固定排污许可证覆盖率保持100%。规范核发、年审、监管等管理流程和要求，有效整合现有污染源管理制度，实现排污单位在建、生产运营、停产关闭等不同生命周期阶段的全过程管理。推动排污许可与环境执法、环境监测、总量控制、排污权交易等环境管理制度有机衔接，强化排污许可大数据在污染防治攻坚战中的应用。</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全面落实</w:t>
      </w:r>
      <w:r>
        <w:rPr>
          <w:rFonts w:asciiTheme="minorEastAsia" w:hAnsiTheme="minorEastAsia" w:eastAsiaTheme="minorEastAsia"/>
          <w:b/>
          <w:bCs/>
          <w:kern w:val="0"/>
          <w:sz w:val="28"/>
          <w:lang w:eastAsia="zh-Hans"/>
        </w:rPr>
        <w:t>“</w:t>
      </w:r>
      <w:r>
        <w:rPr>
          <w:rFonts w:ascii="宋体" w:hAnsi="宋体"/>
          <w:b/>
          <w:bCs/>
          <w:kern w:val="0"/>
          <w:sz w:val="28"/>
          <w:lang w:eastAsia="zh-Hans"/>
        </w:rPr>
        <w:t>河（湖）长制</w:t>
      </w:r>
      <w:r>
        <w:rPr>
          <w:rFonts w:asciiTheme="minorEastAsia" w:hAnsiTheme="minorEastAsia" w:eastAsiaTheme="minorEastAsia"/>
          <w:b/>
          <w:bCs/>
          <w:kern w:val="0"/>
          <w:sz w:val="28"/>
          <w:lang w:eastAsia="zh-Hans"/>
        </w:rPr>
        <w:t>”</w:t>
      </w:r>
    </w:p>
    <w:p>
      <w:pPr>
        <w:ind w:firstLine="480"/>
        <w:rPr>
          <w:shd w:val="clear" w:color="auto" w:fill="FFFFFF"/>
        </w:rPr>
      </w:pPr>
      <w:r>
        <w:rPr>
          <w:shd w:val="clear" w:color="auto" w:fill="FFFFFF"/>
        </w:rPr>
        <w:t>全面落实市、乡镇（街道）、村（社区）三级河长体系。强化水资源保护、水域岸线管理、水污染防治、水环境治理等工作属地责任，实施一河（湖）一策，健全河湖执法体系，完善河湖管护标准体系，健全监督考核制度，全面实施河岸生态保护、饮用水水源地保护、地下水警戒保护制度。加强跨界河湖的联防联控，推行联合河长制，按照管辖范围相应设置河长，共同推进河湖治理管护工作。河长制工作领导小组成员单位应当建立健全联动协作、联合执法机制，落实河湖治理管护执法监管责任，加大执法监管力度。建立河湖网格化管理平台，以手机、平板等智能终端为载体，利用新技术手段实现河湖巡查、监控、网格化日常管理全覆盖。</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97" w:name="_Toc139894234"/>
      <w:bookmarkStart w:id="98" w:name="_Toc111798178"/>
      <w:bookmarkStart w:id="99" w:name="_Toc139894278"/>
      <w:bookmarkStart w:id="100" w:name="_Toc26579"/>
      <w:bookmarkStart w:id="101" w:name="_Toc139894362"/>
      <w:r>
        <w:rPr>
          <w:rFonts w:hint="eastAsia" w:eastAsia="黑体"/>
          <w:bCs/>
          <w:snapToGrid w:val="0"/>
          <w:kern w:val="0"/>
          <w:sz w:val="32"/>
          <w:szCs w:val="32"/>
        </w:rPr>
        <w:t>二、</w:t>
      </w:r>
      <w:r>
        <w:rPr>
          <w:rFonts w:eastAsia="黑体"/>
          <w:bCs/>
          <w:snapToGrid w:val="0"/>
          <w:kern w:val="0"/>
          <w:sz w:val="32"/>
          <w:szCs w:val="32"/>
        </w:rPr>
        <w:t>构建资源高效利用制度</w:t>
      </w:r>
      <w:bookmarkEnd w:id="97"/>
      <w:bookmarkEnd w:id="98"/>
      <w:bookmarkEnd w:id="99"/>
      <w:bookmarkEnd w:id="100"/>
      <w:bookmarkEnd w:id="101"/>
    </w:p>
    <w:p>
      <w:pPr>
        <w:widowControl/>
        <w:ind w:firstLine="562"/>
        <w:jc w:val="left"/>
        <w:outlineLvl w:val="2"/>
        <w:rPr>
          <w:b/>
          <w:bCs/>
          <w:kern w:val="0"/>
          <w:sz w:val="28"/>
          <w:lang w:eastAsia="zh-Hans"/>
        </w:rPr>
      </w:pPr>
      <w:r>
        <w:rPr>
          <w:rFonts w:hint="eastAsia"/>
          <w:b/>
          <w:bCs/>
          <w:kern w:val="0"/>
          <w:sz w:val="28"/>
          <w:lang w:eastAsia="zh-Hans"/>
        </w:rPr>
        <w:t>（一）</w:t>
      </w:r>
      <w:r>
        <w:rPr>
          <w:b/>
          <w:bCs/>
          <w:kern w:val="0"/>
          <w:sz w:val="28"/>
          <w:lang w:eastAsia="zh-Hans"/>
        </w:rPr>
        <w:t>健全自然资源资产产权和监管制度</w:t>
      </w:r>
    </w:p>
    <w:p>
      <w:pPr>
        <w:ind w:firstLine="480"/>
        <w:rPr>
          <w:shd w:val="clear" w:color="auto" w:fill="FFFFFF"/>
        </w:rPr>
      </w:pPr>
      <w:r>
        <w:rPr>
          <w:shd w:val="clear" w:color="auto" w:fill="FFFFFF"/>
        </w:rPr>
        <w:t>加快推进自然资源数据统计工作，认真分析各阶段数据成果，强化对自然资源数据质量的分析评价。深化数据综合分析评价工作，对全市及区域自然资源调查监测数据综合分析评价，为全市生态文明建设和自然资源管理提供决策参考。落实</w:t>
      </w:r>
      <w:r>
        <w:rPr>
          <w:rFonts w:asciiTheme="minorEastAsia" w:hAnsiTheme="minorEastAsia" w:eastAsiaTheme="minorEastAsia"/>
          <w:shd w:val="clear" w:color="auto" w:fill="FFFFFF"/>
        </w:rPr>
        <w:t>“</w:t>
      </w:r>
      <w:r>
        <w:rPr>
          <w:shd w:val="clear" w:color="auto" w:fill="FFFFFF"/>
        </w:rPr>
        <w:t>以图管地</w:t>
      </w:r>
      <w:r>
        <w:rPr>
          <w:rFonts w:asciiTheme="minorEastAsia" w:hAnsiTheme="minorEastAsia" w:eastAsiaTheme="minorEastAsia"/>
          <w:shd w:val="clear" w:color="auto" w:fill="FFFFFF"/>
        </w:rPr>
        <w:t>”</w:t>
      </w:r>
      <w:r>
        <w:rPr>
          <w:shd w:val="clear" w:color="auto" w:fill="FFFFFF"/>
        </w:rPr>
        <w:t>责任，加强自然资源调查监测成果的应用推广和共享。健全自然资源资产动态监测制度，健全重大问题转交﹑通报﹑处置、反馈等协调联动机制，严肃查处自然资源资产产权领域重大违法案件，维护自然资源管理秩序、群众合法权益及公共利益。到2025年，全面建立归属清晰、权责明确、保护严格、流转顺畅、监管有效的自然资源资产产权制度体系，推动全市自然资源治理体系和治理能力现代化。</w:t>
      </w:r>
    </w:p>
    <w:p>
      <w:pPr>
        <w:widowControl/>
        <w:ind w:firstLine="562"/>
        <w:jc w:val="left"/>
        <w:outlineLvl w:val="2"/>
        <w:rPr>
          <w:b/>
          <w:bCs/>
          <w:kern w:val="0"/>
          <w:sz w:val="28"/>
          <w:lang w:eastAsia="zh-Hans"/>
        </w:rPr>
      </w:pPr>
      <w:r>
        <w:rPr>
          <w:rFonts w:hint="eastAsia"/>
          <w:b/>
          <w:bCs/>
          <w:kern w:val="0"/>
          <w:sz w:val="28"/>
          <w:lang w:eastAsia="zh-Hans"/>
        </w:rPr>
        <w:t>（二）</w:t>
      </w:r>
      <w:r>
        <w:rPr>
          <w:b/>
          <w:bCs/>
          <w:kern w:val="0"/>
          <w:sz w:val="28"/>
          <w:lang w:eastAsia="zh-Hans"/>
        </w:rPr>
        <w:t>完善资源总量管理和全面节约制度</w:t>
      </w:r>
    </w:p>
    <w:p>
      <w:pPr>
        <w:ind w:firstLine="482"/>
        <w:rPr>
          <w:shd w:val="clear" w:color="auto" w:fill="FFFFFF"/>
        </w:rPr>
      </w:pPr>
      <w:r>
        <w:rPr>
          <w:b/>
          <w:shd w:val="clear" w:color="auto" w:fill="FFFFFF"/>
        </w:rPr>
        <w:t>完善资源环境承载能力监测预警机制</w:t>
      </w:r>
      <w:r>
        <w:rPr>
          <w:rFonts w:hint="eastAsia"/>
          <w:b/>
          <w:shd w:val="clear" w:color="auto" w:fill="FFFFFF"/>
        </w:rPr>
        <w:t>。</w:t>
      </w:r>
      <w:r>
        <w:rPr>
          <w:shd w:val="clear" w:color="auto" w:fill="FFFFFF"/>
        </w:rPr>
        <w:t>不断完善资源环境承载力综合评价指标体系，合理确定滕州市人口规模、产业规模、建设用地供应量、能源消费总量和污染物排放总量。完善资源环境承载力动态数据库和预警响应系统，运用动态数据库和预警响应系统，对水资源、环境容量、土地资源超载区实行限制性措施。</w:t>
      </w:r>
    </w:p>
    <w:p>
      <w:pPr>
        <w:ind w:firstLine="482"/>
        <w:rPr>
          <w:shd w:val="clear" w:color="auto" w:fill="FFFFFF"/>
        </w:rPr>
      </w:pPr>
      <w:r>
        <w:rPr>
          <w:b/>
          <w:shd w:val="clear" w:color="auto" w:fill="FFFFFF"/>
        </w:rPr>
        <w:t>完善水资源管理制度</w:t>
      </w:r>
      <w:r>
        <w:rPr>
          <w:rFonts w:hint="eastAsia"/>
          <w:b/>
          <w:shd w:val="clear" w:color="auto" w:fill="FFFFFF"/>
        </w:rPr>
        <w:t>。</w:t>
      </w:r>
      <w:r>
        <w:rPr>
          <w:shd w:val="clear" w:color="auto" w:fill="FFFFFF"/>
        </w:rPr>
        <w:t>严格水资源开发利用总量控制和用水效率控制管理，完善全市用水总量控制指标体系，严格实施取水许可和建设项目水资源论证制度，建立健全水资源监控和计量统计制度。强化节水管理，从农业、工业、城镇以及产业园区几个部分，制定相应的节能、节水实施办法。严格用水效率控制，加强取用水定额管理，推进公共机构节水型单位、节水型企业建设</w:t>
      </w:r>
      <w:r>
        <w:rPr>
          <w:rFonts w:hint="eastAsia"/>
          <w:shd w:val="clear" w:color="auto" w:fill="FFFFFF"/>
        </w:rPr>
        <w:t>，</w:t>
      </w:r>
      <w:r>
        <w:rPr>
          <w:shd w:val="clear" w:color="auto" w:fill="FFFFFF"/>
        </w:rPr>
        <w:t>建立节约用水激励政策，鼓励、支持在工业生产和市政工程等过程中开展中水回用。</w:t>
      </w:r>
    </w:p>
    <w:p>
      <w:pPr>
        <w:ind w:firstLine="482"/>
        <w:rPr>
          <w:shd w:val="clear" w:color="auto" w:fill="FFFFFF"/>
        </w:rPr>
      </w:pPr>
      <w:r>
        <w:rPr>
          <w:b/>
          <w:shd w:val="clear" w:color="auto" w:fill="FFFFFF"/>
        </w:rPr>
        <w:t>完善土地节约集约利用制度</w:t>
      </w:r>
      <w:r>
        <w:rPr>
          <w:rFonts w:hint="eastAsia"/>
          <w:b/>
          <w:shd w:val="clear" w:color="auto" w:fill="FFFFFF"/>
        </w:rPr>
        <w:t>。</w:t>
      </w:r>
      <w:r>
        <w:rPr>
          <w:shd w:val="clear" w:color="auto" w:fill="FFFFFF"/>
        </w:rPr>
        <w:t>加强土地节约集约利用，加大存量建设用地挖潜力度。实行建设用地总量和强度双控制。提高节地标准，调整建设用地结构。完善低效闲置用地清理盘活利用政策，建立新增建设用地计划分配与盘活存量建设用地相挂钩制度，推进低效用地再开发。调整土地基准地价，推进城市建设节约集约用地评价。</w:t>
      </w:r>
    </w:p>
    <w:p>
      <w:pPr>
        <w:ind w:firstLine="482"/>
        <w:rPr>
          <w:shd w:val="clear" w:color="auto" w:fill="FFFFFF"/>
        </w:rPr>
      </w:pPr>
      <w:r>
        <w:rPr>
          <w:b/>
          <w:shd w:val="clear" w:color="auto" w:fill="FFFFFF"/>
        </w:rPr>
        <w:t>完善节能审查制度和加大节能管理力度</w:t>
      </w:r>
      <w:r>
        <w:rPr>
          <w:rFonts w:hint="eastAsia"/>
          <w:b/>
          <w:shd w:val="clear" w:color="auto" w:fill="FFFFFF"/>
        </w:rPr>
        <w:t>。</w:t>
      </w:r>
      <w:r>
        <w:rPr>
          <w:shd w:val="clear" w:color="auto" w:fill="FFFFFF"/>
        </w:rPr>
        <w:t>强化固定资产投资项目的节能审查，推进节能监察能力建设，加大对重点用能领域和用能单位的节能监察力度。大力推广节能产品和技术装备的应用，加强对可再生能源发展的扶持，着力推进清洁能源替代。</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健全环境资源司法保护制度</w:t>
      </w:r>
    </w:p>
    <w:p>
      <w:pPr>
        <w:ind w:firstLine="480"/>
        <w:rPr>
          <w:shd w:val="clear" w:color="auto" w:fill="FFFFFF"/>
        </w:rPr>
      </w:pPr>
      <w:r>
        <w:rPr>
          <w:shd w:val="clear" w:color="auto" w:fill="FFFFFF"/>
        </w:rPr>
        <w:t>完善生态环境行政执法与刑事司法联动工作机制。通过定期巡查，监督行政机关规范系统填录；通过对环保等行政执法机关办理涉及生态环境犯罪案件进行提前介入，实现案件信息共享互通。完善重大个案协商、情况通报、联席会议、移送督办、行政执法证据转化、检察建议适用等工作衔接机制，进一步统一执法尺度，严格执法标准，解决生态环境保护领域执法难、办案难的问题。健全环境资源保护行政执法与刑事司法无缝衔接机制，严厉打击环境违法犯罪行为，依法追究环境损害责任者责任。</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102" w:name="_Toc139894279"/>
      <w:bookmarkStart w:id="103" w:name="_Toc139894363"/>
      <w:bookmarkStart w:id="104" w:name="_Toc139894235"/>
      <w:bookmarkStart w:id="105" w:name="_Toc4664"/>
      <w:bookmarkStart w:id="106" w:name="_Toc111798179"/>
      <w:r>
        <w:rPr>
          <w:rFonts w:hint="eastAsia" w:eastAsia="黑体"/>
          <w:bCs/>
          <w:snapToGrid w:val="0"/>
          <w:kern w:val="0"/>
          <w:sz w:val="32"/>
          <w:szCs w:val="32"/>
        </w:rPr>
        <w:t>三、</w:t>
      </w:r>
      <w:r>
        <w:rPr>
          <w:rFonts w:eastAsia="黑体"/>
          <w:bCs/>
          <w:snapToGrid w:val="0"/>
          <w:kern w:val="0"/>
          <w:sz w:val="32"/>
          <w:szCs w:val="32"/>
        </w:rPr>
        <w:t>构建生态保护和修复制度</w:t>
      </w:r>
      <w:bookmarkEnd w:id="102"/>
      <w:bookmarkEnd w:id="103"/>
      <w:bookmarkEnd w:id="104"/>
      <w:bookmarkEnd w:id="105"/>
      <w:bookmarkEnd w:id="106"/>
    </w:p>
    <w:p>
      <w:pPr>
        <w:widowControl/>
        <w:ind w:firstLine="562"/>
        <w:jc w:val="left"/>
        <w:outlineLvl w:val="2"/>
        <w:rPr>
          <w:b/>
          <w:bCs/>
          <w:kern w:val="0"/>
          <w:sz w:val="28"/>
          <w:lang w:eastAsia="zh-Hans"/>
        </w:rPr>
      </w:pPr>
      <w:r>
        <w:rPr>
          <w:rFonts w:hint="eastAsia"/>
          <w:b/>
          <w:bCs/>
          <w:kern w:val="0"/>
          <w:sz w:val="28"/>
          <w:lang w:eastAsia="zh-Hans"/>
        </w:rPr>
        <w:t>（一）</w:t>
      </w:r>
      <w:r>
        <w:rPr>
          <w:b/>
          <w:bCs/>
          <w:kern w:val="0"/>
          <w:sz w:val="28"/>
          <w:lang w:eastAsia="zh-Hans"/>
        </w:rPr>
        <w:t>严格落实</w:t>
      </w:r>
      <w:r>
        <w:rPr>
          <w:rFonts w:asciiTheme="minorEastAsia" w:hAnsiTheme="minorEastAsia" w:eastAsiaTheme="minorEastAsia"/>
          <w:b/>
          <w:bCs/>
          <w:kern w:val="0"/>
          <w:sz w:val="28"/>
          <w:lang w:eastAsia="zh-Hans"/>
        </w:rPr>
        <w:t>“</w:t>
      </w:r>
      <w:r>
        <w:rPr>
          <w:b/>
          <w:bCs/>
          <w:kern w:val="0"/>
          <w:sz w:val="28"/>
          <w:lang w:eastAsia="zh-Hans"/>
        </w:rPr>
        <w:t>三线一单</w:t>
      </w:r>
      <w:r>
        <w:rPr>
          <w:rFonts w:asciiTheme="minorEastAsia" w:hAnsiTheme="minorEastAsia" w:eastAsiaTheme="minorEastAsia"/>
          <w:b/>
          <w:bCs/>
          <w:kern w:val="0"/>
          <w:sz w:val="28"/>
          <w:lang w:eastAsia="zh-Hans"/>
        </w:rPr>
        <w:t>”</w:t>
      </w:r>
      <w:r>
        <w:rPr>
          <w:b/>
          <w:bCs/>
          <w:kern w:val="0"/>
          <w:sz w:val="28"/>
          <w:lang w:eastAsia="zh-Hans"/>
        </w:rPr>
        <w:t>环境管控制度</w:t>
      </w:r>
    </w:p>
    <w:p>
      <w:pPr>
        <w:ind w:firstLine="480"/>
        <w:rPr>
          <w:shd w:val="clear" w:color="auto" w:fill="FFFFFF"/>
        </w:rPr>
      </w:pPr>
      <w:r>
        <w:rPr>
          <w:shd w:val="clear" w:color="auto" w:fill="FFFFFF"/>
        </w:rPr>
        <w:t>坚守环境质量底线，以空间、总量和准入环境管控为切入点推动</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硬约束落地，在产业布局、结构调整、资源开发、城镇建设、重大项目选址时，应将</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确定的环境管控单元及生态环境准入清单作为重要依据。将</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确定的生态、水、大气、土壤、资源利用等方面的管控要求，作为区域生态环境准入和区域环境管理的重要依据。将</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成果作为改善环境质量、实施生态修复、防控环境风险的重要依据，加快治理水、大气、土壤环境污染，推动实现环境质量约束性考核目标。将</w:t>
      </w:r>
      <w:r>
        <w:rPr>
          <w:rFonts w:asciiTheme="minorEastAsia" w:hAnsiTheme="minorEastAsia" w:eastAsiaTheme="minorEastAsia"/>
          <w:shd w:val="clear" w:color="auto" w:fill="FFFFFF"/>
        </w:rPr>
        <w:t>“</w:t>
      </w:r>
      <w:r>
        <w:rPr>
          <w:shd w:val="clear" w:color="auto" w:fill="FFFFFF"/>
        </w:rPr>
        <w:t>三线一单</w:t>
      </w:r>
      <w:r>
        <w:rPr>
          <w:rFonts w:asciiTheme="minorEastAsia" w:hAnsiTheme="minorEastAsia" w:eastAsiaTheme="minorEastAsia"/>
          <w:shd w:val="clear" w:color="auto" w:fill="FFFFFF"/>
        </w:rPr>
        <w:t>”</w:t>
      </w:r>
      <w:r>
        <w:rPr>
          <w:shd w:val="clear" w:color="auto" w:fill="FFFFFF"/>
        </w:rPr>
        <w:t>确定的优先保护单元、重点管控单元作为环境监管重点区域，推进生态环境监管精细化、规范化、智能化。</w:t>
      </w:r>
      <w:r>
        <w:rPr>
          <w:szCs w:val="32"/>
        </w:rPr>
        <w:t>落实监督和考核机制，定期开展生态保护红线保护成效评估，依托卫星遥感、地面调查监测、公众举报等手段，加强全市生态保护红线监测预警能力。</w:t>
      </w:r>
    </w:p>
    <w:p>
      <w:pPr>
        <w:widowControl/>
        <w:ind w:firstLine="562"/>
        <w:jc w:val="left"/>
        <w:outlineLvl w:val="2"/>
        <w:rPr>
          <w:b/>
          <w:bCs/>
          <w:kern w:val="0"/>
          <w:sz w:val="28"/>
          <w:lang w:eastAsia="zh-Hans"/>
        </w:rPr>
      </w:pPr>
      <w:r>
        <w:rPr>
          <w:rFonts w:hint="eastAsia"/>
          <w:b/>
          <w:bCs/>
          <w:kern w:val="0"/>
          <w:sz w:val="28"/>
          <w:lang w:eastAsia="zh-Hans"/>
        </w:rPr>
        <w:t>（二）</w:t>
      </w:r>
      <w:r>
        <w:rPr>
          <w:b/>
          <w:bCs/>
          <w:kern w:val="0"/>
          <w:sz w:val="28"/>
          <w:lang w:eastAsia="zh-Hans"/>
        </w:rPr>
        <w:t>完善国土空间开发及用途管制制度</w:t>
      </w:r>
    </w:p>
    <w:p>
      <w:pPr>
        <w:ind w:firstLine="480"/>
        <w:rPr>
          <w:szCs w:val="32"/>
        </w:rPr>
      </w:pPr>
      <w:r>
        <w:rPr>
          <w:shd w:val="clear" w:color="auto" w:fill="FFFFFF"/>
        </w:rPr>
        <w:t>完善基于主体功能定位的国土开发利用差别化准入制度，在重点生态功能区实行产业准入负面清单。加快建立国土空间开发保护制度和生态保护红线管控制度。突出生态空间管控，合理控制空间开发强度。加强土地用途管制，严格执行土地利用总体规划和年度用地计划，科学合理划分土地利用分区，按照不同的管制措施，强化土地利用的空间管理功能。严格执行林地用途管制和定额管理制度，严格限制林地非法转为建设用地和其他农用地。严格执行自然生态用途空间管制办法，严格限制逾越生态空间红线进行非农建设，同时为城市建设留足用地。</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落实生态保护补偿制度</w:t>
      </w:r>
    </w:p>
    <w:p>
      <w:pPr>
        <w:ind w:firstLine="480"/>
        <w:rPr>
          <w:shd w:val="clear" w:color="auto" w:fill="FFFFFF"/>
        </w:rPr>
      </w:pPr>
      <w:r>
        <w:rPr>
          <w:shd w:val="clear" w:color="auto" w:fill="FFFFFF"/>
        </w:rPr>
        <w:t>积极利用国家绿色发展基金、省级土壤污染防治基金、</w:t>
      </w:r>
      <w:r>
        <w:rPr>
          <w:rFonts w:asciiTheme="minorEastAsia" w:hAnsiTheme="minorEastAsia" w:eastAsiaTheme="minorEastAsia"/>
          <w:shd w:val="clear" w:color="auto" w:fill="FFFFFF"/>
        </w:rPr>
        <w:t>“</w:t>
      </w:r>
      <w:r>
        <w:rPr>
          <w:shd w:val="clear" w:color="auto" w:fill="FFFFFF"/>
        </w:rPr>
        <w:t>环保贷</w:t>
      </w:r>
      <w:r>
        <w:rPr>
          <w:rFonts w:asciiTheme="minorEastAsia" w:hAnsiTheme="minorEastAsia" w:eastAsiaTheme="minorEastAsia"/>
          <w:shd w:val="clear" w:color="auto" w:fill="FFFFFF"/>
        </w:rPr>
        <w:t>”</w:t>
      </w:r>
      <w:r>
        <w:rPr>
          <w:shd w:val="clear" w:color="auto" w:fill="FFFFFF"/>
        </w:rPr>
        <w:t>、PPP等政策平台，积极引导金融和社会资本投入生态环境领域，支持环保产业发展和环境基础设施建设。加大财政转移支付力度，逐步扩大生态补偿范围，鼓励建立跨区域横向财政转移和生态补偿制度。</w:t>
      </w:r>
    </w:p>
    <w:p>
      <w:pPr>
        <w:pStyle w:val="1336"/>
        <w:spacing w:before="163" w:after="163"/>
      </w:pPr>
      <w:bookmarkStart w:id="107" w:name="_Toc111798180"/>
      <w:bookmarkStart w:id="108" w:name="_Toc139894364"/>
      <w:bookmarkStart w:id="109" w:name="_Toc139894236"/>
      <w:bookmarkStart w:id="110" w:name="_Toc139894280"/>
      <w:bookmarkStart w:id="111" w:name="_Toc31229"/>
      <w:r>
        <w:rPr>
          <w:rFonts w:hint="eastAsia"/>
        </w:rPr>
        <w:t>四、</w:t>
      </w:r>
      <w:r>
        <w:t>强化生态环境保护责任制度</w:t>
      </w:r>
      <w:bookmarkEnd w:id="107"/>
      <w:bookmarkEnd w:id="108"/>
      <w:bookmarkEnd w:id="109"/>
      <w:bookmarkEnd w:id="110"/>
      <w:bookmarkEnd w:id="111"/>
    </w:p>
    <w:p>
      <w:pPr>
        <w:widowControl/>
        <w:ind w:firstLine="562"/>
        <w:jc w:val="left"/>
        <w:outlineLvl w:val="2"/>
        <w:rPr>
          <w:b/>
          <w:bCs/>
          <w:kern w:val="0"/>
          <w:sz w:val="28"/>
          <w:lang w:eastAsia="zh-Hans"/>
        </w:rPr>
      </w:pPr>
      <w:bookmarkStart w:id="112" w:name="_Toc65662831"/>
      <w:r>
        <w:rPr>
          <w:rFonts w:hint="eastAsia"/>
          <w:b/>
          <w:bCs/>
          <w:kern w:val="0"/>
          <w:sz w:val="28"/>
          <w:lang w:eastAsia="zh-Hans"/>
        </w:rPr>
        <w:t>（一）</w:t>
      </w:r>
      <w:r>
        <w:rPr>
          <w:b/>
          <w:bCs/>
          <w:kern w:val="0"/>
          <w:sz w:val="28"/>
          <w:lang w:eastAsia="zh-Hans"/>
        </w:rPr>
        <w:t>深化党政领导干部政绩差别化考核制度</w:t>
      </w:r>
    </w:p>
    <w:p>
      <w:pPr>
        <w:ind w:firstLine="480"/>
      </w:pPr>
      <w:r>
        <w:t>对标国家、省、枣庄市高质量发展绩效评价考核体系，将生态文明建设指标纳入市高质量发展绩效评价考核体系，作为高质量发展综合考核和市县党政领导干部政绩考核的重要内容。完善以治理体系和治理能力现代化为保障的生态文明制度体系，落实</w:t>
      </w:r>
      <w:r>
        <w:rPr>
          <w:kern w:val="0"/>
        </w:rPr>
        <w:t>领导干部</w:t>
      </w:r>
      <w:r>
        <w:t>生态文明建设责任制，以年度综合考核为抓手，完善考核体系，改进考核方式方法。将生态环境保护目标任务考核情况、中央以及省生态环境保护督察结果、领导干部自然资源资产离任审计结果等作为领导班子和领导干部选拔任用、管理监督的重要依据。对发生重大生态事故地区的主要领导、分管领导和有关责任人员，其平时考核、年度考核实行</w:t>
      </w:r>
      <w:r>
        <w:rPr>
          <w:rFonts w:asciiTheme="minorEastAsia" w:hAnsiTheme="minorEastAsia" w:eastAsiaTheme="minorEastAsia"/>
        </w:rPr>
        <w:t>“</w:t>
      </w:r>
      <w:r>
        <w:t>一票否优</w:t>
      </w:r>
      <w:r>
        <w:rPr>
          <w:rFonts w:asciiTheme="minorEastAsia" w:hAnsiTheme="minorEastAsia" w:eastAsiaTheme="minorEastAsia"/>
        </w:rPr>
        <w:t>”</w:t>
      </w:r>
      <w:r>
        <w:t>。</w:t>
      </w:r>
    </w:p>
    <w:p>
      <w:pPr>
        <w:widowControl/>
        <w:ind w:firstLine="562"/>
        <w:jc w:val="left"/>
        <w:outlineLvl w:val="2"/>
        <w:rPr>
          <w:b/>
          <w:bCs/>
          <w:kern w:val="0"/>
          <w:sz w:val="28"/>
          <w:lang w:eastAsia="zh-Hans"/>
        </w:rPr>
      </w:pPr>
      <w:r>
        <w:rPr>
          <w:rFonts w:hint="eastAsia"/>
          <w:b/>
          <w:bCs/>
          <w:kern w:val="0"/>
          <w:sz w:val="28"/>
          <w:lang w:eastAsia="zh-Hans"/>
        </w:rPr>
        <w:t>（二）</w:t>
      </w:r>
      <w:r>
        <w:rPr>
          <w:b/>
          <w:bCs/>
          <w:kern w:val="0"/>
          <w:sz w:val="28"/>
          <w:lang w:eastAsia="zh-Hans"/>
        </w:rPr>
        <w:t>深化领导干部自然资源资产离任审计制度</w:t>
      </w:r>
    </w:p>
    <w:p>
      <w:pPr>
        <w:ind w:firstLine="480"/>
        <w:rPr>
          <w:shd w:val="clear" w:color="auto" w:fill="FFFFFF"/>
        </w:rPr>
      </w:pPr>
      <w:r>
        <w:rPr>
          <w:shd w:val="clear" w:color="auto" w:fill="FFFFFF"/>
        </w:rPr>
        <w:t>探索大数据审计模式，推进资源环境审计信息化建设，提升大数据审计工作水平，提高审计工作质量和效率。完善审计评价指标设置，完善项目计划管理机制，将领导干部自然资源离任（任中）审计与经济责任审计、资源环境审计及其他专项审计相结合，促进切实履行自然资源资产管理和环境保护责任。加大审计结果运用，形成监督合力，在推动生态文明建设和绿色发展中发挥积极作用。领导干部自然资源资产离任审计的审计评价结果作为领导干部考核、任免、奖惩的重要依据。加强审计监督，落实党政领导干部自然资源资产离任审计和生态环境损害责任终身追究制度。对目标任务未完成、生态环境责任履职不到位、环保督察整改不力和在重大生态环境损害中存在失职渎职等行为严肃问责。</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严格执行生态环境损害责任追究和损害赔偿制度</w:t>
      </w:r>
    </w:p>
    <w:p>
      <w:pPr>
        <w:ind w:firstLine="480"/>
        <w:rPr>
          <w:shd w:val="clear" w:color="auto" w:fill="FFFFFF"/>
        </w:rPr>
      </w:pPr>
      <w:r>
        <w:rPr>
          <w:shd w:val="clear" w:color="auto" w:fill="FFFFFF"/>
        </w:rPr>
        <w:t>严格执行和完善生态环境损害赔偿和责任追究制度，加大造成生态环境损害的企业和个人的违法违规成本。健全生态环境损害赔偿制度，严格依法追究环境污染和生态破坏民事责任，推动惩罚性赔偿责任等制度落到实处。根据生态环境损害赔偿工作需要，及时组织开展赔偿磋商，形成相应的鉴定评估管理和技术体系、资金保障和运行机制，切实加强生态环境修复工作，逐步完善生态环境损害的修复和赔偿制度。坚持定期组织筛查案件线索，实行跟踪、闭环管理，同时加强联合联动，</w:t>
      </w:r>
      <w:r>
        <w:rPr>
          <w:szCs w:val="28"/>
        </w:rPr>
        <w:t>探索生态环境损害赔偿磋商与检察公益诉讼诉前程序的衔接，强化磋商赔偿公开听证工作</w:t>
      </w:r>
      <w:r>
        <w:rPr>
          <w:shd w:val="clear" w:color="auto" w:fill="FFFFFF"/>
        </w:rPr>
        <w:t>。</w:t>
      </w:r>
    </w:p>
    <w:bookmarkEnd w:id="112"/>
    <w:p>
      <w:pPr>
        <w:pStyle w:val="1336"/>
        <w:spacing w:before="163" w:after="163"/>
      </w:pPr>
      <w:bookmarkStart w:id="113" w:name="_Toc111798181"/>
      <w:bookmarkStart w:id="114" w:name="_Toc32065"/>
      <w:bookmarkStart w:id="115" w:name="_Toc139894237"/>
      <w:bookmarkStart w:id="116" w:name="_Toc139894365"/>
      <w:bookmarkStart w:id="117" w:name="_Toc139894281"/>
      <w:r>
        <w:rPr>
          <w:rFonts w:hint="eastAsia"/>
        </w:rPr>
        <w:t>五、</w:t>
      </w:r>
      <w:r>
        <w:t>建立健全现代环境治理体系</w:t>
      </w:r>
      <w:bookmarkEnd w:id="113"/>
      <w:bookmarkEnd w:id="114"/>
      <w:bookmarkEnd w:id="115"/>
      <w:bookmarkEnd w:id="116"/>
      <w:bookmarkEnd w:id="117"/>
    </w:p>
    <w:p>
      <w:pPr>
        <w:widowControl/>
        <w:ind w:firstLine="562"/>
        <w:jc w:val="left"/>
        <w:outlineLvl w:val="2"/>
        <w:rPr>
          <w:b/>
          <w:bCs/>
          <w:kern w:val="0"/>
          <w:sz w:val="28"/>
          <w:lang w:eastAsia="zh-Hans"/>
        </w:rPr>
      </w:pPr>
      <w:r>
        <w:rPr>
          <w:rFonts w:hint="eastAsia"/>
          <w:b/>
          <w:bCs/>
          <w:kern w:val="0"/>
          <w:sz w:val="28"/>
          <w:lang w:eastAsia="zh-Hans"/>
        </w:rPr>
        <w:t>（一）</w:t>
      </w:r>
      <w:r>
        <w:rPr>
          <w:b/>
          <w:bCs/>
          <w:kern w:val="0"/>
          <w:sz w:val="28"/>
          <w:lang w:eastAsia="zh-Hans"/>
        </w:rPr>
        <w:t>完善生态环境社会治理制度</w:t>
      </w:r>
    </w:p>
    <w:p>
      <w:pPr>
        <w:ind w:firstLine="480"/>
        <w:rPr>
          <w:shd w:val="clear" w:color="auto" w:fill="FFFFFF"/>
        </w:rPr>
      </w:pPr>
      <w:r>
        <w:rPr>
          <w:shd w:val="clear" w:color="auto" w:fill="FFFFFF"/>
        </w:rPr>
        <w:t>培育多元主体参与生态环境治理和建设，建立由政府、非政府组织、公民个体以及企业共同参与的多元治理主体队伍。加强生态环境公益组织培育，切实发挥环保志愿者积极作用，引导环保志愿者关注南四湖等重点流域生态环境保护。推进生态环境信息公开，保障公众知情权、参与权和监督权。排污单位应当向社会公开生态环境数据，及时公布环境监测和污染排放数据、污染治理措施、重污染天气应对等信息，并且对信息真实性负责。明确公众参与环保的权利和义务，使公民真正参与到与自己利害相关的环境事务中。引导人民群众树立环保意识，完善公众参与制度，保障人民群众依法有序行使环境监督权。建立环境保护网络举报平台和举报制度，健全举报、听证、舆论监督等制度。发挥</w:t>
      </w:r>
      <w:r>
        <w:rPr>
          <w:rFonts w:asciiTheme="minorEastAsia" w:hAnsiTheme="minorEastAsia" w:eastAsiaTheme="minorEastAsia"/>
          <w:shd w:val="clear" w:color="auto" w:fill="FFFFFF"/>
        </w:rPr>
        <w:t>“</w:t>
      </w:r>
      <w:r>
        <w:rPr>
          <w:shd w:val="clear" w:color="auto" w:fill="FFFFFF"/>
        </w:rPr>
        <w:t>12345</w:t>
      </w:r>
      <w:r>
        <w:rPr>
          <w:rFonts w:asciiTheme="minorEastAsia" w:hAnsiTheme="minorEastAsia" w:eastAsiaTheme="minorEastAsia"/>
          <w:shd w:val="clear" w:color="auto" w:fill="FFFFFF"/>
        </w:rPr>
        <w:t>”</w:t>
      </w:r>
      <w:r>
        <w:rPr>
          <w:shd w:val="clear" w:color="auto" w:fill="FFFFFF"/>
        </w:rPr>
        <w:t>政务平台作用，完善有奖举报机制，引导公众监督。支持新闻媒体对各类破坏生态环境行为进行曝光，营造治污攻坚舆论氛围。</w:t>
      </w:r>
    </w:p>
    <w:p>
      <w:pPr>
        <w:widowControl/>
        <w:ind w:firstLine="562"/>
        <w:jc w:val="left"/>
        <w:outlineLvl w:val="2"/>
        <w:rPr>
          <w:b/>
          <w:bCs/>
          <w:kern w:val="0"/>
          <w:sz w:val="28"/>
          <w:lang w:eastAsia="zh-Hans"/>
        </w:rPr>
      </w:pPr>
      <w:r>
        <w:rPr>
          <w:rFonts w:hint="eastAsia"/>
          <w:b/>
          <w:bCs/>
          <w:kern w:val="0"/>
          <w:sz w:val="28"/>
          <w:lang w:eastAsia="zh-Hans"/>
        </w:rPr>
        <w:t>（二）</w:t>
      </w:r>
      <w:r>
        <w:rPr>
          <w:b/>
          <w:bCs/>
          <w:kern w:val="0"/>
          <w:sz w:val="28"/>
          <w:lang w:eastAsia="zh-Hans"/>
        </w:rPr>
        <w:t>健全生态环境保护市场体系</w:t>
      </w:r>
    </w:p>
    <w:p>
      <w:pPr>
        <w:ind w:firstLine="480"/>
        <w:rPr>
          <w:shd w:val="clear" w:color="auto" w:fill="FFFFFF"/>
        </w:rPr>
      </w:pPr>
      <w:r>
        <w:rPr>
          <w:shd w:val="clear" w:color="auto" w:fill="FFFFFF"/>
        </w:rPr>
        <w:t>探索建立政府主导下的市场配置资源机制。建立与绿色发展和环境质量改善绩效为导向的奖惩制度，落实与污染物排放总量挂钩的财政政策。建立</w:t>
      </w:r>
      <w:r>
        <w:rPr>
          <w:rFonts w:asciiTheme="minorEastAsia" w:hAnsiTheme="minorEastAsia" w:eastAsiaTheme="minorEastAsia"/>
          <w:shd w:val="clear" w:color="auto" w:fill="FFFFFF"/>
        </w:rPr>
        <w:t>“</w:t>
      </w:r>
      <w:r>
        <w:rPr>
          <w:shd w:val="clear" w:color="auto" w:fill="FFFFFF"/>
        </w:rPr>
        <w:t>银政企</w:t>
      </w:r>
      <w:r>
        <w:rPr>
          <w:rFonts w:asciiTheme="minorEastAsia" w:hAnsiTheme="minorEastAsia" w:eastAsiaTheme="minorEastAsia"/>
          <w:shd w:val="clear" w:color="auto" w:fill="FFFFFF"/>
        </w:rPr>
        <w:t>”</w:t>
      </w:r>
      <w:r>
        <w:rPr>
          <w:shd w:val="clear" w:color="auto" w:fill="FFFFFF"/>
        </w:rPr>
        <w:t>保姆式服务体系，组织企业参加</w:t>
      </w:r>
      <w:r>
        <w:rPr>
          <w:rFonts w:asciiTheme="minorEastAsia" w:hAnsiTheme="minorEastAsia" w:eastAsiaTheme="minorEastAsia"/>
          <w:shd w:val="clear" w:color="auto" w:fill="FFFFFF"/>
        </w:rPr>
        <w:t>“</w:t>
      </w:r>
      <w:r>
        <w:rPr>
          <w:shd w:val="clear" w:color="auto" w:fill="FFFFFF"/>
        </w:rPr>
        <w:t>金环</w:t>
      </w:r>
      <w:r>
        <w:rPr>
          <w:rFonts w:asciiTheme="minorEastAsia" w:hAnsiTheme="minorEastAsia" w:eastAsiaTheme="minorEastAsia"/>
          <w:shd w:val="clear" w:color="auto" w:fill="FFFFFF"/>
        </w:rPr>
        <w:t>”</w:t>
      </w:r>
      <w:r>
        <w:rPr>
          <w:shd w:val="clear" w:color="auto" w:fill="FFFFFF"/>
        </w:rPr>
        <w:t>对话。推广排污权质押贷款等绿色金融服务，发展基于碳排放权等各类环境权益的融资工具，拓宽企业绿色融资渠道。加快建设企业环境信用管理制度，增进环境责任险、环境信用评价体系推广范围。结合推进企业环保信用评价等工作机制，加大绿色金融产品供给，加大对企业节能减排、污染治理技术改造的信贷支持。积极争取省级环保资金，按照有关规定，考虑向环境整治任务重、产业结构调整力度大的乡镇、园区和企业倾斜，指导帮助各地积极争取中央环保资金，并且将符合条件的重大项目优先推荐纳入中央项目储备库。</w:t>
      </w:r>
    </w:p>
    <w:p>
      <w:pPr>
        <w:widowControl/>
        <w:ind w:firstLine="562"/>
        <w:jc w:val="left"/>
        <w:outlineLvl w:val="2"/>
        <w:rPr>
          <w:b/>
          <w:bCs/>
          <w:kern w:val="0"/>
          <w:sz w:val="28"/>
          <w:lang w:eastAsia="zh-Hans"/>
        </w:rPr>
      </w:pPr>
      <w:r>
        <w:rPr>
          <w:rFonts w:hint="eastAsia"/>
          <w:b/>
          <w:bCs/>
          <w:kern w:val="0"/>
          <w:sz w:val="28"/>
          <w:lang w:eastAsia="zh-Hans"/>
        </w:rPr>
        <w:t>（三）</w:t>
      </w:r>
      <w:r>
        <w:rPr>
          <w:b/>
          <w:bCs/>
          <w:kern w:val="0"/>
          <w:sz w:val="28"/>
          <w:lang w:eastAsia="zh-Hans"/>
        </w:rPr>
        <w:t>完善绿色经济政策</w:t>
      </w:r>
    </w:p>
    <w:p>
      <w:pPr>
        <w:ind w:firstLine="480"/>
        <w:rPr>
          <w:shd w:val="clear" w:color="auto" w:fill="FFFFFF"/>
        </w:rPr>
      </w:pPr>
      <w:bookmarkStart w:id="118" w:name="_Hlk149144246"/>
      <w:r>
        <w:rPr>
          <w:shd w:val="clear" w:color="auto" w:fill="FFFFFF"/>
        </w:rPr>
        <w:t>积极落实价格、财税、金融等政策，激励、引导各类主体积极投身生态文明建设。开展</w:t>
      </w:r>
      <w:r>
        <w:rPr>
          <w:rFonts w:asciiTheme="minorEastAsia" w:hAnsiTheme="minorEastAsia" w:eastAsiaTheme="minorEastAsia"/>
          <w:shd w:val="clear" w:color="auto" w:fill="FFFFFF"/>
        </w:rPr>
        <w:t>“</w:t>
      </w:r>
      <w:r>
        <w:rPr>
          <w:shd w:val="clear" w:color="auto" w:fill="FFFFFF"/>
        </w:rPr>
        <w:t>绿色+创新</w:t>
      </w:r>
      <w:r>
        <w:rPr>
          <w:rFonts w:asciiTheme="minorEastAsia" w:hAnsiTheme="minorEastAsia" w:eastAsiaTheme="minorEastAsia"/>
          <w:shd w:val="clear" w:color="auto" w:fill="FFFFFF"/>
        </w:rPr>
        <w:t>”“</w:t>
      </w:r>
      <w:r>
        <w:rPr>
          <w:shd w:val="clear" w:color="auto" w:fill="FFFFFF"/>
        </w:rPr>
        <w:t>绿色+高端制造</w:t>
      </w:r>
      <w:r>
        <w:rPr>
          <w:rFonts w:asciiTheme="minorEastAsia" w:hAnsiTheme="minorEastAsia" w:eastAsiaTheme="minorEastAsia"/>
          <w:shd w:val="clear" w:color="auto" w:fill="FFFFFF"/>
        </w:rPr>
        <w:t>”</w:t>
      </w:r>
      <w:r>
        <w:rPr>
          <w:shd w:val="clear" w:color="auto" w:fill="FFFFFF"/>
        </w:rPr>
        <w:t>等绿色金融创新试点，大力探索绿色金融助推金融供给侧改革、绿色发展、产业结构转型升级和碳达峰碳中和的新路径、新模式。</w:t>
      </w:r>
      <w:bookmarkEnd w:id="118"/>
      <w:r>
        <w:rPr>
          <w:shd w:val="clear" w:color="auto" w:fill="FFFFFF"/>
        </w:rPr>
        <w:t>落实差别电价、水价政策，进一步完善居民阶梯水价制度，非居民用水超定额、超计划累进加价收费制度。落实节能环保、新能源、再生资源、生态建设和环境友好型企业税收优惠。</w:t>
      </w:r>
    </w:p>
    <w:p>
      <w:pPr>
        <w:widowControl/>
        <w:ind w:firstLine="562"/>
        <w:jc w:val="left"/>
        <w:outlineLvl w:val="2"/>
        <w:rPr>
          <w:rFonts w:hint="eastAsia"/>
          <w:b/>
          <w:bCs/>
          <w:kern w:val="0"/>
          <w:sz w:val="28"/>
          <w:lang w:eastAsia="zh-Hans"/>
        </w:rPr>
      </w:pPr>
    </w:p>
    <w:p>
      <w:pPr>
        <w:widowControl/>
        <w:ind w:firstLine="562"/>
        <w:jc w:val="left"/>
        <w:outlineLvl w:val="2"/>
        <w:rPr>
          <w:rFonts w:hint="eastAsia"/>
          <w:b/>
          <w:bCs/>
          <w:kern w:val="0"/>
          <w:sz w:val="28"/>
          <w:lang w:eastAsia="zh-Hans"/>
        </w:rPr>
      </w:pPr>
    </w:p>
    <w:p>
      <w:pPr>
        <w:widowControl/>
        <w:ind w:firstLine="562"/>
        <w:jc w:val="left"/>
        <w:outlineLvl w:val="2"/>
        <w:rPr>
          <w:b/>
          <w:bCs/>
          <w:kern w:val="0"/>
          <w:sz w:val="28"/>
          <w:lang w:eastAsia="zh-Hans"/>
        </w:rPr>
      </w:pPr>
      <w:r>
        <w:rPr>
          <w:rFonts w:hint="eastAsia"/>
          <w:b/>
          <w:bCs/>
          <w:kern w:val="0"/>
          <w:sz w:val="28"/>
          <w:lang w:eastAsia="zh-Hans"/>
        </w:rPr>
        <w:t>（四）</w:t>
      </w:r>
      <w:r>
        <w:rPr>
          <w:b/>
          <w:bCs/>
          <w:kern w:val="0"/>
          <w:sz w:val="28"/>
          <w:lang w:eastAsia="zh-Hans"/>
        </w:rPr>
        <w:t>完善生态环境保护监管体系</w:t>
      </w:r>
    </w:p>
    <w:p>
      <w:pPr>
        <w:ind w:firstLine="480"/>
        <w:rPr>
          <w:shd w:val="clear" w:color="auto" w:fill="FFFFFF"/>
        </w:rPr>
      </w:pPr>
      <w:r>
        <w:rPr>
          <w:shd w:val="clear" w:color="auto" w:fill="FFFFFF"/>
        </w:rPr>
        <w:t>深入推进网格化环境监管工作，完善监管</w:t>
      </w:r>
      <w:r>
        <w:rPr>
          <w:rFonts w:asciiTheme="minorEastAsia" w:hAnsiTheme="minorEastAsia" w:eastAsiaTheme="minorEastAsia"/>
          <w:shd w:val="clear" w:color="auto" w:fill="FFFFFF"/>
        </w:rPr>
        <w:t>“</w:t>
      </w:r>
      <w:r>
        <w:rPr>
          <w:shd w:val="clear" w:color="auto" w:fill="FFFFFF"/>
        </w:rPr>
        <w:t>清单式</w:t>
      </w:r>
      <w:r>
        <w:rPr>
          <w:rFonts w:asciiTheme="minorEastAsia" w:hAnsiTheme="minorEastAsia" w:eastAsiaTheme="minorEastAsia"/>
          <w:shd w:val="clear" w:color="auto" w:fill="FFFFFF"/>
        </w:rPr>
        <w:t>”</w:t>
      </w:r>
      <w:r>
        <w:rPr>
          <w:shd w:val="clear" w:color="auto" w:fill="FFFFFF"/>
        </w:rPr>
        <w:t>管理工作机制，全面推动网格化管理体系建设，实现环境监察无盲区，环境监测无空白，环境监管全覆盖，提升环境治理系统化、法治化、信息化水平。用好滕州市污染防治综合监管平台，合理解决生态环境突出问题。全面加强生态环境监测监控能力建设，利用大数据平台大力推行</w:t>
      </w:r>
      <w:r>
        <w:rPr>
          <w:rFonts w:asciiTheme="minorEastAsia" w:hAnsiTheme="minorEastAsia" w:eastAsiaTheme="minorEastAsia"/>
          <w:shd w:val="clear" w:color="auto" w:fill="FFFFFF"/>
        </w:rPr>
        <w:t>“</w:t>
      </w:r>
      <w:r>
        <w:rPr>
          <w:shd w:val="clear" w:color="auto" w:fill="FFFFFF"/>
        </w:rPr>
        <w:t>不见面</w:t>
      </w:r>
      <w:r>
        <w:rPr>
          <w:rFonts w:asciiTheme="minorEastAsia" w:hAnsiTheme="minorEastAsia" w:eastAsiaTheme="minorEastAsia"/>
          <w:shd w:val="clear" w:color="auto" w:fill="FFFFFF"/>
        </w:rPr>
        <w:t>”“</w:t>
      </w:r>
      <w:r>
        <w:rPr>
          <w:shd w:val="clear" w:color="auto" w:fill="FFFFFF"/>
        </w:rPr>
        <w:t>非现场</w:t>
      </w:r>
      <w:r>
        <w:rPr>
          <w:rFonts w:asciiTheme="minorEastAsia" w:hAnsiTheme="minorEastAsia" w:eastAsiaTheme="minorEastAsia"/>
          <w:shd w:val="clear" w:color="auto" w:fill="FFFFFF"/>
        </w:rPr>
        <w:t>”</w:t>
      </w:r>
      <w:r>
        <w:rPr>
          <w:shd w:val="clear" w:color="auto" w:fill="FFFFFF"/>
        </w:rPr>
        <w:t>精准执法，不断提高执法监管的智能化、信息化和精准化水平。</w:t>
      </w:r>
    </w:p>
    <w:p>
      <w:pPr>
        <w:ind w:firstLine="723"/>
        <w:rPr>
          <w:rFonts w:eastAsia="黑体"/>
          <w:b/>
          <w:kern w:val="0"/>
          <w:sz w:val="36"/>
          <w:szCs w:val="36"/>
        </w:rPr>
      </w:pPr>
      <w:bookmarkStart w:id="119" w:name="_Toc13682"/>
      <w:bookmarkStart w:id="120" w:name="_Toc32379"/>
      <w:r>
        <w:rPr>
          <w:rFonts w:eastAsia="黑体"/>
          <w:b/>
          <w:kern w:val="0"/>
          <w:sz w:val="36"/>
          <w:szCs w:val="36"/>
        </w:rPr>
        <w:br w:type="page"/>
      </w:r>
    </w:p>
    <w:p>
      <w:pPr>
        <w:keepNext/>
        <w:keepLines/>
        <w:spacing w:before="326" w:beforeLines="100" w:after="326" w:afterLines="100"/>
        <w:ind w:firstLine="0" w:firstLineChars="0"/>
        <w:jc w:val="center"/>
        <w:outlineLvl w:val="0"/>
        <w:rPr>
          <w:rFonts w:eastAsia="黑体"/>
          <w:b/>
          <w:kern w:val="0"/>
          <w:sz w:val="36"/>
          <w:szCs w:val="36"/>
        </w:rPr>
      </w:pPr>
      <w:r>
        <w:rPr>
          <w:rFonts w:eastAsia="黑体"/>
          <w:b/>
          <w:kern w:val="0"/>
          <w:sz w:val="36"/>
          <w:szCs w:val="36"/>
        </w:rPr>
        <w:t>第四章 构建优质稳定的生态安全体系</w:t>
      </w:r>
      <w:bookmarkEnd w:id="119"/>
      <w:bookmarkEnd w:id="120"/>
    </w:p>
    <w:p>
      <w:pPr>
        <w:pStyle w:val="1336"/>
        <w:spacing w:before="163" w:after="163"/>
      </w:pPr>
      <w:bookmarkStart w:id="121" w:name="_Toc139894366"/>
      <w:bookmarkStart w:id="122" w:name="_Toc139894282"/>
      <w:bookmarkStart w:id="123" w:name="_Toc12755"/>
      <w:bookmarkStart w:id="124" w:name="_Toc139894238"/>
      <w:bookmarkStart w:id="125" w:name="_Toc28239"/>
      <w:r>
        <w:t>一、推进碳达峰行动</w:t>
      </w:r>
      <w:bookmarkEnd w:id="121"/>
      <w:bookmarkEnd w:id="122"/>
      <w:bookmarkEnd w:id="123"/>
      <w:bookmarkEnd w:id="124"/>
    </w:p>
    <w:p>
      <w:pPr>
        <w:widowControl/>
        <w:ind w:firstLine="562"/>
        <w:jc w:val="left"/>
        <w:outlineLvl w:val="2"/>
        <w:rPr>
          <w:b/>
          <w:bCs/>
          <w:kern w:val="0"/>
          <w:sz w:val="28"/>
          <w:lang w:eastAsia="zh-Hans"/>
        </w:rPr>
      </w:pPr>
      <w:r>
        <w:rPr>
          <w:b/>
          <w:bCs/>
          <w:kern w:val="0"/>
          <w:sz w:val="28"/>
          <w:lang w:eastAsia="zh-Hans"/>
        </w:rPr>
        <w:t>（一）开展二氧化碳排放达峰行动</w:t>
      </w:r>
    </w:p>
    <w:p>
      <w:pPr>
        <w:pStyle w:val="16"/>
        <w:spacing w:beforeLines="0" w:afterLines="0"/>
        <w:ind w:firstLine="480"/>
        <w:jc w:val="both"/>
        <w:rPr>
          <w:rFonts w:ascii="Times New Roman" w:hAnsi="Times New Roman" w:eastAsia="宋体"/>
          <w:sz w:val="24"/>
        </w:rPr>
      </w:pPr>
      <w:r>
        <w:rPr>
          <w:rFonts w:ascii="Times New Roman" w:hAnsi="Times New Roman" w:eastAsia="宋体"/>
          <w:sz w:val="24"/>
        </w:rPr>
        <w:t>制定实施二氧化碳排放达峰行动方案，实施以二氧化碳排放强度控制为主、二氧化碳排放总量为辅的制度。分解落实省、市碳达峰目标任务，明确各重点行业二氧化碳排放达峰目标，强化各领域</w:t>
      </w:r>
      <w:r>
        <w:rPr>
          <w:rFonts w:hint="eastAsia" w:ascii="Times New Roman" w:hAnsi="Times New Roman" w:eastAsia="宋体"/>
          <w:sz w:val="24"/>
        </w:rPr>
        <w:t>、</w:t>
      </w:r>
      <w:r>
        <w:rPr>
          <w:rFonts w:ascii="Times New Roman" w:hAnsi="Times New Roman" w:eastAsia="宋体"/>
          <w:sz w:val="24"/>
        </w:rPr>
        <w:t>各层级的贯彻落实。建立碳峰值倒逼机制，制定具体的达峰时间表和路线图，争取尽早</w:t>
      </w:r>
      <w:r>
        <w:rPr>
          <w:rFonts w:hint="eastAsia" w:ascii="Times New Roman" w:hAnsi="Times New Roman" w:eastAsia="宋体"/>
          <w:sz w:val="24"/>
        </w:rPr>
        <w:t>实现碳</w:t>
      </w:r>
      <w:r>
        <w:rPr>
          <w:rFonts w:ascii="Times New Roman" w:hAnsi="Times New Roman" w:eastAsia="宋体"/>
          <w:sz w:val="24"/>
        </w:rPr>
        <w:t>达峰。深化低碳试点示范，开展低碳社区试点、近零碳排放示范工程建设，探索建立碳中和示范区。在建材等行业领域实施减污降碳行动，尽早实现二氧化碳排放达峰。</w:t>
      </w:r>
      <w:r>
        <w:rPr>
          <w:rFonts w:hint="eastAsia" w:ascii="Times New Roman" w:hAnsi="Times New Roman" w:eastAsia="宋体"/>
          <w:sz w:val="24"/>
        </w:rPr>
        <w:t xml:space="preserve"> </w:t>
      </w:r>
    </w:p>
    <w:p>
      <w:pPr>
        <w:pStyle w:val="16"/>
        <w:spacing w:beforeLines="0" w:afterLines="0"/>
        <w:ind w:firstLine="480"/>
        <w:jc w:val="both"/>
        <w:rPr>
          <w:rFonts w:ascii="Times New Roman" w:hAnsi="Times New Roman" w:eastAsia="宋体"/>
          <w:sz w:val="24"/>
        </w:rPr>
      </w:pPr>
      <w:r>
        <w:rPr>
          <w:rFonts w:hint="eastAsia" w:ascii="Times New Roman" w:hAnsi="Times New Roman" w:eastAsia="宋体"/>
          <w:sz w:val="24"/>
        </w:rPr>
        <w:t>协同推进降碳、减污、扩绿、增长，全面提高环境治理综合效能，将碳达峰碳中和要求纳入“三线一单”生态环境分区管控体系，增强区域环境质量改善目标对能源和产业布局的引导作用。坚决遏制“两高”项目盲目发展，推动能源绿色低碳转型。壮大污染治理、固体废物资源化利用、环境监测等节能环保装备产业，加快节能环保服务业发展，鼓励向价值链高端延伸。加快推进工业、交通、农业、城乡建设等领域协同增效，积极探索减污降碳协同增效的有效模式，助力全省实现绿色低碳高质量发展目标。</w:t>
      </w:r>
    </w:p>
    <w:p>
      <w:pPr>
        <w:widowControl/>
        <w:ind w:firstLine="562"/>
        <w:jc w:val="left"/>
        <w:outlineLvl w:val="2"/>
        <w:rPr>
          <w:b/>
          <w:bCs/>
          <w:kern w:val="0"/>
          <w:sz w:val="28"/>
          <w:lang w:eastAsia="zh-Hans"/>
        </w:rPr>
      </w:pPr>
      <w:r>
        <w:rPr>
          <w:b/>
          <w:bCs/>
          <w:kern w:val="0"/>
          <w:sz w:val="28"/>
          <w:lang w:eastAsia="zh-Hans"/>
        </w:rPr>
        <w:t>（二）控制温室气体排放</w:t>
      </w:r>
    </w:p>
    <w:p>
      <w:pPr>
        <w:pStyle w:val="16"/>
        <w:spacing w:beforeLines="0" w:afterLines="0"/>
        <w:ind w:firstLine="480"/>
        <w:rPr>
          <w:rFonts w:ascii="Times New Roman" w:hAnsi="Times New Roman" w:eastAsia="宋体"/>
          <w:sz w:val="24"/>
        </w:rPr>
      </w:pPr>
      <w:r>
        <w:rPr>
          <w:rFonts w:ascii="Times New Roman" w:hAnsi="Times New Roman" w:eastAsia="宋体"/>
          <w:sz w:val="24"/>
        </w:rPr>
        <w:t>控制工业行业二氧化碳排放，升级能源、建材、化工领域工艺技术，推广水泥生产原料替代技术，鼓励利用转炉渣等非碳酸盐工业固体废物作为原辅料生产水泥，推动建筑、化工等行业开展全流程二氧化碳减排示范工程。持续提高新建建筑和基础设施节能标准，加快推进超低能耗、近零能耗、低碳建筑发展。</w:t>
      </w:r>
      <w:r>
        <w:rPr>
          <w:rFonts w:hint="eastAsia" w:ascii="Times New Roman" w:hAnsi="Times New Roman" w:eastAsia="宋体"/>
          <w:sz w:val="24"/>
        </w:rPr>
        <w:t>加快传统农房建造方式转型，推动装配式建筑向农村地区推广，助力建筑业实现碳达峰、碳中和目标。</w:t>
      </w:r>
      <w:r>
        <w:rPr>
          <w:rFonts w:ascii="Times New Roman" w:hAnsi="Times New Roman" w:eastAsia="宋体"/>
          <w:sz w:val="24"/>
        </w:rPr>
        <w:t>实施全氟化碳等含氟温室气体和氧化亚氮排放控制，推广六氟化硫替代技术。加强标准化规模种养，控制农田和畜禽养殖甲烷和氧化亚氮排放。加强污水处理厂和垃圾填埋场甲烷排放控制和回收利用。</w:t>
      </w:r>
    </w:p>
    <w:p>
      <w:pPr>
        <w:widowControl/>
        <w:ind w:firstLine="562"/>
        <w:jc w:val="left"/>
        <w:outlineLvl w:val="2"/>
        <w:rPr>
          <w:b/>
          <w:bCs/>
          <w:kern w:val="0"/>
          <w:sz w:val="28"/>
          <w:lang w:eastAsia="zh-Hans"/>
        </w:rPr>
      </w:pPr>
      <w:r>
        <w:rPr>
          <w:b/>
          <w:bCs/>
          <w:kern w:val="0"/>
          <w:sz w:val="28"/>
          <w:lang w:eastAsia="zh-Hans"/>
        </w:rPr>
        <w:t>（三）主动适应气候变化</w:t>
      </w:r>
    </w:p>
    <w:bookmarkEnd w:id="125"/>
    <w:p>
      <w:pPr>
        <w:ind w:firstLine="480"/>
        <w:rPr>
          <w:rFonts w:eastAsiaTheme="minorEastAsia"/>
        </w:rPr>
      </w:pPr>
      <w:bookmarkStart w:id="126" w:name="_Toc7782"/>
      <w:r>
        <w:rPr>
          <w:rFonts w:eastAsiaTheme="minorEastAsia"/>
        </w:rPr>
        <w:t>制定实施适应气候变化方案，推动适应气候变化纳入经济社会发展规划，并与可持续发展、生态环境保护、基础设施建设等有机结合，构建适应气候变化工作新格局。在农业、林业、水资源、基础设施等重点领域积极开展适应气候变化行动。加强气候变化风险评估与应对，识别气候变化对敏感区水资源保障、粮食生产、城乡环境、人体健康、生态安全及重大工程的影响，加强气候变化风险评估与应对，提升极端气候、地质灾害等风险应对能力。提升对城乡极端气候事件的监测预警、防灾减灾风险管控能力，主动适应气候变化。</w:t>
      </w:r>
    </w:p>
    <w:p>
      <w:pPr>
        <w:widowControl/>
        <w:ind w:firstLine="562"/>
        <w:jc w:val="left"/>
        <w:outlineLvl w:val="2"/>
        <w:rPr>
          <w:b/>
          <w:bCs/>
          <w:kern w:val="0"/>
          <w:sz w:val="28"/>
          <w:lang w:eastAsia="zh-Hans"/>
        </w:rPr>
      </w:pPr>
      <w:r>
        <w:rPr>
          <w:b/>
          <w:bCs/>
          <w:kern w:val="0"/>
          <w:sz w:val="28"/>
          <w:lang w:eastAsia="zh-Hans"/>
        </w:rPr>
        <w:t>（四）强化应对气候变化管理</w:t>
      </w:r>
    </w:p>
    <w:p>
      <w:pPr>
        <w:ind w:firstLine="480"/>
        <w:rPr>
          <w:rFonts w:eastAsiaTheme="minorEastAsia"/>
          <w:bCs/>
        </w:rPr>
      </w:pPr>
      <w:r>
        <w:rPr>
          <w:rFonts w:eastAsiaTheme="minorEastAsia"/>
          <w:bCs/>
        </w:rPr>
        <w:t>开展温室气体统计核算工作，编制温室气体排放清单。加强单位地区生产总值二氧化碳排放降低目标管理，做好目标分解和定期评估工作。将应对气候变化要求纳入</w:t>
      </w:r>
      <w:r>
        <w:rPr>
          <w:rFonts w:asciiTheme="minorEastAsia" w:hAnsiTheme="minorEastAsia" w:eastAsiaTheme="minorEastAsia"/>
          <w:bCs/>
        </w:rPr>
        <w:t>“</w:t>
      </w:r>
      <w:r>
        <w:rPr>
          <w:rFonts w:eastAsiaTheme="minorEastAsia"/>
          <w:bCs/>
        </w:rPr>
        <w:t>三线一单</w:t>
      </w:r>
      <w:r>
        <w:rPr>
          <w:rFonts w:asciiTheme="minorEastAsia" w:hAnsiTheme="minorEastAsia" w:eastAsiaTheme="minorEastAsia"/>
          <w:bCs/>
        </w:rPr>
        <w:t>”</w:t>
      </w:r>
      <w:r>
        <w:rPr>
          <w:rFonts w:eastAsiaTheme="minorEastAsia"/>
          <w:bCs/>
        </w:rPr>
        <w:t>生态环境分区管控体系，通过规划环评、项目环评推动区域、行业和企业落实煤炭消费削减替代、温室气体排放控制等政策要求，推动将气候变化影响纳入环境影响评价。推动应对气候变化与环境污染防治统筹融合、协同增效，推进多污染物协同控制。</w:t>
      </w:r>
    </w:p>
    <w:bookmarkEnd w:id="126"/>
    <w:p>
      <w:pPr>
        <w:pStyle w:val="1336"/>
        <w:spacing w:before="163" w:after="163"/>
      </w:pPr>
      <w:bookmarkStart w:id="127" w:name="_Toc139894239"/>
      <w:bookmarkStart w:id="128" w:name="_Toc139894283"/>
      <w:bookmarkStart w:id="129" w:name="_Toc139894367"/>
      <w:bookmarkStart w:id="130" w:name="_Toc19711"/>
      <w:r>
        <w:t>二、</w:t>
      </w:r>
      <w:r>
        <w:rPr>
          <w:rFonts w:hint="eastAsia"/>
        </w:rPr>
        <w:t>强化大气污染</w:t>
      </w:r>
      <w:bookmarkEnd w:id="127"/>
      <w:bookmarkEnd w:id="128"/>
      <w:bookmarkEnd w:id="129"/>
      <w:r>
        <w:rPr>
          <w:rFonts w:hint="eastAsia"/>
        </w:rPr>
        <w:t>防治</w:t>
      </w:r>
      <w:bookmarkEnd w:id="130"/>
    </w:p>
    <w:p>
      <w:pPr>
        <w:widowControl/>
        <w:ind w:firstLine="562"/>
        <w:jc w:val="left"/>
        <w:outlineLvl w:val="2"/>
        <w:rPr>
          <w:b/>
          <w:bCs/>
          <w:kern w:val="0"/>
          <w:sz w:val="28"/>
          <w:lang w:eastAsia="zh-Hans"/>
        </w:rPr>
      </w:pPr>
      <w:bookmarkStart w:id="131" w:name="_Toc7003"/>
      <w:r>
        <w:rPr>
          <w:b/>
          <w:bCs/>
          <w:kern w:val="0"/>
          <w:sz w:val="28"/>
          <w:lang w:eastAsia="zh-Hans"/>
        </w:rPr>
        <w:t>（一）强化细颗粒物和臭氧协同控制</w:t>
      </w:r>
    </w:p>
    <w:p>
      <w:pPr>
        <w:ind w:firstLine="476"/>
        <w:rPr>
          <w:rFonts w:eastAsiaTheme="minorEastAsia"/>
          <w:bCs/>
        </w:rPr>
      </w:pPr>
      <w:r>
        <w:rPr>
          <w:spacing w:val="-1"/>
        </w:rPr>
        <w:t>推动PM</w:t>
      </w:r>
      <w:r>
        <w:rPr>
          <w:spacing w:val="-1"/>
          <w:position w:val="-3"/>
          <w:vertAlign w:val="subscript"/>
        </w:rPr>
        <w:t>2.5</w:t>
      </w:r>
      <w:r>
        <w:rPr>
          <w:spacing w:val="-1"/>
        </w:rPr>
        <w:t>浓度持续下</w:t>
      </w:r>
      <w:r>
        <w:t>降</w:t>
      </w:r>
      <w:r>
        <w:rPr>
          <w:spacing w:val="-20"/>
        </w:rPr>
        <w:t>，</w:t>
      </w:r>
      <w:r>
        <w:t>有效遏制O</w:t>
      </w:r>
      <w:r>
        <w:rPr>
          <w:vertAlign w:val="subscript"/>
        </w:rPr>
        <w:t>3</w:t>
      </w:r>
      <w:r>
        <w:t>浓度增长趋势</w:t>
      </w:r>
      <w:r>
        <w:rPr>
          <w:spacing w:val="-20"/>
        </w:rPr>
        <w:t>。</w:t>
      </w:r>
      <w:r>
        <w:t>科学制定</w:t>
      </w:r>
      <w:r>
        <w:rPr>
          <w:lang w:eastAsia="zh-Hans"/>
        </w:rPr>
        <w:t>滕州</w:t>
      </w:r>
      <w:r>
        <w:t>市空气质量全面改善行动计划</w:t>
      </w:r>
      <w:r>
        <w:rPr>
          <w:spacing w:val="-31"/>
        </w:rPr>
        <w:t>，</w:t>
      </w:r>
      <w:r>
        <w:t>明确达标</w:t>
      </w:r>
      <w:r>
        <w:rPr>
          <w:spacing w:val="-122"/>
        </w:rPr>
        <w:t>、</w:t>
      </w:r>
      <w:r>
        <w:t>路线图和时间表</w:t>
      </w:r>
      <w:r>
        <w:rPr>
          <w:lang w:eastAsia="zh-Hans"/>
        </w:rPr>
        <w:t>。借</w:t>
      </w:r>
      <w:r>
        <w:t>助生态环境部组织开展PM</w:t>
      </w:r>
      <w:r>
        <w:rPr>
          <w:vertAlign w:val="subscript"/>
        </w:rPr>
        <w:t>2.5</w:t>
      </w:r>
      <w:r>
        <w:t>和O</w:t>
      </w:r>
      <w:r>
        <w:rPr>
          <w:vertAlign w:val="subscript"/>
        </w:rPr>
        <w:t>3</w:t>
      </w:r>
      <w:r>
        <w:t>污染</w:t>
      </w:r>
      <w:r>
        <w:rPr>
          <w:spacing w:val="14"/>
        </w:rPr>
        <w:t>协同防控</w:t>
      </w:r>
      <w:r>
        <w:rPr>
          <w:rFonts w:asciiTheme="minorEastAsia" w:hAnsiTheme="minorEastAsia" w:eastAsiaTheme="minorEastAsia"/>
          <w:spacing w:val="14"/>
        </w:rPr>
        <w:t>“</w:t>
      </w:r>
      <w:r>
        <w:rPr>
          <w:spacing w:val="14"/>
        </w:rPr>
        <w:t>一市一策</w:t>
      </w:r>
      <w:r>
        <w:rPr>
          <w:rFonts w:asciiTheme="minorEastAsia" w:hAnsiTheme="minorEastAsia" w:eastAsiaTheme="minorEastAsia"/>
          <w:spacing w:val="14"/>
        </w:rPr>
        <w:t>”</w:t>
      </w:r>
      <w:r>
        <w:rPr>
          <w:spacing w:val="14"/>
        </w:rPr>
        <w:t>驻点跟踪研究和</w:t>
      </w:r>
      <w:r>
        <w:rPr>
          <w:spacing w:val="13"/>
        </w:rPr>
        <w:t>技术指导</w:t>
      </w:r>
      <w:r>
        <w:rPr>
          <w:spacing w:val="14"/>
        </w:rPr>
        <w:t>，</w:t>
      </w:r>
      <w:r>
        <w:rPr>
          <w:spacing w:val="13"/>
        </w:rPr>
        <w:t>统筹考虑</w:t>
      </w:r>
      <w:r>
        <w:t>PM</w:t>
      </w:r>
      <w:r>
        <w:rPr>
          <w:vertAlign w:val="subscript"/>
        </w:rPr>
        <w:t>2.5</w:t>
      </w:r>
      <w:r>
        <w:t>和O</w:t>
      </w:r>
      <w:r>
        <w:rPr>
          <w:vertAlign w:val="subscript"/>
        </w:rPr>
        <w:t>3</w:t>
      </w:r>
      <w:r>
        <w:t>污染特征</w:t>
      </w:r>
      <w:r>
        <w:rPr>
          <w:spacing w:val="-24"/>
        </w:rPr>
        <w:t>，</w:t>
      </w:r>
      <w:r>
        <w:t>加强重点区域</w:t>
      </w:r>
      <w:r>
        <w:rPr>
          <w:spacing w:val="-24"/>
        </w:rPr>
        <w:t>、</w:t>
      </w:r>
      <w:r>
        <w:t>重点时段</w:t>
      </w:r>
      <w:r>
        <w:rPr>
          <w:spacing w:val="-24"/>
        </w:rPr>
        <w:t>、</w:t>
      </w:r>
      <w:r>
        <w:t>重点领域</w:t>
      </w:r>
      <w:r>
        <w:rPr>
          <w:spacing w:val="-24"/>
        </w:rPr>
        <w:t>、</w:t>
      </w:r>
      <w:r>
        <w:t>重点行业治理</w:t>
      </w:r>
      <w:r>
        <w:rPr>
          <w:spacing w:val="-45"/>
        </w:rPr>
        <w:t>，</w:t>
      </w:r>
      <w:r>
        <w:t>强化分区分时分类差异化精细化协同管控</w:t>
      </w:r>
      <w:r>
        <w:rPr>
          <w:spacing w:val="-45"/>
        </w:rPr>
        <w:t>。</w:t>
      </w:r>
      <w:r>
        <w:t>在夏季以石化</w:t>
      </w:r>
      <w:r>
        <w:rPr>
          <w:spacing w:val="-23"/>
        </w:rPr>
        <w:t>、</w:t>
      </w:r>
      <w:r>
        <w:t>化工</w:t>
      </w:r>
      <w:r>
        <w:rPr>
          <w:spacing w:val="-23"/>
        </w:rPr>
        <w:t>、</w:t>
      </w:r>
      <w:r>
        <w:t>工业涂装</w:t>
      </w:r>
      <w:r>
        <w:rPr>
          <w:spacing w:val="-23"/>
        </w:rPr>
        <w:t>、</w:t>
      </w:r>
      <w:r>
        <w:t>包装印刷等行业为主</w:t>
      </w:r>
      <w:r>
        <w:rPr>
          <w:spacing w:val="-22"/>
        </w:rPr>
        <w:t>，</w:t>
      </w:r>
      <w:r>
        <w:t>重点控制氮氧化物</w:t>
      </w:r>
      <w:r>
        <w:rPr>
          <w:spacing w:val="-44"/>
        </w:rPr>
        <w:t>、</w:t>
      </w:r>
      <w:r>
        <w:t>甲苯</w:t>
      </w:r>
      <w:r>
        <w:rPr>
          <w:spacing w:val="-44"/>
        </w:rPr>
        <w:t>、</w:t>
      </w:r>
      <w:r>
        <w:t>二甲苯等PM</w:t>
      </w:r>
      <w:r>
        <w:rPr>
          <w:vertAlign w:val="subscript"/>
        </w:rPr>
        <w:t>2.5</w:t>
      </w:r>
      <w:r>
        <w:t>和O</w:t>
      </w:r>
      <w:r>
        <w:rPr>
          <w:vertAlign w:val="subscript"/>
        </w:rPr>
        <w:t>3</w:t>
      </w:r>
      <w:r>
        <w:t>前体物</w:t>
      </w:r>
      <w:r>
        <w:rPr>
          <w:rStyle w:val="64"/>
          <w:b w:val="0"/>
          <w:lang w:eastAsia="zh-Hans"/>
        </w:rPr>
        <w:t>；</w:t>
      </w:r>
      <w:r>
        <w:rPr>
          <w:rStyle w:val="64"/>
          <w:b w:val="0"/>
        </w:rPr>
        <w:t>在秋冬季以移动源、燃煤污染管控为主</w:t>
      </w:r>
      <w:r>
        <w:rPr>
          <w:rStyle w:val="64"/>
          <w:b w:val="0"/>
          <w:lang w:eastAsia="zh-Hans"/>
        </w:rPr>
        <w:t>，</w:t>
      </w:r>
      <w:r>
        <w:rPr>
          <w:rStyle w:val="64"/>
          <w:b w:val="0"/>
        </w:rPr>
        <w:t>重点监管不利扩散条件下颗粒物、氮氧化物、二氧化硫、氨排放。</w:t>
      </w:r>
    </w:p>
    <w:p>
      <w:pPr>
        <w:widowControl/>
        <w:ind w:firstLine="562"/>
        <w:jc w:val="left"/>
        <w:outlineLvl w:val="2"/>
        <w:rPr>
          <w:b/>
          <w:bCs/>
          <w:kern w:val="0"/>
          <w:sz w:val="28"/>
          <w:lang w:eastAsia="zh-Hans"/>
        </w:rPr>
      </w:pPr>
      <w:r>
        <w:rPr>
          <w:b/>
          <w:bCs/>
          <w:kern w:val="0"/>
          <w:sz w:val="28"/>
          <w:lang w:eastAsia="zh-Hans"/>
        </w:rPr>
        <w:t>（二）强化重污染天气应对和区域大气污染联防联控</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优化重污染天气应对体系。</w:t>
      </w:r>
      <w:r>
        <w:rPr>
          <w:rStyle w:val="64"/>
          <w:rFonts w:ascii="Times New Roman" w:hAnsi="Times New Roman" w:cs="Times New Roman"/>
          <w:b w:val="0"/>
        </w:rPr>
        <w:t>完善PM</w:t>
      </w:r>
      <w:r>
        <w:rPr>
          <w:rStyle w:val="64"/>
          <w:rFonts w:ascii="Times New Roman" w:hAnsi="Times New Roman" w:cs="Times New Roman"/>
          <w:b w:val="0"/>
          <w:vertAlign w:val="subscript"/>
        </w:rPr>
        <w:t>2.5</w:t>
      </w:r>
      <w:r>
        <w:rPr>
          <w:rStyle w:val="64"/>
          <w:rFonts w:ascii="Times New Roman" w:hAnsi="Times New Roman" w:cs="Times New Roman"/>
          <w:b w:val="0"/>
        </w:rPr>
        <w:t>和O</w:t>
      </w:r>
      <w:r>
        <w:rPr>
          <w:rStyle w:val="64"/>
          <w:rFonts w:ascii="Times New Roman" w:hAnsi="Times New Roman" w:cs="Times New Roman"/>
          <w:b w:val="0"/>
          <w:vertAlign w:val="subscript"/>
        </w:rPr>
        <w:t>3</w:t>
      </w:r>
      <w:r>
        <w:rPr>
          <w:rStyle w:val="64"/>
          <w:rFonts w:ascii="Times New Roman" w:hAnsi="Times New Roman" w:cs="Times New Roman"/>
          <w:b w:val="0"/>
        </w:rPr>
        <w:t>重污染天气预警应急响应机制。探索轻、中度污染天气和臭氧重污染天气应对机制，坚决落实国家重污染天气重点行业绩效分级及减排措施</w:t>
      </w:r>
      <w:r>
        <w:rPr>
          <w:rStyle w:val="64"/>
          <w:rFonts w:ascii="Times New Roman" w:hAnsi="Times New Roman" w:cs="Times New Roman"/>
          <w:b w:val="0"/>
          <w:lang w:eastAsia="zh-Hans"/>
        </w:rPr>
        <w:t>，</w:t>
      </w:r>
      <w:r>
        <w:rPr>
          <w:rStyle w:val="64"/>
          <w:rFonts w:ascii="Times New Roman" w:hAnsi="Times New Roman" w:cs="Times New Roman"/>
          <w:b w:val="0"/>
        </w:rPr>
        <w:t>针对不同治理水平和排放强度的工业企业，分类施策，避免</w:t>
      </w:r>
      <w:r>
        <w:rPr>
          <w:rStyle w:val="64"/>
          <w:rFonts w:cs="Times New Roman" w:asciiTheme="minorEastAsia" w:hAnsiTheme="minorEastAsia" w:eastAsiaTheme="minorEastAsia"/>
          <w:b w:val="0"/>
        </w:rPr>
        <w:t>“</w:t>
      </w:r>
      <w:r>
        <w:rPr>
          <w:rStyle w:val="64"/>
          <w:rFonts w:ascii="Times New Roman" w:hAnsi="Times New Roman" w:cs="Times New Roman"/>
          <w:b w:val="0"/>
        </w:rPr>
        <w:t>一刀切</w:t>
      </w:r>
      <w:r>
        <w:rPr>
          <w:rStyle w:val="64"/>
          <w:rFonts w:cs="Times New Roman" w:asciiTheme="minorEastAsia" w:hAnsiTheme="minorEastAsia" w:eastAsiaTheme="minorEastAsia"/>
          <w:b w:val="0"/>
        </w:rPr>
        <w:t>”</w:t>
      </w:r>
      <w:r>
        <w:rPr>
          <w:rStyle w:val="64"/>
          <w:rFonts w:ascii="Times New Roman" w:hAnsi="Times New Roman" w:cs="Times New Roman"/>
          <w:b w:val="0"/>
        </w:rPr>
        <w:t>。完善重污染天气应急减排清单修订工作，推进重污染绩效分级管理规范化、标准化</w:t>
      </w:r>
      <w:r>
        <w:rPr>
          <w:rStyle w:val="64"/>
          <w:rFonts w:ascii="Times New Roman" w:hAnsi="Times New Roman" w:cs="Times New Roman"/>
          <w:b w:val="0"/>
          <w:lang w:eastAsia="zh-Hans"/>
        </w:rPr>
        <w:t>，</w:t>
      </w:r>
      <w:r>
        <w:rPr>
          <w:rStyle w:val="64"/>
          <w:rFonts w:ascii="Times New Roman" w:hAnsi="Times New Roman" w:cs="Times New Roman"/>
          <w:b w:val="0"/>
        </w:rPr>
        <w:t>完善差异化管控机制。严格按照国家、省</w:t>
      </w:r>
      <w:r>
        <w:rPr>
          <w:rStyle w:val="64"/>
          <w:rFonts w:ascii="Times New Roman" w:hAnsi="Times New Roman" w:cs="Times New Roman"/>
          <w:b w:val="0"/>
          <w:lang w:eastAsia="zh-Hans"/>
        </w:rPr>
        <w:t>、市</w:t>
      </w:r>
      <w:r>
        <w:rPr>
          <w:rStyle w:val="64"/>
          <w:rFonts w:ascii="Times New Roman" w:hAnsi="Times New Roman" w:cs="Times New Roman"/>
          <w:b w:val="0"/>
        </w:rPr>
        <w:t>的要求，修订完善重污染天气应急预案，动态更新应急减排清单，组织企业制定</w:t>
      </w:r>
      <w:r>
        <w:rPr>
          <w:rStyle w:val="64"/>
          <w:rFonts w:cs="Times New Roman" w:asciiTheme="minorEastAsia" w:hAnsiTheme="minorEastAsia" w:eastAsiaTheme="minorEastAsia"/>
          <w:b w:val="0"/>
        </w:rPr>
        <w:t>“</w:t>
      </w:r>
      <w:r>
        <w:rPr>
          <w:rStyle w:val="64"/>
          <w:rFonts w:ascii="Times New Roman" w:hAnsi="Times New Roman" w:cs="Times New Roman"/>
          <w:b w:val="0"/>
        </w:rPr>
        <w:t>一厂一策</w:t>
      </w:r>
      <w:r>
        <w:rPr>
          <w:rStyle w:val="64"/>
          <w:rFonts w:cs="Times New Roman" w:asciiTheme="minorEastAsia" w:hAnsiTheme="minorEastAsia" w:eastAsiaTheme="minorEastAsia"/>
          <w:b w:val="0"/>
        </w:rPr>
        <w:t>”</w:t>
      </w:r>
      <w:r>
        <w:rPr>
          <w:rStyle w:val="64"/>
          <w:rFonts w:ascii="Times New Roman" w:hAnsi="Times New Roman" w:cs="Times New Roman"/>
          <w:b w:val="0"/>
        </w:rPr>
        <w:t>减排方案，</w:t>
      </w:r>
      <w:r>
        <w:rPr>
          <w:rStyle w:val="64"/>
          <w:rFonts w:cs="Times New Roman" w:asciiTheme="minorEastAsia" w:hAnsiTheme="minorEastAsia" w:eastAsiaTheme="minorEastAsia"/>
          <w:b w:val="0"/>
        </w:rPr>
        <w:t>“</w:t>
      </w:r>
      <w:r>
        <w:rPr>
          <w:rStyle w:val="64"/>
          <w:rFonts w:ascii="Times New Roman" w:hAnsi="Times New Roman" w:cs="Times New Roman"/>
          <w:b w:val="0"/>
        </w:rPr>
        <w:t>一厂一策</w:t>
      </w:r>
      <w:r>
        <w:rPr>
          <w:rStyle w:val="64"/>
          <w:rFonts w:cs="Times New Roman" w:asciiTheme="minorEastAsia" w:hAnsiTheme="minorEastAsia" w:eastAsiaTheme="minorEastAsia"/>
          <w:b w:val="0"/>
        </w:rPr>
        <w:t>”</w:t>
      </w:r>
      <w:r>
        <w:rPr>
          <w:rStyle w:val="64"/>
          <w:rFonts w:ascii="Times New Roman" w:hAnsi="Times New Roman" w:cs="Times New Roman"/>
          <w:b w:val="0"/>
        </w:rPr>
        <w:t>要落实到具体车间、具体生产线。</w:t>
      </w:r>
    </w:p>
    <w:p>
      <w:pPr>
        <w:ind w:firstLine="482"/>
        <w:rPr>
          <w:rFonts w:eastAsiaTheme="minorEastAsia"/>
          <w:bCs/>
        </w:rPr>
      </w:pPr>
      <w:r>
        <w:rPr>
          <w:rStyle w:val="64"/>
          <w:bCs w:val="0"/>
        </w:rPr>
        <w:t>完善区域大气污染综合治理体系。</w:t>
      </w:r>
      <w:r>
        <w:rPr>
          <w:rStyle w:val="64"/>
          <w:b w:val="0"/>
        </w:rPr>
        <w:t>深化落实京津冀及周边区域大气污染联防联控机制，加强与周边城市等区域合作大气污染联防联控，严格落实相关管控政策和排放标准要求，逐步实现统一规划、统一标准、统一监测、统一执法、统一污染防治措施。积极参与大气污染联防联控和重污染应急联动。健全区域联合执法信息共享平台，实现区域监管数据互联互通，开展区域大气污染专项治理和联合执法。</w:t>
      </w:r>
    </w:p>
    <w:p>
      <w:pPr>
        <w:widowControl/>
        <w:ind w:firstLine="562"/>
        <w:jc w:val="left"/>
        <w:outlineLvl w:val="2"/>
        <w:rPr>
          <w:b/>
          <w:bCs/>
          <w:kern w:val="0"/>
          <w:sz w:val="28"/>
          <w:lang w:eastAsia="zh-Hans"/>
        </w:rPr>
      </w:pPr>
      <w:r>
        <w:rPr>
          <w:b/>
          <w:bCs/>
          <w:kern w:val="0"/>
          <w:sz w:val="28"/>
          <w:lang w:eastAsia="zh-Hans"/>
        </w:rPr>
        <w:t>（三）持续推进涉气污染源治理</w:t>
      </w:r>
    </w:p>
    <w:p>
      <w:pPr>
        <w:ind w:firstLine="482"/>
        <w:rPr>
          <w:rFonts w:eastAsiaTheme="minorEastAsia"/>
          <w:bCs/>
        </w:rPr>
      </w:pPr>
      <w:r>
        <w:rPr>
          <w:rStyle w:val="64"/>
          <w:bCs w:val="0"/>
        </w:rPr>
        <w:t>实施工业污染源全面达标排放计划。</w:t>
      </w:r>
      <w:r>
        <w:rPr>
          <w:rStyle w:val="64"/>
          <w:b w:val="0"/>
        </w:rPr>
        <w:t>全面推进现有涉气工业企业达标排放，实行工业污染源清单制管理模式，以不能稳定达标企业为重点，实施升级改造，制定一厂一策，确保稳定达到排放标准。强化工业企业专项整治行动，重点对煤矿等重点行业开展专项执法检查，对大气污染排放不达标的企业依法实施停产整治。</w:t>
      </w:r>
    </w:p>
    <w:p>
      <w:pPr>
        <w:ind w:firstLine="482"/>
        <w:rPr>
          <w:rFonts w:eastAsiaTheme="minorEastAsia"/>
          <w:bCs/>
        </w:rPr>
      </w:pPr>
      <w:r>
        <w:rPr>
          <w:rStyle w:val="64"/>
          <w:bCs w:val="0"/>
        </w:rPr>
        <w:t>深入推进挥发性有机污染物专项治理。</w:t>
      </w:r>
      <w:r>
        <w:rPr>
          <w:rStyle w:val="64"/>
          <w:b w:val="0"/>
        </w:rPr>
        <w:t>实施挥发性有机物污染防治，建立VOCs排放清单信息库，按行业明确整治方案和要求。实施VOCs排放总量控制，2025年底前，VOCs排放量比2020年减排20</w:t>
      </w:r>
      <w:r>
        <w:rPr>
          <w:rStyle w:val="64"/>
          <w:rFonts w:hint="eastAsia"/>
          <w:b w:val="0"/>
        </w:rPr>
        <w:t>%</w:t>
      </w:r>
      <w:r>
        <w:rPr>
          <w:rStyle w:val="64"/>
          <w:b w:val="0"/>
        </w:rPr>
        <w:t>。石化、化工、包装印刷、工业涂装等重点行业建立完善源头替代、过程管控和末端治理的VOCs全过程控制体系，实施VOCs排放总量控制。</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实施重点行业NOx等污染物深度治理。</w:t>
      </w:r>
      <w:r>
        <w:rPr>
          <w:rStyle w:val="64"/>
          <w:rFonts w:ascii="Times New Roman" w:hAnsi="Times New Roman" w:cs="Times New Roman"/>
          <w:b w:val="0"/>
        </w:rPr>
        <w:t>积极开展焦化、水泥、铸造行业超低排放改造。推进玻璃、陶瓷、铸造、铁合金、有色等行业污染深度治理。加强燃煤机组、锅炉污染治理设施运行管控，确保按照超低排放要求稳定运行。重点涉气排放企业逐步取消烟气旁路，因安全生产无法取消的，安装在线监管系统。</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强化移动源污染治理</w:t>
      </w:r>
      <w:r>
        <w:rPr>
          <w:rStyle w:val="64"/>
          <w:rFonts w:ascii="Times New Roman" w:hAnsi="Times New Roman" w:cs="Times New Roman"/>
          <w:bCs w:val="0"/>
          <w:lang w:eastAsia="zh-Hans"/>
        </w:rPr>
        <w:t>。</w:t>
      </w:r>
      <w:r>
        <w:rPr>
          <w:rStyle w:val="64"/>
          <w:rFonts w:ascii="Times New Roman" w:hAnsi="Times New Roman" w:cs="Times New Roman"/>
          <w:b w:val="0"/>
        </w:rPr>
        <w:t>实施机动车国六排放标准。在城市主要进口、覆盖高排放车辆通行的主要道口安装遥感检车设备</w:t>
      </w:r>
      <w:r>
        <w:rPr>
          <w:rStyle w:val="64"/>
          <w:rFonts w:hint="eastAsia" w:ascii="Times New Roman" w:hAnsi="Times New Roman" w:cs="Times New Roman"/>
          <w:b w:val="0"/>
        </w:rPr>
        <w:t>，</w:t>
      </w:r>
      <w:r>
        <w:rPr>
          <w:rStyle w:val="64"/>
          <w:rFonts w:ascii="Times New Roman" w:hAnsi="Times New Roman" w:cs="Times New Roman"/>
          <w:b w:val="0"/>
        </w:rPr>
        <w:t>建设固定遥测，利用移动式遥感监测设备增加流动遥测，合理补点，增大路面实时监测和抽测能力。坚决提升油品质量。按照国家要求，研究推广在车用汽柴油销售前加入符合环保要求的燃油清净增效剂。组织对生产环节车用汽柴油质量监督抽查，严厉打击生产、销售、使用不合格油品和车用尿素行为。持续推进船舶更新，严格实施船舶大气污染物排放标准，严禁新建不达标船舶进入运输市场。鼓励淘汰使用20年以上的内河航运船舶，依法强制报废超过使用年限的船舶。推广使用电等清洁能源或新能源船舶。</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严格控制扬尘污染</w:t>
      </w:r>
      <w:r>
        <w:rPr>
          <w:rStyle w:val="64"/>
          <w:rFonts w:ascii="Times New Roman" w:hAnsi="Times New Roman" w:cs="Times New Roman"/>
          <w:bCs w:val="0"/>
          <w:lang w:eastAsia="zh-Hans"/>
        </w:rPr>
        <w:t>。</w:t>
      </w:r>
      <w:r>
        <w:rPr>
          <w:rStyle w:val="64"/>
          <w:rFonts w:ascii="Times New Roman" w:hAnsi="Times New Roman" w:cs="Times New Roman"/>
          <w:b w:val="0"/>
        </w:rPr>
        <w:t>建立施工工地扬尘管控清单，将施工工地扬尘污染防治纳入建筑施工安全生产标准化文明施工管理范畴。建筑施工工地全面落实</w:t>
      </w:r>
      <w:r>
        <w:rPr>
          <w:rStyle w:val="64"/>
          <w:rFonts w:cs="Times New Roman" w:asciiTheme="minorEastAsia" w:hAnsiTheme="minorEastAsia" w:eastAsiaTheme="minorEastAsia"/>
          <w:b w:val="0"/>
        </w:rPr>
        <w:t>“</w:t>
      </w:r>
      <w:r>
        <w:rPr>
          <w:rStyle w:val="64"/>
          <w:rFonts w:ascii="Times New Roman" w:hAnsi="Times New Roman" w:cs="Times New Roman"/>
          <w:b w:val="0"/>
        </w:rPr>
        <w:t>八个百分之百</w:t>
      </w:r>
      <w:r>
        <w:rPr>
          <w:rStyle w:val="64"/>
          <w:rFonts w:cs="Times New Roman" w:asciiTheme="minorEastAsia" w:hAnsiTheme="minorEastAsia" w:eastAsiaTheme="minorEastAsia"/>
          <w:b w:val="0"/>
        </w:rPr>
        <w:t>”</w:t>
      </w:r>
      <w:r>
        <w:rPr>
          <w:rStyle w:val="64"/>
          <w:rFonts w:ascii="Times New Roman" w:hAnsi="Times New Roman" w:cs="Times New Roman"/>
          <w:b w:val="0"/>
        </w:rPr>
        <w:t>。推进道路扬尘污染治理</w:t>
      </w:r>
      <w:r>
        <w:rPr>
          <w:rStyle w:val="64"/>
          <w:rFonts w:ascii="Times New Roman" w:hAnsi="Times New Roman" w:cs="Times New Roman"/>
          <w:b w:val="0"/>
          <w:lang w:eastAsia="zh-Hans"/>
        </w:rPr>
        <w:t>，</w:t>
      </w:r>
      <w:r>
        <w:rPr>
          <w:rStyle w:val="64"/>
          <w:rFonts w:ascii="Times New Roman" w:hAnsi="Times New Roman" w:cs="Times New Roman"/>
          <w:b w:val="0"/>
        </w:rPr>
        <w:t>大力推进道路清扫保洁机械化作业，提高城市道路机械化清扫和洒水比例。</w:t>
      </w:r>
      <w:r>
        <w:rPr>
          <w:rStyle w:val="64"/>
          <w:rFonts w:hint="eastAsia" w:ascii="Times New Roman" w:hAnsi="Times New Roman" w:cs="Times New Roman"/>
          <w:b w:val="0"/>
        </w:rPr>
        <w:t>加</w:t>
      </w:r>
      <w:r>
        <w:rPr>
          <w:rStyle w:val="64"/>
          <w:rFonts w:ascii="Times New Roman" w:hAnsi="Times New Roman" w:cs="Times New Roman"/>
          <w:b w:val="0"/>
        </w:rPr>
        <w:t>强渣土车辆管控，严格落实渣土运输车辆全密闭化措施，规范渣土运输车辆通行的时间和路线，对不符合要求上路行驶的按上限处罚并取消渣土运输资格。</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强化生活源大气污染治理</w:t>
      </w:r>
      <w:r>
        <w:rPr>
          <w:rStyle w:val="64"/>
          <w:rFonts w:ascii="Times New Roman" w:hAnsi="Times New Roman" w:cs="Times New Roman"/>
          <w:bCs w:val="0"/>
          <w:lang w:eastAsia="zh-Hans"/>
        </w:rPr>
        <w:t>。</w:t>
      </w:r>
      <w:r>
        <w:rPr>
          <w:rStyle w:val="64"/>
          <w:rFonts w:ascii="Times New Roman" w:hAnsi="Times New Roman" w:cs="Times New Roman"/>
          <w:b w:val="0"/>
        </w:rPr>
        <w:t>开展城区餐饮业油烟污染综合整治，建成区营业面积100平方米以上的餐饮经营场所安装高效油烟净化设施，并试点在部分大型餐饮场所安装在线监控设施，严格监控油烟净化效果。禁止露天焚烧行为，切实加强秸秆禁烧管控，强化对镇、街道秸秆禁烧的监控和考核。</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加强其它涉气污染物治理。</w:t>
      </w:r>
      <w:r>
        <w:rPr>
          <w:rStyle w:val="64"/>
          <w:rFonts w:ascii="Times New Roman" w:hAnsi="Times New Roman" w:cs="Times New Roman"/>
          <w:b w:val="0"/>
        </w:rPr>
        <w:t>加强消耗臭氧层物质和氢氟碳化物管控，对消耗臭氧层物质的生产、使用实行总量控制和配额管理，</w:t>
      </w:r>
      <w:r>
        <w:rPr>
          <w:rStyle w:val="64"/>
          <w:rFonts w:hint="eastAsia" w:ascii="Times New Roman" w:hAnsi="Times New Roman" w:cs="Times New Roman"/>
          <w:b w:val="0"/>
        </w:rPr>
        <w:t>对</w:t>
      </w:r>
      <w:r>
        <w:rPr>
          <w:rStyle w:val="64"/>
          <w:rFonts w:ascii="Times New Roman" w:hAnsi="Times New Roman" w:cs="Times New Roman"/>
          <w:b w:val="0"/>
        </w:rPr>
        <w:t>含氢氯氟烃（HCFC</w:t>
      </w:r>
      <w:r>
        <w:rPr>
          <w:rStyle w:val="64"/>
          <w:rFonts w:hint="eastAsia" w:ascii="Times New Roman" w:hAnsi="Times New Roman" w:cs="Times New Roman"/>
          <w:b w:val="0"/>
        </w:rPr>
        <w:t>s</w:t>
      </w:r>
      <w:r>
        <w:rPr>
          <w:rStyle w:val="64"/>
          <w:rFonts w:ascii="Times New Roman" w:hAnsi="Times New Roman" w:cs="Times New Roman"/>
          <w:b w:val="0"/>
        </w:rPr>
        <w:t>）实施淘汰和替代，鼓励、支持消耗臭氧层物质替代品和替代技术的科学研究、技术开发和推广应用。持续推动三氟甲烷的销毁和转化。加强恶臭、有毒有害大气污染物防控，对恶臭投诉较多的重点企业和园区安装电子鼻监测。加大其它涉气污染物的治理力度，强化多污染物协同控制。基于现有烟气污染物控制装备，推进工业烟气中三氧化硫、汞、铅、砷、镉等多种非常规污染物强效脱除技术的研发应用。加强生物质锅炉燃料品质及排放管控，禁止掺烧垃圾、工业固废，对污染物排放不能稳定达标的生物质锅炉进行整改或淘汰。</w:t>
      </w:r>
    </w:p>
    <w:p>
      <w:pPr>
        <w:ind w:firstLine="482"/>
        <w:rPr>
          <w:rFonts w:eastAsiaTheme="minorEastAsia"/>
          <w:bCs/>
        </w:rPr>
      </w:pPr>
      <w:r>
        <w:rPr>
          <w:rStyle w:val="64"/>
          <w:bCs w:val="0"/>
        </w:rPr>
        <w:t>加强大气污染监管执法力度</w:t>
      </w:r>
      <w:r>
        <w:rPr>
          <w:rStyle w:val="64"/>
          <w:bCs w:val="0"/>
          <w:lang w:eastAsia="zh-Hans"/>
        </w:rPr>
        <w:t>。</w:t>
      </w:r>
      <w:r>
        <w:rPr>
          <w:rStyle w:val="64"/>
          <w:b w:val="0"/>
        </w:rPr>
        <w:t>组织制定</w:t>
      </w:r>
      <w:r>
        <w:rPr>
          <w:rStyle w:val="64"/>
          <w:b w:val="0"/>
          <w:lang w:eastAsia="zh-Hans"/>
        </w:rPr>
        <w:t>市</w:t>
      </w:r>
      <w:r>
        <w:rPr>
          <w:rStyle w:val="64"/>
          <w:b w:val="0"/>
        </w:rPr>
        <w:t>、街道、社区三级网格污染源清单，着力构建网格化环境监管的信息化管理系统，完善网格化监管体系。加强环境执法能力建设。持续推广</w:t>
      </w:r>
      <w:r>
        <w:rPr>
          <w:rStyle w:val="64"/>
          <w:rFonts w:hint="eastAsia" w:asciiTheme="minorEastAsia" w:hAnsiTheme="minorEastAsia" w:eastAsiaTheme="minorEastAsia"/>
          <w:b w:val="0"/>
          <w:lang w:eastAsia="zh-CN"/>
        </w:rPr>
        <w:t>“双随机、一公开”</w:t>
      </w:r>
      <w:r>
        <w:rPr>
          <w:rStyle w:val="64"/>
          <w:b w:val="0"/>
        </w:rPr>
        <w:t>等环境监管方式，加强工业无组织排放、VOCs污染治理等环境执法。完善</w:t>
      </w:r>
      <w:r>
        <w:rPr>
          <w:rStyle w:val="64"/>
          <w:b w:val="0"/>
          <w:lang w:eastAsia="zh-Hans"/>
        </w:rPr>
        <w:t>市</w:t>
      </w:r>
      <w:r>
        <w:rPr>
          <w:rStyle w:val="64"/>
          <w:b w:val="0"/>
        </w:rPr>
        <w:t>级环境保护督查机制，突出重点时段和重点区域，配合国家、省、市开展秋冬季大气污染强化督查，加强污染源执法监管。</w:t>
      </w:r>
    </w:p>
    <w:p>
      <w:pPr>
        <w:pStyle w:val="1336"/>
        <w:spacing w:before="163" w:after="163"/>
      </w:pPr>
      <w:bookmarkStart w:id="132" w:name="_Toc139894368"/>
      <w:bookmarkStart w:id="133" w:name="_Toc139894240"/>
      <w:bookmarkStart w:id="134" w:name="_Toc139894284"/>
      <w:bookmarkStart w:id="135" w:name="_Toc3330"/>
      <w:r>
        <w:t>三、</w:t>
      </w:r>
      <w:bookmarkEnd w:id="131"/>
      <w:r>
        <w:t>深化三水统筹</w:t>
      </w:r>
      <w:bookmarkEnd w:id="132"/>
      <w:bookmarkEnd w:id="133"/>
      <w:bookmarkEnd w:id="134"/>
      <w:bookmarkEnd w:id="135"/>
    </w:p>
    <w:p>
      <w:pPr>
        <w:widowControl/>
        <w:ind w:firstLine="562"/>
        <w:jc w:val="left"/>
        <w:outlineLvl w:val="2"/>
        <w:rPr>
          <w:b/>
          <w:bCs/>
          <w:kern w:val="0"/>
          <w:sz w:val="28"/>
          <w:lang w:eastAsia="zh-Hans"/>
        </w:rPr>
      </w:pPr>
      <w:bookmarkStart w:id="136" w:name="_Toc6398"/>
      <w:r>
        <w:rPr>
          <w:b/>
          <w:bCs/>
          <w:kern w:val="0"/>
          <w:sz w:val="28"/>
          <w:lang w:eastAsia="zh-Hans"/>
        </w:rPr>
        <w:t>（一）健全水生态环境管理机制</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加强水资源、水生态、水环境统筹管理。</w:t>
      </w:r>
      <w:r>
        <w:rPr>
          <w:rStyle w:val="64"/>
          <w:rFonts w:ascii="Times New Roman" w:hAnsi="Times New Roman" w:cs="Times New Roman"/>
          <w:b w:val="0"/>
        </w:rPr>
        <w:t>坚持以水定城、</w:t>
      </w:r>
      <w:r>
        <w:rPr>
          <w:rStyle w:val="64"/>
          <w:rFonts w:ascii="Times New Roman" w:hAnsi="Times New Roman" w:cs="Times New Roman"/>
          <w:b w:val="0"/>
          <w:lang w:eastAsia="zh-Hans"/>
        </w:rPr>
        <w:t>以</w:t>
      </w:r>
      <w:r>
        <w:rPr>
          <w:rStyle w:val="64"/>
          <w:rFonts w:ascii="Times New Roman" w:hAnsi="Times New Roman" w:cs="Times New Roman"/>
          <w:b w:val="0"/>
        </w:rPr>
        <w:t>水定地、以水定人、以水定产，建立水资源刚性约束制度，实行水资源消耗总量和强度双控，确立水资源开发利用和用水效率控制红线。提高地表水利用效率，合理控制地下水开采用量。实施流域生态环境资源承载能力监测预警管理。2025年底前，单位国内生产总值用水量下降18%以上。</w:t>
      </w:r>
    </w:p>
    <w:p>
      <w:pPr>
        <w:pStyle w:val="54"/>
        <w:wordWrap w:val="0"/>
        <w:spacing w:beforeAutospacing="0" w:afterAutospacing="0"/>
        <w:ind w:firstLine="482"/>
        <w:jc w:val="both"/>
        <w:rPr>
          <w:rStyle w:val="64"/>
          <w:rFonts w:ascii="Times New Roman" w:hAnsi="Times New Roman" w:cs="Times New Roman"/>
          <w:b w:val="0"/>
          <w:bCs w:val="0"/>
          <w:lang w:eastAsia="zh-Hans"/>
        </w:rPr>
      </w:pPr>
      <w:r>
        <w:rPr>
          <w:rStyle w:val="64"/>
          <w:rFonts w:ascii="Times New Roman" w:hAnsi="Times New Roman" w:cs="Times New Roman"/>
          <w:bCs w:val="0"/>
          <w:lang w:eastAsia="zh-Hans"/>
        </w:rPr>
        <w:t>推进地表水与地下水协同防治。</w:t>
      </w:r>
      <w:r>
        <w:rPr>
          <w:rStyle w:val="64"/>
          <w:rFonts w:ascii="Times New Roman" w:hAnsi="Times New Roman" w:cs="Times New Roman"/>
          <w:b w:val="0"/>
          <w:lang w:eastAsia="zh-Hans"/>
        </w:rPr>
        <w:t>统筹区域地表水、地下水环境监管要求，筛选典型区域开展地下水-地表水污染协调防治示范。加强化学品生产企业、工业聚集区、矿山开采区等地下水污染源对地表水的环境风险管控。</w:t>
      </w:r>
    </w:p>
    <w:p>
      <w:pPr>
        <w:pStyle w:val="54"/>
        <w:wordWrap w:val="0"/>
        <w:spacing w:beforeAutospacing="0" w:afterAutospacing="0"/>
        <w:ind w:firstLine="482"/>
        <w:jc w:val="both"/>
        <w:rPr>
          <w:rStyle w:val="64"/>
          <w:rFonts w:ascii="Times New Roman" w:hAnsi="Times New Roman" w:cs="Times New Roman"/>
          <w:b w:val="0"/>
          <w:bCs w:val="0"/>
          <w:lang w:eastAsia="zh-Hans"/>
        </w:rPr>
      </w:pPr>
      <w:r>
        <w:rPr>
          <w:rStyle w:val="64"/>
          <w:rFonts w:ascii="Times New Roman" w:hAnsi="Times New Roman" w:cs="Times New Roman"/>
          <w:bCs w:val="0"/>
          <w:lang w:eastAsia="zh-Hans"/>
        </w:rPr>
        <w:t>强化流域污染联防联控。</w:t>
      </w:r>
      <w:r>
        <w:rPr>
          <w:rStyle w:val="64"/>
          <w:rFonts w:ascii="Times New Roman" w:hAnsi="Times New Roman" w:cs="Times New Roman"/>
          <w:b w:val="0"/>
          <w:lang w:eastAsia="zh-Hans"/>
        </w:rPr>
        <w:t>编制实施水生态环境保护规划，实施流域差异化治理。建立流域上下游协同推进工作机制，实施联合监测、联合执法、应急联动、信息共享。推进建立跨境河流突发水污染事件联防联控机制，加强研判预警、拦污控污、信息通报、协同处置、纠纷调处、基础保障等工作，防范重大生态环境风险。</w:t>
      </w:r>
    </w:p>
    <w:p>
      <w:pPr>
        <w:ind w:firstLine="482"/>
        <w:rPr>
          <w:rFonts w:eastAsiaTheme="minorEastAsia"/>
          <w:bCs/>
        </w:rPr>
      </w:pPr>
      <w:r>
        <w:rPr>
          <w:rStyle w:val="64"/>
          <w:bCs w:val="0"/>
          <w:lang w:eastAsia="zh-Hans"/>
        </w:rPr>
        <w:t>深化地表水生态环境质量目标管理。</w:t>
      </w:r>
      <w:r>
        <w:rPr>
          <w:rStyle w:val="64"/>
          <w:b w:val="0"/>
          <w:lang w:eastAsia="zh-Hans"/>
        </w:rPr>
        <w:t>健全流域分区管理体系。重新划分并发布实施新的地表水环境功能区划，加强监督管理，继续实施分阶段逐步加严的污染物排放地方标准。优化实施以控制断面和水功能区相结合为基础的地表水环境质量目标管理。依托排污许可证，探索实施</w:t>
      </w:r>
      <w:r>
        <w:rPr>
          <w:rStyle w:val="64"/>
          <w:rFonts w:asciiTheme="minorEastAsia" w:hAnsiTheme="minorEastAsia" w:eastAsiaTheme="minorEastAsia"/>
          <w:b w:val="0"/>
          <w:lang w:eastAsia="zh-Hans"/>
        </w:rPr>
        <w:t>“</w:t>
      </w:r>
      <w:r>
        <w:rPr>
          <w:rStyle w:val="64"/>
          <w:b w:val="0"/>
          <w:lang w:eastAsia="zh-Hans"/>
        </w:rPr>
        <w:t>水体-入河湖排污口-排污管线-污染源</w:t>
      </w:r>
      <w:r>
        <w:rPr>
          <w:rStyle w:val="64"/>
          <w:rFonts w:asciiTheme="minorEastAsia" w:hAnsiTheme="minorEastAsia" w:eastAsiaTheme="minorEastAsia"/>
          <w:b w:val="0"/>
          <w:lang w:eastAsia="zh-Hans"/>
        </w:rPr>
        <w:t>”</w:t>
      </w:r>
      <w:r>
        <w:rPr>
          <w:rStyle w:val="64"/>
          <w:b w:val="0"/>
          <w:lang w:eastAsia="zh-Hans"/>
        </w:rPr>
        <w:t>全链条的水污染治理，科学开展超标水体溯源排查，建立流域精细化管理平台。</w:t>
      </w:r>
    </w:p>
    <w:p>
      <w:pPr>
        <w:widowControl/>
        <w:ind w:firstLine="562"/>
        <w:jc w:val="left"/>
        <w:outlineLvl w:val="2"/>
        <w:rPr>
          <w:b/>
          <w:bCs/>
          <w:kern w:val="0"/>
          <w:sz w:val="28"/>
          <w:lang w:eastAsia="zh-Hans"/>
        </w:rPr>
      </w:pPr>
      <w:r>
        <w:rPr>
          <w:b/>
          <w:bCs/>
          <w:kern w:val="0"/>
          <w:sz w:val="28"/>
          <w:lang w:eastAsia="zh-Hans"/>
        </w:rPr>
        <w:t>（二）加强重要水体生态保护</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持续推进南四湖等良好水体保护。</w:t>
      </w:r>
      <w:r>
        <w:rPr>
          <w:rStyle w:val="64"/>
          <w:rFonts w:ascii="Times New Roman" w:hAnsi="Times New Roman" w:cs="Times New Roman"/>
          <w:b w:val="0"/>
        </w:rPr>
        <w:t>全面落实河湖长制，推动河湖</w:t>
      </w:r>
      <w:r>
        <w:rPr>
          <w:rStyle w:val="64"/>
          <w:rFonts w:cs="Times New Roman" w:asciiTheme="minorEastAsia" w:hAnsiTheme="minorEastAsia" w:eastAsiaTheme="minorEastAsia"/>
          <w:b w:val="0"/>
        </w:rPr>
        <w:t>“</w:t>
      </w:r>
      <w:r>
        <w:rPr>
          <w:rStyle w:val="64"/>
          <w:rFonts w:ascii="Times New Roman" w:hAnsi="Times New Roman" w:cs="Times New Roman"/>
          <w:b w:val="0"/>
        </w:rPr>
        <w:t>清四乱</w:t>
      </w:r>
      <w:r>
        <w:rPr>
          <w:rStyle w:val="64"/>
          <w:rFonts w:cs="Times New Roman" w:asciiTheme="minorEastAsia" w:hAnsiTheme="minorEastAsia" w:eastAsiaTheme="minorEastAsia"/>
          <w:b w:val="0"/>
        </w:rPr>
        <w:t>”</w:t>
      </w:r>
      <w:r>
        <w:rPr>
          <w:rStyle w:val="64"/>
          <w:rFonts w:ascii="Times New Roman" w:hAnsi="Times New Roman" w:cs="Times New Roman"/>
          <w:b w:val="0"/>
        </w:rPr>
        <w:t>常态化规范化。开展南四湖湖区自然湿地修复，采取退耕还湿、栖息地营造、植被恢复等综合措施对湖区湿地进行修复，提升湿地功能。开展珍稀濒危水生生物和重要水产种质资源的就地和迁地保护，提高水生生物多样性。推进城中村、老旧城区、城乡结合部污水收集处理和雨污管网分流改造，科学实施滕州市大坞镇、滨湖镇、界河镇污水处理厂及配套管网工程等沿湖截污工程建设，逐步降低污染物入河湖量。</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rPr>
        <w:t>加快重点河湖水环境综合治理。</w:t>
      </w:r>
      <w:r>
        <w:rPr>
          <w:rStyle w:val="64"/>
          <w:rFonts w:ascii="Times New Roman" w:hAnsi="Times New Roman" w:cs="Times New Roman"/>
          <w:b w:val="0"/>
        </w:rPr>
        <w:t>严格落实河长制、湖长制、推动三级河长巡河治水常态化，以界河、北沙河等河湖水系为重点，开展水环境综合整治，制定并实施</w:t>
      </w:r>
      <w:r>
        <w:rPr>
          <w:rStyle w:val="64"/>
          <w:rFonts w:cs="Times New Roman" w:asciiTheme="minorEastAsia" w:hAnsiTheme="minorEastAsia" w:eastAsiaTheme="minorEastAsia"/>
          <w:b w:val="0"/>
        </w:rPr>
        <w:t>“</w:t>
      </w:r>
      <w:r>
        <w:rPr>
          <w:rStyle w:val="64"/>
          <w:rFonts w:ascii="Times New Roman" w:hAnsi="Times New Roman" w:cs="Times New Roman"/>
          <w:b w:val="0"/>
        </w:rPr>
        <w:t>一河一策</w:t>
      </w:r>
      <w:r>
        <w:rPr>
          <w:rStyle w:val="64"/>
          <w:rFonts w:cs="Times New Roman" w:asciiTheme="minorEastAsia" w:hAnsiTheme="minorEastAsia" w:eastAsiaTheme="minorEastAsia"/>
          <w:b w:val="0"/>
        </w:rPr>
        <w:t>”</w:t>
      </w:r>
      <w:r>
        <w:rPr>
          <w:rStyle w:val="64"/>
          <w:rFonts w:ascii="Times New Roman" w:hAnsi="Times New Roman" w:cs="Times New Roman"/>
          <w:b w:val="0"/>
        </w:rPr>
        <w:t>水生态环境治理方案，实施</w:t>
      </w:r>
      <w:r>
        <w:rPr>
          <w:rStyle w:val="64"/>
          <w:rFonts w:cs="Times New Roman" w:asciiTheme="minorEastAsia" w:hAnsiTheme="minorEastAsia" w:eastAsiaTheme="minorEastAsia"/>
          <w:b w:val="0"/>
        </w:rPr>
        <w:t>“</w:t>
      </w:r>
      <w:r>
        <w:rPr>
          <w:rStyle w:val="64"/>
          <w:rFonts w:ascii="Times New Roman" w:hAnsi="Times New Roman" w:cs="Times New Roman"/>
          <w:b w:val="0"/>
        </w:rPr>
        <w:t>清河行动</w:t>
      </w:r>
      <w:r>
        <w:rPr>
          <w:rStyle w:val="64"/>
          <w:rFonts w:cs="Times New Roman" w:asciiTheme="minorEastAsia" w:hAnsiTheme="minorEastAsia" w:eastAsiaTheme="minorEastAsia"/>
          <w:b w:val="0"/>
        </w:rPr>
        <w:t>”</w:t>
      </w:r>
      <w:r>
        <w:rPr>
          <w:rStyle w:val="64"/>
          <w:rFonts w:ascii="Times New Roman" w:hAnsi="Times New Roman" w:cs="Times New Roman"/>
          <w:b w:val="0"/>
        </w:rPr>
        <w:t>，加快推进</w:t>
      </w:r>
      <w:r>
        <w:rPr>
          <w:rStyle w:val="64"/>
          <w:rFonts w:ascii="Times New Roman" w:hAnsi="Times New Roman" w:cs="Times New Roman"/>
          <w:b w:val="0"/>
          <w:lang w:eastAsia="zh-Hans"/>
        </w:rPr>
        <w:t>监控断面</w:t>
      </w:r>
      <w:r>
        <w:rPr>
          <w:rStyle w:val="64"/>
          <w:rFonts w:ascii="Times New Roman" w:hAnsi="Times New Roman" w:cs="Times New Roman"/>
          <w:b w:val="0"/>
        </w:rPr>
        <w:t>水质稳定达到Ⅲ类标准。</w:t>
      </w:r>
    </w:p>
    <w:p>
      <w:pPr>
        <w:ind w:firstLine="482"/>
        <w:rPr>
          <w:rFonts w:eastAsiaTheme="minorEastAsia"/>
          <w:bCs/>
        </w:rPr>
      </w:pPr>
      <w:r>
        <w:rPr>
          <w:rStyle w:val="64"/>
          <w:bCs w:val="0"/>
        </w:rPr>
        <w:t>加强饮用水水源地保护。</w:t>
      </w:r>
      <w:r>
        <w:rPr>
          <w:rStyle w:val="64"/>
          <w:b w:val="0"/>
        </w:rPr>
        <w:t>深入推进各级水源地规范化建设，2025年底前，完成乡镇级和</w:t>
      </w:r>
      <w:r>
        <w:rPr>
          <w:rStyle w:val="64"/>
          <w:rFonts w:asciiTheme="minorEastAsia" w:hAnsiTheme="minorEastAsia" w:eastAsiaTheme="minorEastAsia"/>
          <w:b w:val="0"/>
        </w:rPr>
        <w:t>“</w:t>
      </w:r>
      <w:r>
        <w:rPr>
          <w:rStyle w:val="64"/>
          <w:b w:val="0"/>
        </w:rPr>
        <w:t>千吨万人</w:t>
      </w:r>
      <w:r>
        <w:rPr>
          <w:rStyle w:val="64"/>
          <w:rFonts w:asciiTheme="minorEastAsia" w:hAnsiTheme="minorEastAsia" w:eastAsiaTheme="minorEastAsia"/>
          <w:b w:val="0"/>
        </w:rPr>
        <w:t>”</w:t>
      </w:r>
      <w:r>
        <w:rPr>
          <w:rStyle w:val="64"/>
          <w:b w:val="0"/>
        </w:rPr>
        <w:t>农村饮用水水源保护区勘界立标。全面加强饮用水水源地规范化和达标建设，定期开展集中式饮用水水源地环境状况调查评估，科学诊断饮用水水质，健全部门间监测数据共享机制。加强重点水源和城市应急备用水源工程建设。持续提升地表水型饮用水水源地预警监控能力，组织开展突发环境事件应急演练。确保到2025年底前，全市集中式饮用水水源水质达标率（去除地质因素超标外）达到100%。</w:t>
      </w:r>
    </w:p>
    <w:p>
      <w:pPr>
        <w:widowControl/>
        <w:ind w:firstLine="562"/>
        <w:jc w:val="left"/>
        <w:outlineLvl w:val="2"/>
        <w:rPr>
          <w:b/>
          <w:bCs/>
          <w:kern w:val="0"/>
          <w:sz w:val="28"/>
          <w:lang w:eastAsia="zh-Hans"/>
        </w:rPr>
      </w:pPr>
      <w:r>
        <w:rPr>
          <w:b/>
          <w:bCs/>
          <w:kern w:val="0"/>
          <w:sz w:val="28"/>
          <w:lang w:eastAsia="zh-Hans"/>
        </w:rPr>
        <w:t>（三）深化水污染防治</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实施入河（湖）排污口分类整治和规范化监管。</w:t>
      </w:r>
      <w:r>
        <w:rPr>
          <w:rFonts w:ascii="Times New Roman" w:hAnsi="Times New Roman" w:cs="Times New Roman"/>
          <w:bCs/>
        </w:rPr>
        <w:t>深入开展</w:t>
      </w:r>
      <w:r>
        <w:rPr>
          <w:rFonts w:ascii="Times New Roman" w:hAnsi="Times New Roman" w:cs="Times New Roman"/>
          <w:bCs/>
          <w:lang w:eastAsia="zh-Hans"/>
        </w:rPr>
        <w:t>市</w:t>
      </w:r>
      <w:r>
        <w:rPr>
          <w:rFonts w:ascii="Times New Roman" w:hAnsi="Times New Roman" w:cs="Times New Roman"/>
          <w:bCs/>
        </w:rPr>
        <w:t>控及以上断面所在河流入河（湖）排污口精准溯源，逐一明确入河（湖）排污口责任主体，形成排污口台账，按照</w:t>
      </w:r>
      <w:r>
        <w:rPr>
          <w:rFonts w:cs="Times New Roman" w:asciiTheme="minorEastAsia" w:hAnsiTheme="minorEastAsia" w:eastAsiaTheme="minorEastAsia"/>
          <w:bCs/>
        </w:rPr>
        <w:t>“</w:t>
      </w:r>
      <w:r>
        <w:rPr>
          <w:rFonts w:ascii="Times New Roman" w:hAnsi="Times New Roman" w:cs="Times New Roman"/>
          <w:bCs/>
        </w:rPr>
        <w:t>取缔一批、合并一批、规范一批</w:t>
      </w:r>
      <w:r>
        <w:rPr>
          <w:rFonts w:cs="Times New Roman" w:asciiTheme="minorEastAsia" w:hAnsiTheme="minorEastAsia" w:eastAsiaTheme="minorEastAsia"/>
          <w:bCs/>
        </w:rPr>
        <w:t>”</w:t>
      </w:r>
      <w:r>
        <w:rPr>
          <w:rFonts w:ascii="Times New Roman" w:hAnsi="Times New Roman" w:cs="Times New Roman"/>
          <w:bCs/>
        </w:rPr>
        <w:t>要求，因地制宜、分类施策，制定</w:t>
      </w:r>
      <w:r>
        <w:rPr>
          <w:rFonts w:cs="Times New Roman" w:asciiTheme="minorEastAsia" w:hAnsiTheme="minorEastAsia" w:eastAsiaTheme="minorEastAsia"/>
          <w:bCs/>
        </w:rPr>
        <w:t>“</w:t>
      </w:r>
      <w:r>
        <w:rPr>
          <w:rFonts w:ascii="Times New Roman" w:hAnsi="Times New Roman" w:cs="Times New Roman"/>
          <w:bCs/>
        </w:rPr>
        <w:t>一口一策</w:t>
      </w:r>
      <w:r>
        <w:rPr>
          <w:rFonts w:cs="Times New Roman" w:asciiTheme="minorEastAsia" w:hAnsiTheme="minorEastAsia" w:eastAsiaTheme="minorEastAsia"/>
          <w:bCs/>
        </w:rPr>
        <w:t>”</w:t>
      </w:r>
      <w:r>
        <w:rPr>
          <w:rFonts w:ascii="Times New Roman" w:hAnsi="Times New Roman" w:cs="Times New Roman"/>
          <w:bCs/>
        </w:rPr>
        <w:t>整治方案。</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狠抓工业污染防治。</w:t>
      </w:r>
      <w:r>
        <w:rPr>
          <w:rFonts w:ascii="Times New Roman" w:hAnsi="Times New Roman" w:cs="Times New Roman"/>
          <w:bCs/>
        </w:rPr>
        <w:t>强化准入管理和底线约束，推动重点行业、重点区域绿色发展，严格执行南四湖流域水污染物综合排放标准和管控要求。严格控制污染物排放总量，提高工业企业污染治理水平，加强全盐量、总氮、总磷、氟化物等特征污染物治理。加快推进橙黄色建成区内现有焦化、印染、化工等污染较重的企业有序搬迁改造或依法关闭。加强推进煤矿开采、化工、印染等行业综合治理与清洁化改造，加快推进流域产业布局优化升级。加大现有工业园区整治力度，全面推进工业园区污水处理设施建设、污水管网排查整治、雨污分流改造升级，鼓励有条件的园区实施化工企业废水</w:t>
      </w:r>
      <w:r>
        <w:rPr>
          <w:rFonts w:cs="Times New Roman" w:asciiTheme="minorEastAsia" w:hAnsiTheme="minorEastAsia" w:eastAsiaTheme="minorEastAsia"/>
          <w:bCs/>
        </w:rPr>
        <w:t>“</w:t>
      </w:r>
      <w:r>
        <w:rPr>
          <w:rFonts w:ascii="Times New Roman" w:hAnsi="Times New Roman" w:cs="Times New Roman"/>
          <w:bCs/>
        </w:rPr>
        <w:t>一企一管、明管输送、实时监测</w:t>
      </w:r>
      <w:r>
        <w:rPr>
          <w:rFonts w:cs="Times New Roman" w:asciiTheme="minorEastAsia" w:hAnsiTheme="minorEastAsia" w:eastAsiaTheme="minorEastAsia"/>
          <w:bCs/>
        </w:rPr>
        <w:t>”</w:t>
      </w:r>
      <w:r>
        <w:rPr>
          <w:rFonts w:ascii="Times New Roman" w:hAnsi="Times New Roman" w:cs="Times New Roman"/>
          <w:bCs/>
        </w:rPr>
        <w:t>。</w:t>
      </w:r>
    </w:p>
    <w:p>
      <w:pPr>
        <w:pStyle w:val="54"/>
        <w:wordWrap w:val="0"/>
        <w:spacing w:beforeAutospacing="0" w:afterAutospacing="0"/>
        <w:ind w:firstLine="482"/>
        <w:jc w:val="both"/>
        <w:rPr>
          <w:rFonts w:ascii="Times New Roman" w:hAnsi="Times New Roman" w:cs="Times New Roman"/>
          <w:bCs/>
        </w:rPr>
      </w:pPr>
      <w:r>
        <w:rPr>
          <w:rFonts w:hint="eastAsia" w:ascii="Times New Roman" w:hAnsi="Times New Roman" w:cs="Times New Roman"/>
          <w:b/>
        </w:rPr>
        <w:t>推进城镇污水管网全覆盖。</w:t>
      </w:r>
      <w:r>
        <w:rPr>
          <w:rFonts w:hint="eastAsia" w:ascii="Times New Roman" w:hAnsi="Times New Roman" w:cs="Times New Roman"/>
        </w:rPr>
        <w:t>全面开展城镇排水管网排查和系统化整治，推进新城区雨污分流设施建设和老城区雨污分流改造，对污水管网覆盖不全、管网混接、破损、雨污混流等问题全面治理，2025年底前，基本实现城镇污水</w:t>
      </w:r>
      <w:r>
        <w:rPr>
          <w:rFonts w:hint="eastAsia" w:cs="Times New Roman" w:asciiTheme="minorEastAsia" w:hAnsiTheme="minorEastAsia" w:eastAsiaTheme="minorEastAsia"/>
        </w:rPr>
        <w:t>“</w:t>
      </w:r>
      <w:r>
        <w:rPr>
          <w:rFonts w:hint="eastAsia" w:ascii="Times New Roman" w:hAnsi="Times New Roman" w:cs="Times New Roman"/>
        </w:rPr>
        <w:t>零直排</w:t>
      </w:r>
      <w:r>
        <w:rPr>
          <w:rFonts w:hint="eastAsia" w:cs="Times New Roman" w:asciiTheme="minorEastAsia" w:hAnsiTheme="minorEastAsia" w:eastAsiaTheme="minorEastAsia"/>
        </w:rPr>
        <w:t>”</w:t>
      </w:r>
      <w:r>
        <w:rPr>
          <w:rFonts w:hint="eastAsia" w:ascii="Times New Roman" w:hAnsi="Times New Roman" w:cs="Times New Roman"/>
        </w:rPr>
        <w:t>。加快提升城市污水处理厂处理能力，建立健全运行管理机制。提高城市污水处理厂中水回用水平，充分利用人工湿地工程，对处理达标后的尾水进一步净化。</w:t>
      </w:r>
    </w:p>
    <w:p>
      <w:pPr>
        <w:pStyle w:val="54"/>
        <w:wordWrap w:val="0"/>
        <w:spacing w:beforeAutospacing="0" w:afterAutospacing="0"/>
        <w:ind w:firstLine="482"/>
        <w:jc w:val="both"/>
        <w:rPr>
          <w:rFonts w:ascii="Times New Roman" w:hAnsi="Times New Roman" w:cs="Times New Roman"/>
          <w:b/>
        </w:rPr>
      </w:pPr>
      <w:r>
        <w:rPr>
          <w:rFonts w:hint="eastAsia" w:ascii="Times New Roman" w:hAnsi="Times New Roman" w:cs="Times New Roman"/>
          <w:b/>
        </w:rPr>
        <w:t>推进农业面源污染防治。</w:t>
      </w:r>
      <w:r>
        <w:rPr>
          <w:rFonts w:hint="eastAsia" w:ascii="Times New Roman" w:hAnsi="Times New Roman" w:cs="Times New Roman"/>
        </w:rPr>
        <w:t>探索南四湖流域农业面源污染调查监测评估体系，将规模化农田灌溉退水口环境管理纳入日常环境监管。围绕国家农业可持续发展试验示范区建设，优化农业种植结构，推行高效生态循环种养模式，划分农业面源污染优先控制单元。推广生态养殖、探索</w:t>
      </w:r>
      <w:r>
        <w:rPr>
          <w:rFonts w:hint="eastAsia" w:cs="Times New Roman" w:asciiTheme="minorEastAsia" w:hAnsiTheme="minorEastAsia" w:eastAsiaTheme="minorEastAsia"/>
        </w:rPr>
        <w:t>“</w:t>
      </w:r>
      <w:r>
        <w:rPr>
          <w:rFonts w:hint="eastAsia" w:ascii="Times New Roman" w:hAnsi="Times New Roman" w:cs="Times New Roman"/>
        </w:rPr>
        <w:t>鱼塘+湿地</w:t>
      </w:r>
      <w:r>
        <w:rPr>
          <w:rFonts w:hint="eastAsia" w:cs="Times New Roman" w:asciiTheme="minorEastAsia" w:hAnsiTheme="minorEastAsia" w:eastAsiaTheme="minorEastAsia"/>
        </w:rPr>
        <w:t>”</w:t>
      </w:r>
      <w:r>
        <w:rPr>
          <w:rFonts w:hint="eastAsia" w:ascii="Times New Roman" w:hAnsi="Times New Roman" w:cs="Times New Roman"/>
        </w:rPr>
        <w:t>模式。继续推广测土配方施肥技术，推广低毒低残留农药，推进化肥农药减量化。开展汛前沿河湖垃圾、农作物秸秆、畜禽粪污堆放点清理整治。</w:t>
      </w:r>
    </w:p>
    <w:p>
      <w:pPr>
        <w:pStyle w:val="54"/>
        <w:wordWrap w:val="0"/>
        <w:spacing w:beforeAutospacing="0" w:afterAutospacing="0"/>
        <w:ind w:firstLine="482"/>
        <w:jc w:val="both"/>
        <w:rPr>
          <w:rFonts w:ascii="Times New Roman" w:hAnsi="Times New Roman" w:cs="Times New Roman"/>
          <w:bCs/>
        </w:rPr>
      </w:pPr>
      <w:r>
        <w:rPr>
          <w:rFonts w:hint="eastAsia" w:ascii="Times New Roman" w:hAnsi="Times New Roman" w:cs="Times New Roman"/>
          <w:b/>
        </w:rPr>
        <w:t>巩固</w:t>
      </w:r>
      <w:r>
        <w:rPr>
          <w:rFonts w:ascii="Times New Roman" w:hAnsi="Times New Roman" w:cs="Times New Roman"/>
          <w:b/>
        </w:rPr>
        <w:t>城市黑臭水体</w:t>
      </w:r>
      <w:r>
        <w:rPr>
          <w:rFonts w:hint="eastAsia" w:ascii="Times New Roman" w:hAnsi="Times New Roman" w:cs="Times New Roman"/>
          <w:b/>
        </w:rPr>
        <w:t>治理成果</w:t>
      </w:r>
      <w:r>
        <w:rPr>
          <w:rFonts w:ascii="Times New Roman" w:hAnsi="Times New Roman" w:cs="Times New Roman"/>
          <w:b/>
        </w:rPr>
        <w:t>。</w:t>
      </w:r>
      <w:r>
        <w:rPr>
          <w:rFonts w:ascii="Times New Roman" w:hAnsi="Times New Roman" w:cs="Times New Roman"/>
          <w:bCs/>
        </w:rPr>
        <w:t>消除黑臭水体污水直排口、清理河道底泥、清理河岸垃圾、对边坡进行生态改造、消除城市污水管网空白区、规范河道沿岸的禽畜养殖等，力争从源头上消除各类导致水体黑臭的污染源。以固成效、防反弹为重点，巩固城市建成区黑臭水体治理成果，建立城市建成区黑臭水体清单动态调整机制，及时将反弹的和新发现的黑臭水体纳入清单督促治理。</w:t>
      </w:r>
    </w:p>
    <w:p>
      <w:pPr>
        <w:ind w:firstLine="482"/>
        <w:rPr>
          <w:b/>
        </w:rPr>
      </w:pPr>
    </w:p>
    <w:p>
      <w:pPr>
        <w:ind w:firstLine="482"/>
        <w:rPr>
          <w:b/>
        </w:rPr>
      </w:pPr>
    </w:p>
    <w:p>
      <w:pPr>
        <w:ind w:firstLine="482"/>
        <w:rPr>
          <w:rFonts w:eastAsiaTheme="minorEastAsia"/>
          <w:bCs/>
        </w:rPr>
      </w:pPr>
      <w:r>
        <w:rPr>
          <w:b/>
        </w:rPr>
        <w:t>船舶和港口污染控制。</w:t>
      </w:r>
      <w:r>
        <w:rPr>
          <w:bCs/>
        </w:rPr>
        <w:t>推进京杭运河等境内通航水域港口码头作业区船舶污染物接收、转运及处置设施建设及联合监管机制。严格执行《船舶水污染物排放控制标准》，加强400总吨以下小型船舶生活污水船上储存、交岸接收和400总吨以上船舶水污染物排放智能监控装置加装工作，实现全链条式管理和动态监管。强化通航水域危险化学品运输环境风险防范，严厉打击化学品非法水上运输及油污水、化学品洗舱水非法排放行为。到2025年，港口、船舶修造厂完成船舶含油污水、化学品洗舱水、生活污水和垃圾等污染物的接收设施建设，做好船、港转运及处置设施建设和衔接。</w:t>
      </w:r>
    </w:p>
    <w:p>
      <w:pPr>
        <w:widowControl/>
        <w:ind w:firstLine="562"/>
        <w:jc w:val="left"/>
        <w:outlineLvl w:val="2"/>
        <w:rPr>
          <w:b/>
          <w:bCs/>
          <w:kern w:val="0"/>
          <w:sz w:val="28"/>
          <w:lang w:eastAsia="zh-Hans"/>
        </w:rPr>
      </w:pPr>
      <w:r>
        <w:rPr>
          <w:b/>
          <w:bCs/>
          <w:kern w:val="0"/>
          <w:sz w:val="28"/>
          <w:lang w:eastAsia="zh-Hans"/>
        </w:rPr>
        <w:t>（四）强化生态需水保障</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提升水源涵养功能。</w:t>
      </w:r>
      <w:r>
        <w:rPr>
          <w:rFonts w:ascii="Times New Roman" w:hAnsi="Times New Roman" w:cs="Times New Roman"/>
          <w:bCs/>
        </w:rPr>
        <w:t>加强河湖源头集水区、水源涵养重要区水源涵养功能维护，强化重要水源涵养区监督管理，建立水源涵养监测预警机制。有序推进</w:t>
      </w:r>
      <w:r>
        <w:rPr>
          <w:rFonts w:ascii="Times New Roman" w:hAnsi="Times New Roman" w:cs="Times New Roman"/>
          <w:bCs/>
          <w:lang w:eastAsia="zh-Hans"/>
        </w:rPr>
        <w:t>北沙河、城河</w:t>
      </w:r>
      <w:r>
        <w:rPr>
          <w:rFonts w:ascii="Times New Roman" w:hAnsi="Times New Roman" w:cs="Times New Roman"/>
          <w:bCs/>
        </w:rPr>
        <w:t>及其重要支流生态修复等水源涵养工程建设，因地制宜退耕还水，扩大河道湿地面积，建设滨河防护林生态屏障，涵水于地，涵水于林草，全面提升生态系统涵水功能。</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保障河湖生态流量。</w:t>
      </w:r>
      <w:r>
        <w:rPr>
          <w:bCs/>
        </w:rPr>
        <w:t>推进河湖水系联通，以恢复河流生态功能为核心，采取合理的疏导、沟通、引排、调度等措施，建立或改善江河湖库水体之间的水力联系，打造河湖共生的生态水网。制定实施河湖生态流量保障实施方案，科学制定生态流量调度方案和计划，推进水资源和水环境监测数据共享，开展生态流量监测，保障河湖基本生态用水</w:t>
      </w:r>
      <w:r>
        <w:rPr>
          <w:rFonts w:ascii="Times New Roman" w:hAnsi="Times New Roman" w:cs="Times New Roman"/>
          <w:bCs/>
        </w:rPr>
        <w:t>。</w:t>
      </w:r>
    </w:p>
    <w:p>
      <w:pPr>
        <w:pStyle w:val="1336"/>
        <w:spacing w:before="163" w:after="163"/>
      </w:pPr>
      <w:bookmarkStart w:id="137" w:name="_Toc139894369"/>
      <w:bookmarkStart w:id="138" w:name="_Toc139894241"/>
      <w:bookmarkStart w:id="139" w:name="_Toc4375"/>
      <w:bookmarkStart w:id="140" w:name="_Toc139894285"/>
      <w:r>
        <w:t>四、</w:t>
      </w:r>
      <w:bookmarkEnd w:id="136"/>
      <w:r>
        <w:t>推进土壤、地下水系统防治</w:t>
      </w:r>
      <w:bookmarkEnd w:id="137"/>
      <w:bookmarkEnd w:id="138"/>
      <w:bookmarkEnd w:id="139"/>
      <w:bookmarkEnd w:id="140"/>
    </w:p>
    <w:p>
      <w:pPr>
        <w:widowControl/>
        <w:ind w:firstLine="562"/>
        <w:jc w:val="left"/>
        <w:outlineLvl w:val="2"/>
        <w:rPr>
          <w:b/>
          <w:bCs/>
          <w:kern w:val="0"/>
          <w:sz w:val="28"/>
          <w:lang w:eastAsia="zh-Hans"/>
        </w:rPr>
      </w:pPr>
      <w:bookmarkStart w:id="141" w:name="_Toc11769"/>
      <w:r>
        <w:rPr>
          <w:b/>
          <w:bCs/>
          <w:kern w:val="0"/>
          <w:sz w:val="28"/>
          <w:lang w:eastAsia="zh-Hans"/>
        </w:rPr>
        <w:t>（一）加强土壤和地下水污染源系统防控</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hint="eastAsia" w:ascii="Times New Roman" w:hAnsi="Times New Roman" w:cs="Times New Roman"/>
          <w:bCs w:val="0"/>
        </w:rPr>
        <w:t>深入开展土壤污染状况详查</w:t>
      </w:r>
      <w:r>
        <w:rPr>
          <w:rStyle w:val="64"/>
          <w:rFonts w:ascii="Times New Roman" w:hAnsi="Times New Roman" w:cs="Times New Roman"/>
          <w:bCs w:val="0"/>
          <w:lang w:eastAsia="zh-Hans"/>
        </w:rPr>
        <w:t>。</w:t>
      </w:r>
      <w:r>
        <w:rPr>
          <w:rStyle w:val="64"/>
          <w:rFonts w:ascii="Times New Roman" w:hAnsi="Times New Roman" w:cs="Times New Roman"/>
          <w:b w:val="0"/>
        </w:rPr>
        <w:t>在现有土壤调查和监测基础上，以农用地和重点行业企业用地为重点，深入开展土壤污染状况详查，统一规划、整合优化土壤环境质量监测点位，完成土壤环境质量监测点位建设，基本建设</w:t>
      </w:r>
      <w:r>
        <w:rPr>
          <w:rStyle w:val="64"/>
          <w:rFonts w:ascii="Times New Roman" w:hAnsi="Times New Roman" w:cs="Times New Roman"/>
          <w:b w:val="0"/>
          <w:lang w:eastAsia="zh-Hans"/>
        </w:rPr>
        <w:t>滕州市</w:t>
      </w:r>
      <w:r>
        <w:rPr>
          <w:rStyle w:val="64"/>
          <w:rFonts w:ascii="Times New Roman" w:hAnsi="Times New Roman" w:cs="Times New Roman"/>
          <w:b w:val="0"/>
        </w:rPr>
        <w:t>土壤环境质量监测网络。到2025年底，完成重点行业企业用地土壤污染状况详查初步采样调查工作，掌握化工等重点行业在产企业用地和关闭搬迁企业原址中的污染地块分布及其环境风险情况。</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加强耕地污染源头控制。</w:t>
      </w:r>
      <w:r>
        <w:rPr>
          <w:rStyle w:val="64"/>
          <w:rFonts w:ascii="Times New Roman" w:hAnsi="Times New Roman" w:cs="Times New Roman"/>
          <w:b w:val="0"/>
        </w:rPr>
        <w:t>严格重金属污染防控，完善重金属相关行业准入条件，禁止新建落后产能或产能严重过剩行业的建设项目。持续推进耕地周边涉镉等重金属行业企业排查整治，开展重有色金属等矿区历史遗留环境污染排查。推行涉重金属重点工业行业清洁生产技术，鼓励企业采用先进适用生产工艺和技术，完成省下达的重点行业重点重金属排放量减排指标。</w:t>
      </w:r>
    </w:p>
    <w:p>
      <w:pPr>
        <w:ind w:firstLine="482"/>
        <w:rPr>
          <w:rFonts w:eastAsiaTheme="minorEastAsia"/>
          <w:bCs/>
        </w:rPr>
      </w:pPr>
      <w:r>
        <w:rPr>
          <w:rStyle w:val="64"/>
          <w:bCs w:val="0"/>
        </w:rPr>
        <w:t>防范工矿企业新增土壤污染。</w:t>
      </w:r>
      <w:r>
        <w:rPr>
          <w:rStyle w:val="64"/>
          <w:b w:val="0"/>
        </w:rPr>
        <w:t>结合重点行业企业用地调查和地下水污染状况调查成果，完善土壤环境污染重点监管单位名录，实行动态完善更新，并向社会公布。探索建立地下水重点污染源清单，并在排污许可证载明土壤污染防治要求。开展典型在产企业（园区）土壤污染风险管控试点。督促企业定期开展土壤及地下水环境自行监测、污染隐患排查，并依法信息公开。</w:t>
      </w:r>
    </w:p>
    <w:p>
      <w:pPr>
        <w:widowControl/>
        <w:ind w:firstLine="562"/>
        <w:jc w:val="left"/>
        <w:outlineLvl w:val="2"/>
        <w:rPr>
          <w:b/>
          <w:bCs/>
          <w:kern w:val="0"/>
          <w:sz w:val="28"/>
          <w:lang w:eastAsia="zh-Hans"/>
        </w:rPr>
      </w:pPr>
      <w:r>
        <w:rPr>
          <w:b/>
          <w:bCs/>
          <w:kern w:val="0"/>
          <w:sz w:val="28"/>
          <w:lang w:eastAsia="zh-Hans"/>
        </w:rPr>
        <w:t>（二）推进土壤安全利用</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持续推进农用地安全利用。</w:t>
      </w:r>
      <w:r>
        <w:rPr>
          <w:rStyle w:val="64"/>
          <w:rFonts w:ascii="Times New Roman" w:hAnsi="Times New Roman" w:cs="Times New Roman"/>
          <w:b w:val="0"/>
        </w:rPr>
        <w:t>严格</w:t>
      </w:r>
      <w:r>
        <w:rPr>
          <w:rStyle w:val="64"/>
          <w:rFonts w:hint="eastAsia" w:ascii="Times New Roman" w:hAnsi="Times New Roman" w:cs="Times New Roman"/>
          <w:b w:val="0"/>
        </w:rPr>
        <w:t>落实</w:t>
      </w:r>
      <w:r>
        <w:rPr>
          <w:rStyle w:val="64"/>
          <w:rFonts w:ascii="Times New Roman" w:hAnsi="Times New Roman" w:cs="Times New Roman"/>
          <w:b w:val="0"/>
        </w:rPr>
        <w:t>耕地土壤环境质量类别划分技术报告，执行农用地分类管理制度，将优先保护类耕地划为永久基本农田，实行严格保护，确保其面积不减少、土壤环境质量不下降。持续推进受污染耕地安全利用和管控修复，依据国家受污染耕地安全利用技术指南等有关规定，制定实施适合当地的受污染耕地安全利用方案，择优选择安全利用技术和农作物种植种类，确保安全利用类耕地全部实施安全利用措施，2025年底前，全市受污染耕地安全利用率达到100%。</w:t>
      </w:r>
    </w:p>
    <w:p>
      <w:pPr>
        <w:ind w:firstLine="482"/>
        <w:rPr>
          <w:rFonts w:eastAsiaTheme="minorEastAsia"/>
          <w:bCs/>
        </w:rPr>
      </w:pPr>
      <w:r>
        <w:rPr>
          <w:rStyle w:val="64"/>
          <w:bCs w:val="0"/>
        </w:rPr>
        <w:t>有序实施建设用地风险管控和治理修复。</w:t>
      </w:r>
      <w:r>
        <w:rPr>
          <w:rStyle w:val="64"/>
          <w:b w:val="0"/>
        </w:rPr>
        <w:t>严格落实建设用地土壤污染风险管控和修复名录制度。强化用地准入管理和部门联动，对能够修复的建设用地污染地块，应督促土壤污染责任人、土地使用权人进行修复；对不能修复的建设用地污染地块，不得用于开发和利用，并督促土壤污染责任人、土地使用权人依法对建设用地污染地块进行严格管控。积极探索污染地块</w:t>
      </w:r>
      <w:r>
        <w:rPr>
          <w:rStyle w:val="64"/>
          <w:rFonts w:asciiTheme="minorEastAsia" w:hAnsiTheme="minorEastAsia" w:eastAsiaTheme="minorEastAsia"/>
          <w:b w:val="0"/>
        </w:rPr>
        <w:t>“</w:t>
      </w:r>
      <w:r>
        <w:rPr>
          <w:rStyle w:val="64"/>
          <w:b w:val="0"/>
        </w:rPr>
        <w:t>环境修复+开发建设</w:t>
      </w:r>
      <w:r>
        <w:rPr>
          <w:rStyle w:val="64"/>
          <w:rFonts w:asciiTheme="minorEastAsia" w:hAnsiTheme="minorEastAsia" w:eastAsiaTheme="minorEastAsia"/>
          <w:b w:val="0"/>
        </w:rPr>
        <w:t>”</w:t>
      </w:r>
      <w:r>
        <w:rPr>
          <w:rStyle w:val="64"/>
          <w:b w:val="0"/>
        </w:rPr>
        <w:t>模式。推广绿色修复理念，加强污染地块风险管控和修复过程二次污染防控。健全实施风险管控、修复活动地块的过程监管和后期管理机制。督促矿山企业依法依规编制并落实矿山地质环境保护与土地复垦方案，落实土壤污染防治和风险管控措施，进一步加强闭库尾矿库及采煤塌陷地复垦治理。2025年底前，污染地块安全利用率达到100%。</w:t>
      </w:r>
    </w:p>
    <w:p>
      <w:pPr>
        <w:widowControl/>
        <w:ind w:firstLine="562"/>
        <w:jc w:val="left"/>
        <w:outlineLvl w:val="2"/>
        <w:rPr>
          <w:b/>
          <w:bCs/>
          <w:kern w:val="0"/>
          <w:sz w:val="28"/>
          <w:lang w:eastAsia="zh-Hans"/>
        </w:rPr>
      </w:pPr>
      <w:r>
        <w:rPr>
          <w:b/>
          <w:bCs/>
          <w:kern w:val="0"/>
          <w:sz w:val="28"/>
          <w:lang w:eastAsia="zh-Hans"/>
        </w:rPr>
        <w:t>（三）加强地下水污染风险防控</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推动地下水环境分区管理。</w:t>
      </w:r>
      <w:r>
        <w:rPr>
          <w:rStyle w:val="64"/>
          <w:rFonts w:ascii="Times New Roman" w:hAnsi="Times New Roman" w:cs="Times New Roman"/>
          <w:b w:val="0"/>
        </w:rPr>
        <w:t>以饮用水水源保护为核心，开展地下水型饮用水水源补给区及供水单位周边区域环境状况和污染风险调查评估，建立和完善地下水型饮用水水源补给区内优先管控污染源清单，科学诊断地下水污染程度与范围。</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开展地下水环境状况调查评估。</w:t>
      </w:r>
      <w:r>
        <w:rPr>
          <w:rStyle w:val="64"/>
          <w:rFonts w:ascii="Times New Roman" w:hAnsi="Times New Roman" w:cs="Times New Roman"/>
          <w:b w:val="0"/>
        </w:rPr>
        <w:t>对化学品生产企业、工业集聚区、危险废物处置场、垃圾填埋场、矿山开采区、尾矿库、加油站等地下水污染源及周边区域，积极开展地下水环境状况调查及环境风险评估。</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逐步管控地下水环境风险。</w:t>
      </w:r>
      <w:r>
        <w:rPr>
          <w:rStyle w:val="64"/>
          <w:rFonts w:ascii="Times New Roman" w:hAnsi="Times New Roman" w:cs="Times New Roman"/>
          <w:b w:val="0"/>
        </w:rPr>
        <w:t>推进省政府认定的化工园区和化工重点监控点编制</w:t>
      </w:r>
      <w:r>
        <w:rPr>
          <w:rStyle w:val="64"/>
          <w:rFonts w:cs="Times New Roman" w:asciiTheme="minorEastAsia" w:hAnsiTheme="minorEastAsia" w:eastAsiaTheme="minorEastAsia"/>
          <w:b w:val="0"/>
        </w:rPr>
        <w:t>“</w:t>
      </w:r>
      <w:r>
        <w:rPr>
          <w:rStyle w:val="64"/>
          <w:rFonts w:ascii="Times New Roman" w:hAnsi="Times New Roman" w:cs="Times New Roman"/>
          <w:b w:val="0"/>
        </w:rPr>
        <w:t>一区一策</w:t>
      </w:r>
      <w:r>
        <w:rPr>
          <w:rStyle w:val="64"/>
          <w:rFonts w:cs="Times New Roman" w:asciiTheme="minorEastAsia" w:hAnsiTheme="minorEastAsia" w:eastAsiaTheme="minorEastAsia"/>
          <w:b w:val="0"/>
        </w:rPr>
        <w:t>”</w:t>
      </w:r>
      <w:r>
        <w:rPr>
          <w:rStyle w:val="64"/>
          <w:rFonts w:ascii="Times New Roman" w:hAnsi="Times New Roman" w:cs="Times New Roman"/>
          <w:b w:val="0"/>
        </w:rPr>
        <w:t>地下水污染整治方案并组织实施，有序推进地下水污染防治。强化危险废物处置场、生活垃圾填埋场等地下水污染风险管控。试点开展废弃矿井地下水污染防治。完善报废矿井、钻井等清单，持续推进封井回填工作。探索地下水治理修复模式，开展土壤和地下水环境风险协同防治，实施地下水污染风险管控与修复试点。</w:t>
      </w:r>
    </w:p>
    <w:p>
      <w:pPr>
        <w:pStyle w:val="54"/>
        <w:wordWrap w:val="0"/>
        <w:spacing w:beforeAutospacing="0" w:afterAutospacing="0"/>
        <w:ind w:firstLine="482"/>
        <w:jc w:val="both"/>
        <w:rPr>
          <w:rStyle w:val="64"/>
          <w:rFonts w:ascii="Times New Roman" w:hAnsi="Times New Roman" w:cs="Times New Roman"/>
          <w:b w:val="0"/>
        </w:rPr>
      </w:pPr>
      <w:r>
        <w:rPr>
          <w:rStyle w:val="64"/>
          <w:rFonts w:ascii="Times New Roman" w:hAnsi="Times New Roman" w:cs="Times New Roman"/>
          <w:bCs w:val="0"/>
        </w:rPr>
        <w:t>严控地下水超采。</w:t>
      </w:r>
      <w:r>
        <w:rPr>
          <w:rStyle w:val="64"/>
          <w:rFonts w:ascii="Times New Roman" w:hAnsi="Times New Roman" w:cs="Times New Roman"/>
          <w:b w:val="0"/>
        </w:rPr>
        <w:t>严格控制开采深层承压水。系统推进地下水超采治理和地面沉降综合治理。通过节水、农业结构调整等综合治理措施，压减地下水超采量，多渠道增加水源补给，实施河湖地下水回补，提高区域水资源水环境承载能力。</w:t>
      </w:r>
    </w:p>
    <w:p>
      <w:pPr>
        <w:pStyle w:val="1336"/>
        <w:spacing w:before="163" w:after="163"/>
      </w:pPr>
      <w:bookmarkStart w:id="142" w:name="_Toc139894242"/>
      <w:bookmarkStart w:id="143" w:name="_Toc139894370"/>
      <w:bookmarkStart w:id="144" w:name="_Toc139894286"/>
      <w:bookmarkStart w:id="145" w:name="_Toc3697"/>
      <w:r>
        <w:t>五、</w:t>
      </w:r>
      <w:bookmarkEnd w:id="141"/>
      <w:r>
        <w:t>加强生态保护修复</w:t>
      </w:r>
      <w:bookmarkEnd w:id="142"/>
      <w:bookmarkEnd w:id="143"/>
      <w:bookmarkEnd w:id="144"/>
      <w:bookmarkEnd w:id="145"/>
    </w:p>
    <w:p>
      <w:pPr>
        <w:widowControl/>
        <w:ind w:firstLine="562"/>
        <w:jc w:val="left"/>
        <w:outlineLvl w:val="2"/>
        <w:rPr>
          <w:b/>
          <w:bCs/>
          <w:kern w:val="0"/>
          <w:sz w:val="28"/>
          <w:lang w:eastAsia="zh-Hans"/>
        </w:rPr>
      </w:pPr>
      <w:bookmarkStart w:id="146" w:name="_Toc17166"/>
      <w:r>
        <w:rPr>
          <w:b/>
          <w:bCs/>
          <w:kern w:val="0"/>
          <w:sz w:val="28"/>
          <w:lang w:eastAsia="zh-Hans"/>
        </w:rPr>
        <w:t>（一）加强生态系统保护与修复</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lang w:eastAsia="zh-Hans"/>
        </w:rPr>
        <w:t>统筹</w:t>
      </w:r>
      <w:r>
        <w:rPr>
          <w:rStyle w:val="64"/>
          <w:rFonts w:ascii="Times New Roman" w:hAnsi="Times New Roman" w:cs="Times New Roman"/>
          <w:bCs w:val="0"/>
        </w:rPr>
        <w:t>推进山水林田湖草整体保护和系统治理</w:t>
      </w:r>
      <w:r>
        <w:rPr>
          <w:rStyle w:val="64"/>
          <w:rFonts w:ascii="Times New Roman" w:hAnsi="Times New Roman" w:cs="Times New Roman"/>
          <w:bCs w:val="0"/>
          <w:lang w:eastAsia="zh-Hans"/>
        </w:rPr>
        <w:t>。</w:t>
      </w:r>
      <w:r>
        <w:rPr>
          <w:rStyle w:val="64"/>
          <w:rFonts w:hint="eastAsia" w:ascii="Times New Roman" w:hAnsi="Times New Roman" w:cs="Times New Roman"/>
          <w:b w:val="0"/>
        </w:rPr>
        <w:t>针对问题突出的流域、区域，实施水源涵养与保护、截污治污及底泥清淤、河岸植被缓冲带建设、生态环境营造及湿地保护等综合措施，着力提升生态系统质量和稳定性。实施</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山水林田大会战</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，开展</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荒山披绿工程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产业增绿工程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城区绣绿工程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镇村兴绿工程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绿道提升工程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湿地复绿工程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防火防绿工程</w:t>
      </w:r>
      <w:r>
        <w:rPr>
          <w:rStyle w:val="64"/>
          <w:rFonts w:hint="eastAsia" w:cs="Times New Roman" w:asciiTheme="minorEastAsia" w:hAnsiTheme="minorEastAsia" w:eastAsiaTheme="minorEastAsia"/>
          <w:b w:val="0"/>
        </w:rPr>
        <w:t>”</w:t>
      </w:r>
      <w:r>
        <w:rPr>
          <w:rStyle w:val="64"/>
          <w:rFonts w:hint="eastAsia" w:ascii="Times New Roman" w:hAnsi="Times New Roman" w:cs="Times New Roman"/>
          <w:b w:val="0"/>
        </w:rPr>
        <w:t>等工程。加强湿地保护，实施湿地复绿工程，重点开展微山湖片区滨湖湿地公园湿地生态功能修复。推行森林河流湖泊休养生息，健全耕地休耕轮作制度，巩固退耕还林、退田还湖还湿成果。推进绿色矿山建设，督促矿山企业依法依规编制矿山地质环境保护与土地复垦方案，制定实施露天矿山生态修复计划</w:t>
      </w:r>
      <w:r>
        <w:rPr>
          <w:rStyle w:val="64"/>
          <w:rFonts w:ascii="Times New Roman" w:hAnsi="Times New Roman" w:cs="Times New Roman"/>
          <w:b w:val="0"/>
        </w:rPr>
        <w:t>。</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科学推进水土流失治理和塌陷地综合治理。</w:t>
      </w:r>
      <w:r>
        <w:rPr>
          <w:rStyle w:val="64"/>
          <w:rFonts w:hint="eastAsia" w:ascii="Times New Roman" w:hAnsi="Times New Roman" w:cs="Times New Roman"/>
          <w:b w:val="0"/>
        </w:rPr>
        <w:t>着力加强水土保持生态建设，建立健全水土保持监管体系，提高水土信息化水平和综合监管能力。以国家级和省级水土流失重点预防区为重点，实施封山禁牧、轮封轮禁、封育保护，有效解决水土流失问题。滕州市龙山、雷山、洪山前等重点小流域采取封育治理、整修农田、整治梯田、种植经济林等措施，对生态环境进行修复和保护。创新治理理念，继续加快推进破损山体、采煤塌陷地和石膏开采塌陷地、铁矿废弃矿坑等生态环境治理和修复工程，恢复改善塌陷地生态环境，消除地质灾害隐患</w:t>
      </w:r>
      <w:r>
        <w:rPr>
          <w:rStyle w:val="64"/>
          <w:rFonts w:ascii="Times New Roman" w:hAnsi="Times New Roman" w:cs="Times New Roman"/>
          <w:b w:val="0"/>
        </w:rPr>
        <w:t>。</w:t>
      </w:r>
    </w:p>
    <w:p>
      <w:pPr>
        <w:ind w:firstLine="482"/>
        <w:rPr>
          <w:rFonts w:eastAsiaTheme="minorEastAsia"/>
          <w:bCs/>
        </w:rPr>
      </w:pPr>
      <w:r>
        <w:rPr>
          <w:rStyle w:val="64"/>
          <w:bCs w:val="0"/>
        </w:rPr>
        <w:t>推进城市生态系统修复。</w:t>
      </w:r>
      <w:r>
        <w:rPr>
          <w:rStyle w:val="64"/>
          <w:rFonts w:hint="eastAsia"/>
          <w:b w:val="0"/>
        </w:rPr>
        <w:t>实施城市更新行动，推进生态修复和功能完善工程。加强城市山体河湖等自然风貌保护，开展受损山体、废弃工矿用地修复。实施城市河湖生态修复工程，系统开展城市江河、湖泊、湿地、岸线等治理和修复，高标准推进城市水网、蓝道和河湖岸线生态缓冲带建设，恢复河湖水系连通性和流动性</w:t>
      </w:r>
      <w:r>
        <w:rPr>
          <w:rStyle w:val="64"/>
          <w:b w:val="0"/>
        </w:rPr>
        <w:t>。</w:t>
      </w:r>
    </w:p>
    <w:p>
      <w:pPr>
        <w:widowControl/>
        <w:ind w:firstLine="562"/>
        <w:jc w:val="left"/>
        <w:outlineLvl w:val="2"/>
        <w:rPr>
          <w:b/>
          <w:bCs/>
          <w:kern w:val="0"/>
          <w:sz w:val="28"/>
          <w:lang w:eastAsia="zh-Hans"/>
        </w:rPr>
      </w:pPr>
      <w:r>
        <w:rPr>
          <w:b/>
          <w:bCs/>
          <w:kern w:val="0"/>
          <w:sz w:val="28"/>
          <w:lang w:eastAsia="zh-Hans"/>
        </w:rPr>
        <w:t>（二）强化生物多样性保护</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lang w:eastAsia="zh-Hans"/>
        </w:rPr>
        <w:t>夯实生物多样性保护基础。</w:t>
      </w:r>
      <w:r>
        <w:rPr>
          <w:rStyle w:val="64"/>
          <w:rFonts w:ascii="Times New Roman" w:hAnsi="Times New Roman" w:cs="Times New Roman"/>
          <w:b w:val="0"/>
        </w:rPr>
        <w:t>加强生物多样性保护与生物安全宣传教育，提高公众意识和参与程度。</w:t>
      </w:r>
      <w:r>
        <w:rPr>
          <w:rStyle w:val="64"/>
          <w:rFonts w:hint="eastAsia" w:ascii="Times New Roman" w:hAnsi="Times New Roman" w:cs="Times New Roman"/>
          <w:b w:val="0"/>
        </w:rPr>
        <w:t>针对生物多样性资源家底不清、观测网络不健全等问题，积极开展生物多样性资源普查和调查。</w:t>
      </w:r>
      <w:r>
        <w:rPr>
          <w:rStyle w:val="64"/>
          <w:rFonts w:ascii="Times New Roman" w:hAnsi="Times New Roman" w:cs="Times New Roman"/>
          <w:b w:val="0"/>
        </w:rPr>
        <w:t>开展城郭河等代表性河流湿地生态系统生物多样性调查、观测和评估。优化生物多样性观测网络布局，建立指示生物观测和综合观测相结合的观测站点。</w:t>
      </w:r>
    </w:p>
    <w:p>
      <w:pPr>
        <w:pStyle w:val="54"/>
        <w:wordWrap w:val="0"/>
        <w:spacing w:beforeAutospacing="0" w:afterAutospacing="0"/>
        <w:ind w:firstLine="482"/>
        <w:jc w:val="both"/>
        <w:rPr>
          <w:rStyle w:val="64"/>
          <w:rFonts w:ascii="Times New Roman" w:hAnsi="Times New Roman" w:cs="Times New Roman"/>
          <w:b w:val="0"/>
          <w:bCs w:val="0"/>
          <w:lang w:eastAsia="zh-Hans"/>
        </w:rPr>
      </w:pPr>
      <w:r>
        <w:rPr>
          <w:rStyle w:val="64"/>
          <w:rFonts w:ascii="Times New Roman" w:hAnsi="Times New Roman" w:cs="Times New Roman"/>
          <w:bCs w:val="0"/>
          <w:lang w:eastAsia="zh-Hans"/>
        </w:rPr>
        <w:t>实施生物多样性保护重大工程。</w:t>
      </w:r>
      <w:r>
        <w:rPr>
          <w:rStyle w:val="64"/>
          <w:rFonts w:ascii="Times New Roman" w:hAnsi="Times New Roman" w:cs="Times New Roman"/>
          <w:b w:val="0"/>
          <w:lang w:eastAsia="zh-Hans"/>
        </w:rPr>
        <w:t>统筹就地保护和迁地保护，加强国家重点保护和珍惜濒危野生动植物及栖息地、原生境的保护修复，连通重要物种迁徙扩散生态廊道，构筑生物多样性保护网络。建立野生动物救护繁（培）育中心及野放（化）基地，实施珍稀濒危和极小种群物种抢救性保护，恢复提升重要保护物种、指示性物种野外物种群数量。加强古树名木保护，继续加强特色乡土种质资源保护。积极开展</w:t>
      </w:r>
      <w:r>
        <w:rPr>
          <w:rStyle w:val="64"/>
          <w:rFonts w:cs="Times New Roman" w:asciiTheme="minorEastAsia" w:hAnsiTheme="minorEastAsia" w:eastAsiaTheme="minorEastAsia"/>
          <w:b w:val="0"/>
          <w:lang w:eastAsia="zh-Hans"/>
        </w:rPr>
        <w:t>“</w:t>
      </w:r>
      <w:r>
        <w:rPr>
          <w:rStyle w:val="64"/>
          <w:rFonts w:ascii="Times New Roman" w:hAnsi="Times New Roman" w:cs="Times New Roman"/>
          <w:b w:val="0"/>
          <w:lang w:eastAsia="zh-Hans"/>
        </w:rPr>
        <w:t>护鸟行动</w:t>
      </w:r>
      <w:r>
        <w:rPr>
          <w:rStyle w:val="64"/>
          <w:rFonts w:cs="Times New Roman" w:asciiTheme="minorEastAsia" w:hAnsiTheme="minorEastAsia" w:eastAsiaTheme="minorEastAsia"/>
          <w:b w:val="0"/>
          <w:lang w:eastAsia="zh-Hans"/>
        </w:rPr>
        <w:t>”</w:t>
      </w:r>
      <w:r>
        <w:rPr>
          <w:rStyle w:val="64"/>
          <w:rFonts w:ascii="Times New Roman" w:hAnsi="Times New Roman" w:cs="Times New Roman"/>
          <w:b w:val="0"/>
          <w:lang w:eastAsia="zh-Hans"/>
        </w:rPr>
        <w:t>，定期对辖区内湿地公园、候鸟迁徙通道、重点栖息地、聚集地进行监测巡护，为候鸟迁徙打造绿色安全通道。2025年底前，国家重点保护野生动植物物种保护率达到100%。</w:t>
      </w:r>
    </w:p>
    <w:p>
      <w:pPr>
        <w:pStyle w:val="54"/>
        <w:wordWrap w:val="0"/>
        <w:spacing w:beforeAutospacing="0" w:afterAutospacing="0"/>
        <w:ind w:firstLine="482"/>
        <w:jc w:val="both"/>
        <w:rPr>
          <w:rStyle w:val="64"/>
          <w:rFonts w:ascii="Times New Roman" w:hAnsi="Times New Roman" w:cs="Times New Roman"/>
          <w:b w:val="0"/>
          <w:bCs w:val="0"/>
          <w:lang w:eastAsia="zh-Hans"/>
        </w:rPr>
      </w:pPr>
      <w:r>
        <w:rPr>
          <w:rStyle w:val="64"/>
          <w:rFonts w:ascii="Times New Roman" w:hAnsi="Times New Roman" w:cs="Times New Roman"/>
          <w:bCs w:val="0"/>
          <w:lang w:eastAsia="zh-Hans"/>
        </w:rPr>
        <w:t>推进生物遗传资源保护与管理。</w:t>
      </w:r>
      <w:r>
        <w:rPr>
          <w:rStyle w:val="64"/>
          <w:rFonts w:ascii="Times New Roman" w:hAnsi="Times New Roman" w:cs="Times New Roman"/>
          <w:b w:val="0"/>
          <w:lang w:eastAsia="zh-Hans"/>
        </w:rPr>
        <w:t>开展生物遗传资源和生物多样性相关传统知识调查、登记、入库工作。落实生物遗传资源获取与惠益分享制度。加强国家生物遗传资源迁地和离体保藏工作，强化野生生物种质资源收集、保藏，健全种质资源保存体系，开展重要生物遗传资源成效评估。</w:t>
      </w:r>
    </w:p>
    <w:p>
      <w:pPr>
        <w:ind w:firstLine="482"/>
        <w:rPr>
          <w:rFonts w:eastAsiaTheme="minorEastAsia"/>
          <w:bCs/>
        </w:rPr>
      </w:pPr>
      <w:r>
        <w:rPr>
          <w:rStyle w:val="64"/>
          <w:bCs w:val="0"/>
          <w:lang w:eastAsia="zh-Hans"/>
        </w:rPr>
        <w:t>加强生物安全管理。</w:t>
      </w:r>
      <w:r>
        <w:rPr>
          <w:rStyle w:val="64"/>
          <w:b w:val="0"/>
          <w:lang w:eastAsia="zh-Hans"/>
        </w:rPr>
        <w:t>加强生物安全风险防控和治理，加强互花米草、松材线虫、美国白蛾等外来入侵物种管控，持续开展外来入侵物种调查、监测和预警，及时更新外来入侵物种名录。加强转基因生物技术的环境安全监管，建立健全生物技术的环境风险评价、检测、监测、预警和安全控制体系。</w:t>
      </w:r>
    </w:p>
    <w:p>
      <w:pPr>
        <w:pStyle w:val="1336"/>
        <w:spacing w:before="163" w:after="163"/>
      </w:pPr>
      <w:bookmarkStart w:id="147" w:name="_Toc139894371"/>
      <w:bookmarkStart w:id="148" w:name="_Toc139894243"/>
      <w:bookmarkStart w:id="149" w:name="_Toc14277"/>
      <w:bookmarkStart w:id="150" w:name="_Toc139894287"/>
      <w:r>
        <w:t>六、</w:t>
      </w:r>
      <w:bookmarkEnd w:id="146"/>
      <w:r>
        <w:t>强化风险防控</w:t>
      </w:r>
      <w:bookmarkEnd w:id="147"/>
      <w:bookmarkEnd w:id="148"/>
      <w:bookmarkEnd w:id="149"/>
      <w:bookmarkEnd w:id="150"/>
    </w:p>
    <w:p>
      <w:pPr>
        <w:widowControl/>
        <w:ind w:firstLine="562"/>
        <w:jc w:val="left"/>
        <w:outlineLvl w:val="2"/>
        <w:rPr>
          <w:b/>
          <w:bCs/>
          <w:kern w:val="0"/>
          <w:sz w:val="28"/>
          <w:lang w:eastAsia="zh-Hans"/>
        </w:rPr>
      </w:pPr>
      <w:bookmarkStart w:id="151" w:name="_Toc20146"/>
      <w:r>
        <w:rPr>
          <w:b/>
          <w:bCs/>
          <w:kern w:val="0"/>
          <w:sz w:val="28"/>
          <w:lang w:eastAsia="zh-Hans"/>
        </w:rPr>
        <w:t>（一）完善环境风险防控机制</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rPr>
        <w:t>健全环境风险预测预警体系。</w:t>
      </w:r>
      <w:r>
        <w:rPr>
          <w:rStyle w:val="64"/>
          <w:rFonts w:ascii="Times New Roman" w:hAnsi="Times New Roman" w:cs="Times New Roman"/>
          <w:b w:val="0"/>
        </w:rPr>
        <w:t>建立环境风险联防联控机制，共同加强环境风险源风险防控管理与应急处置。强化重污染天气、饮用水水源地、南水北调、有毒有害气体、核安全等预警工作。实施饮用水水源地监控管理。工业园区建立和完善集污染源监控、环境质量监控、重点生产区域图像监控于一体的园区数字化在线监控中心，制定突发环境事件应急预案。</w:t>
      </w:r>
    </w:p>
    <w:p>
      <w:pPr>
        <w:ind w:firstLine="482"/>
        <w:rPr>
          <w:rFonts w:eastAsiaTheme="minorEastAsia"/>
          <w:bCs/>
        </w:rPr>
      </w:pPr>
      <w:r>
        <w:rPr>
          <w:rStyle w:val="64"/>
          <w:bCs w:val="0"/>
        </w:rPr>
        <w:t>加强应急防范处置能力。</w:t>
      </w:r>
      <w:r>
        <w:rPr>
          <w:rStyle w:val="64"/>
          <w:b w:val="0"/>
        </w:rPr>
        <w:t>健全多级联动的突发环境事件应急管理体系，完善突发环境事件现场指挥与应急协调机制、信息报告和公开机制，建立健全突发环境事件应急指挥决策支持系统。深化生态环境与交通运输、安全监管、公安消防等部门应急联动机制建设，完善流域上下游地区环境应急联动合作机制，全面提升环境应急防范、指挥、监测和物资调度能力。</w:t>
      </w:r>
    </w:p>
    <w:p>
      <w:pPr>
        <w:widowControl/>
        <w:ind w:firstLine="562"/>
        <w:jc w:val="left"/>
        <w:outlineLvl w:val="2"/>
        <w:rPr>
          <w:b/>
          <w:bCs/>
          <w:kern w:val="0"/>
          <w:sz w:val="28"/>
          <w:lang w:eastAsia="zh-Hans"/>
        </w:rPr>
      </w:pPr>
      <w:r>
        <w:rPr>
          <w:b/>
          <w:bCs/>
          <w:kern w:val="0"/>
          <w:sz w:val="28"/>
          <w:lang w:eastAsia="zh-Hans"/>
        </w:rPr>
        <w:t>（二）加强危险废物医疗废物收集处理</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lang w:eastAsia="zh-Hans"/>
        </w:rPr>
        <w:t>强</w:t>
      </w:r>
      <w:r>
        <w:rPr>
          <w:rStyle w:val="64"/>
          <w:rFonts w:ascii="Times New Roman" w:hAnsi="Times New Roman" w:cs="Times New Roman"/>
          <w:bCs w:val="0"/>
        </w:rPr>
        <w:t>化危险废物源头控制。</w:t>
      </w:r>
      <w:r>
        <w:rPr>
          <w:rStyle w:val="64"/>
          <w:rFonts w:ascii="Times New Roman" w:hAnsi="Times New Roman" w:cs="Times New Roman"/>
          <w:b w:val="0"/>
        </w:rPr>
        <w:t>引导企业使用低毒低害和无毒无害原料，促进企业从源头削减或避免危险废物产生。对以危险废物为原料进行生产或者在生产中排放危险废物的企业，实施强制性清洁生产审核，提出并实施减少危险废物的使用、产生和资源化利用方案。对辖区内尚无危险废物集中处置设施或处置能力严重不足的地区，严格控制产生危险废物的项目建设。</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rPr>
        <w:t>推进危险废物处置设施建设。</w:t>
      </w:r>
      <w:r>
        <w:rPr>
          <w:rStyle w:val="64"/>
          <w:rFonts w:ascii="Times New Roman" w:hAnsi="Times New Roman" w:cs="Times New Roman"/>
          <w:b w:val="0"/>
        </w:rPr>
        <w:t>优化危险废物处置能力配置。危险废物年产生量大于5000吨的企业，以及园区内所有企业危险废物年产生量之和大于1万吨的化工园区，应配套建设危险废物处置设施。鼓励产生量大、种类单一的企业和园区配套建设危险废物收集、贮存、预处理和处置设施。</w:t>
      </w:r>
    </w:p>
    <w:p>
      <w:pPr>
        <w:pStyle w:val="54"/>
        <w:wordWrap w:val="0"/>
        <w:spacing w:beforeAutospacing="0" w:afterAutospacing="0"/>
        <w:ind w:firstLine="482"/>
        <w:jc w:val="both"/>
        <w:rPr>
          <w:rFonts w:ascii="Times New Roman" w:hAnsi="Times New Roman" w:cs="Times New Roman"/>
          <w:bCs/>
        </w:rPr>
      </w:pPr>
      <w:r>
        <w:rPr>
          <w:rStyle w:val="64"/>
          <w:rFonts w:ascii="Times New Roman" w:hAnsi="Times New Roman" w:cs="Times New Roman"/>
          <w:bCs w:val="0"/>
        </w:rPr>
        <w:t>推进医疗废物城乡一体化处置。</w:t>
      </w:r>
      <w:r>
        <w:rPr>
          <w:rStyle w:val="64"/>
          <w:rFonts w:ascii="Times New Roman" w:hAnsi="Times New Roman" w:cs="Times New Roman"/>
          <w:b w:val="0"/>
        </w:rPr>
        <w:t>建立城乡一体的医疗废物收集转运体系。完善医疗废物分类管理制度，严格落实医疗废物分类管理、专用包装、集中贮存要求，加强收集、转运设施设备配套，因地制宜推行以处置企业为主体的农村医疗废物收集转运工作模式。</w:t>
      </w:r>
    </w:p>
    <w:p>
      <w:pPr>
        <w:ind w:firstLine="482"/>
        <w:rPr>
          <w:rFonts w:eastAsiaTheme="minorEastAsia"/>
          <w:bCs/>
        </w:rPr>
      </w:pPr>
      <w:r>
        <w:rPr>
          <w:rStyle w:val="64"/>
          <w:bCs w:val="0"/>
        </w:rPr>
        <w:t>强化落实危险废物全过程监管。</w:t>
      </w:r>
      <w:r>
        <w:rPr>
          <w:rStyle w:val="64"/>
          <w:b w:val="0"/>
        </w:rPr>
        <w:t>动态更新危险废物重点监管企业名单，强化危险废物从产生、贮存、转移到处置利用的全过程监管。建设危险废物管理信息系统，构建</w:t>
      </w:r>
      <w:r>
        <w:rPr>
          <w:rStyle w:val="64"/>
          <w:rFonts w:asciiTheme="minorEastAsia" w:hAnsiTheme="minorEastAsia" w:eastAsiaTheme="minorEastAsia"/>
          <w:b w:val="0"/>
        </w:rPr>
        <w:t>“</w:t>
      </w:r>
      <w:r>
        <w:rPr>
          <w:rStyle w:val="64"/>
          <w:b w:val="0"/>
        </w:rPr>
        <w:t>能定位、能查询、能跟踪、能预警、能考核</w:t>
      </w:r>
      <w:r>
        <w:rPr>
          <w:rStyle w:val="64"/>
          <w:rFonts w:asciiTheme="minorEastAsia" w:hAnsiTheme="minorEastAsia" w:eastAsiaTheme="minorEastAsia"/>
          <w:b w:val="0"/>
        </w:rPr>
        <w:t>”</w:t>
      </w:r>
      <w:r>
        <w:rPr>
          <w:rStyle w:val="64"/>
          <w:b w:val="0"/>
        </w:rPr>
        <w:t>的危险废物全过程管理平台。例行开展危险废物规范化管理考核，稳步提高危险废物产生单位和经营单位规范化管理考核达标率，全面落实危险废物管理制度。</w:t>
      </w:r>
    </w:p>
    <w:p>
      <w:pPr>
        <w:widowControl/>
        <w:ind w:firstLine="562"/>
        <w:jc w:val="left"/>
        <w:outlineLvl w:val="2"/>
        <w:rPr>
          <w:b/>
          <w:bCs/>
          <w:kern w:val="0"/>
          <w:sz w:val="28"/>
          <w:lang w:eastAsia="zh-Hans"/>
        </w:rPr>
      </w:pPr>
      <w:r>
        <w:rPr>
          <w:b/>
          <w:bCs/>
          <w:kern w:val="0"/>
          <w:sz w:val="28"/>
          <w:lang w:eastAsia="zh-Hans"/>
        </w:rPr>
        <w:t>（三）推进重金属及尾矿库综合整治</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持续推进重点区域重金属减排。</w:t>
      </w:r>
      <w:r>
        <w:rPr>
          <w:rStyle w:val="64"/>
          <w:rFonts w:ascii="Times New Roman" w:hAnsi="Times New Roman" w:cs="Times New Roman"/>
          <w:b w:val="0"/>
        </w:rPr>
        <w:t>严格涉重金属企业环境准入管理，在环境重金属超标、排放量大的区域，新（改、扩）建涉重金属重点行业建设项目实施</w:t>
      </w:r>
      <w:r>
        <w:rPr>
          <w:rStyle w:val="64"/>
          <w:rFonts w:cs="Times New Roman" w:asciiTheme="minorEastAsia" w:hAnsiTheme="minorEastAsia" w:eastAsiaTheme="minorEastAsia"/>
          <w:b w:val="0"/>
        </w:rPr>
        <w:t>“</w:t>
      </w:r>
      <w:r>
        <w:rPr>
          <w:rStyle w:val="64"/>
          <w:rFonts w:ascii="Times New Roman" w:hAnsi="Times New Roman" w:cs="Times New Roman"/>
          <w:b w:val="0"/>
        </w:rPr>
        <w:t>减量替代</w:t>
      </w:r>
      <w:r>
        <w:rPr>
          <w:rStyle w:val="64"/>
          <w:rFonts w:cs="Times New Roman" w:asciiTheme="minorEastAsia" w:hAnsiTheme="minorEastAsia" w:eastAsiaTheme="minorEastAsia"/>
          <w:b w:val="0"/>
        </w:rPr>
        <w:t>”</w:t>
      </w:r>
      <w:r>
        <w:rPr>
          <w:rStyle w:val="64"/>
          <w:rFonts w:ascii="Times New Roman" w:hAnsi="Times New Roman" w:cs="Times New Roman"/>
          <w:b w:val="0"/>
        </w:rPr>
        <w:t>，其他区域实施</w:t>
      </w:r>
      <w:r>
        <w:rPr>
          <w:rStyle w:val="64"/>
          <w:rFonts w:cs="Times New Roman" w:asciiTheme="minorEastAsia" w:hAnsiTheme="minorEastAsia" w:eastAsiaTheme="minorEastAsia"/>
          <w:b w:val="0"/>
        </w:rPr>
        <w:t>“</w:t>
      </w:r>
      <w:r>
        <w:rPr>
          <w:rStyle w:val="64"/>
          <w:rFonts w:ascii="Times New Roman" w:hAnsi="Times New Roman" w:cs="Times New Roman"/>
          <w:b w:val="0"/>
        </w:rPr>
        <w:t>等量替代</w:t>
      </w:r>
      <w:r>
        <w:rPr>
          <w:rStyle w:val="64"/>
          <w:rFonts w:cs="Times New Roman" w:asciiTheme="minorEastAsia" w:hAnsiTheme="minorEastAsia" w:eastAsiaTheme="minorEastAsia"/>
          <w:b w:val="0"/>
        </w:rPr>
        <w:t>”</w:t>
      </w:r>
      <w:r>
        <w:rPr>
          <w:rStyle w:val="64"/>
          <w:rFonts w:ascii="Times New Roman" w:hAnsi="Times New Roman" w:cs="Times New Roman"/>
          <w:b w:val="0"/>
        </w:rPr>
        <w:t>，严格控制重金属污染物新增量。以结构调整、升级改造和深度治理为主要手段，推动实施一批重金属减排工程，持续减少重金属污染物排放。</w:t>
      </w:r>
    </w:p>
    <w:p>
      <w:pPr>
        <w:pStyle w:val="54"/>
        <w:wordWrap w:val="0"/>
        <w:spacing w:beforeAutospacing="0" w:afterAutospacing="0"/>
        <w:ind w:firstLine="482"/>
        <w:jc w:val="both"/>
        <w:rPr>
          <w:rStyle w:val="64"/>
          <w:rFonts w:ascii="Times New Roman" w:hAnsi="Times New Roman" w:cs="Times New Roman"/>
          <w:b w:val="0"/>
          <w:bCs w:val="0"/>
        </w:rPr>
      </w:pPr>
      <w:r>
        <w:rPr>
          <w:rStyle w:val="64"/>
          <w:rFonts w:ascii="Times New Roman" w:hAnsi="Times New Roman" w:cs="Times New Roman"/>
          <w:bCs w:val="0"/>
        </w:rPr>
        <w:t>加强重点行业重金属污染综合治理。</w:t>
      </w:r>
      <w:r>
        <w:rPr>
          <w:rStyle w:val="64"/>
          <w:rFonts w:ascii="Times New Roman" w:hAnsi="Times New Roman" w:cs="Times New Roman"/>
          <w:b w:val="0"/>
        </w:rPr>
        <w:t>加大电池、制版等涉重金属行业企业环境整治力度，严防跑冒滴漏，强化废气、污水等治理监管，完善无组织排放铅尘、铅烟的收集与处置，确保重金属污染物达标排放。开展涉铊企业排查整治，实现涉铊企业</w:t>
      </w:r>
      <w:r>
        <w:rPr>
          <w:rStyle w:val="64"/>
          <w:rFonts w:cs="Times New Roman" w:asciiTheme="minorEastAsia" w:hAnsiTheme="minorEastAsia" w:eastAsiaTheme="minorEastAsia"/>
          <w:b w:val="0"/>
        </w:rPr>
        <w:t>“</w:t>
      </w:r>
      <w:r>
        <w:rPr>
          <w:rStyle w:val="64"/>
          <w:rFonts w:ascii="Times New Roman" w:hAnsi="Times New Roman" w:cs="Times New Roman"/>
          <w:b w:val="0"/>
        </w:rPr>
        <w:t>数量清、分布清、问题清、治理好</w:t>
      </w:r>
      <w:r>
        <w:rPr>
          <w:rStyle w:val="64"/>
          <w:rFonts w:cs="Times New Roman" w:asciiTheme="minorEastAsia" w:hAnsiTheme="minorEastAsia" w:eastAsiaTheme="minorEastAsia"/>
          <w:b w:val="0"/>
        </w:rPr>
        <w:t>”</w:t>
      </w:r>
      <w:r>
        <w:rPr>
          <w:rStyle w:val="64"/>
          <w:rFonts w:ascii="Times New Roman" w:hAnsi="Times New Roman" w:cs="Times New Roman"/>
          <w:b w:val="0"/>
        </w:rPr>
        <w:t>。</w:t>
      </w:r>
    </w:p>
    <w:p>
      <w:pPr>
        <w:ind w:firstLine="482"/>
        <w:rPr>
          <w:rFonts w:eastAsiaTheme="minorEastAsia"/>
          <w:bCs/>
        </w:rPr>
      </w:pPr>
      <w:r>
        <w:rPr>
          <w:rStyle w:val="64"/>
          <w:bCs w:val="0"/>
        </w:rPr>
        <w:t>开展尾矿库污染治理。</w:t>
      </w:r>
      <w:r>
        <w:rPr>
          <w:rStyle w:val="64"/>
          <w:b w:val="0"/>
        </w:rPr>
        <w:t>严格新（改、扩）建尾矿库环境准入。推进尾矿库分级分类环境管理，以矿产资源开发活动集中区域为重点，加强尾矿库环境风险隐患和矿区无序堆存历史遗留废物排查整治。稳妥推进尾矿资源综合利用，鼓励企业通过尾矿综合利用减少尾矿堆存量。严厉打击违法违规向水库、江河、湖泊等排放尾矿的行为。</w:t>
      </w:r>
    </w:p>
    <w:p>
      <w:pPr>
        <w:widowControl/>
        <w:ind w:firstLine="562"/>
        <w:jc w:val="left"/>
        <w:outlineLvl w:val="2"/>
        <w:rPr>
          <w:b/>
          <w:bCs/>
          <w:kern w:val="0"/>
          <w:sz w:val="28"/>
          <w:lang w:eastAsia="zh-Hans"/>
        </w:rPr>
      </w:pPr>
      <w:r>
        <w:rPr>
          <w:b/>
          <w:bCs/>
          <w:kern w:val="0"/>
          <w:sz w:val="28"/>
          <w:lang w:eastAsia="zh-Hans"/>
        </w:rPr>
        <w:t>（四）推进</w:t>
      </w:r>
      <w:r>
        <w:rPr>
          <w:rFonts w:asciiTheme="minorEastAsia" w:hAnsiTheme="minorEastAsia" w:eastAsiaTheme="minorEastAsia"/>
          <w:b/>
          <w:bCs/>
          <w:kern w:val="0"/>
          <w:sz w:val="28"/>
          <w:lang w:eastAsia="zh-Hans"/>
        </w:rPr>
        <w:t>“</w:t>
      </w:r>
      <w:r>
        <w:rPr>
          <w:b/>
          <w:bCs/>
          <w:kern w:val="0"/>
          <w:sz w:val="28"/>
          <w:lang w:eastAsia="zh-Hans"/>
        </w:rPr>
        <w:t>无废城市</w:t>
      </w:r>
      <w:r>
        <w:rPr>
          <w:rFonts w:asciiTheme="minorEastAsia" w:hAnsiTheme="minorEastAsia" w:eastAsiaTheme="minorEastAsia"/>
          <w:b/>
          <w:bCs/>
          <w:kern w:val="0"/>
          <w:sz w:val="28"/>
          <w:lang w:eastAsia="zh-Hans"/>
        </w:rPr>
        <w:t>”</w:t>
      </w:r>
      <w:r>
        <w:rPr>
          <w:b/>
          <w:bCs/>
          <w:kern w:val="0"/>
          <w:sz w:val="28"/>
          <w:lang w:eastAsia="zh-Hans"/>
        </w:rPr>
        <w:t>建设</w:t>
      </w:r>
    </w:p>
    <w:p>
      <w:pPr>
        <w:pStyle w:val="54"/>
        <w:wordWrap w:val="0"/>
        <w:spacing w:beforeAutospacing="0" w:afterAutospacing="0"/>
        <w:ind w:firstLine="482"/>
        <w:jc w:val="both"/>
        <w:rPr>
          <w:rFonts w:ascii="Times New Roman" w:hAnsi="Times New Roman" w:cs="Times New Roman"/>
          <w:bCs/>
        </w:rPr>
      </w:pPr>
      <w:r>
        <w:rPr>
          <w:rFonts w:ascii="Times New Roman" w:hAnsi="Times New Roman" w:cs="Times New Roman"/>
          <w:b/>
        </w:rPr>
        <w:t>以</w:t>
      </w:r>
      <w:r>
        <w:rPr>
          <w:rFonts w:cs="Times New Roman" w:asciiTheme="minorEastAsia" w:hAnsiTheme="minorEastAsia" w:eastAsiaTheme="minorEastAsia"/>
          <w:b/>
        </w:rPr>
        <w:t>“</w:t>
      </w:r>
      <w:r>
        <w:rPr>
          <w:rFonts w:ascii="Times New Roman" w:hAnsi="Times New Roman" w:cs="Times New Roman"/>
          <w:b/>
        </w:rPr>
        <w:t>无废城市</w:t>
      </w:r>
      <w:r>
        <w:rPr>
          <w:rFonts w:cs="Times New Roman" w:asciiTheme="minorEastAsia" w:hAnsiTheme="minorEastAsia" w:eastAsiaTheme="minorEastAsia"/>
          <w:b/>
        </w:rPr>
        <w:t>”</w:t>
      </w:r>
      <w:r>
        <w:rPr>
          <w:rFonts w:ascii="Times New Roman" w:hAnsi="Times New Roman" w:cs="Times New Roman"/>
          <w:b/>
        </w:rPr>
        <w:t>建设为引领防范环境风险。</w:t>
      </w:r>
      <w:r>
        <w:rPr>
          <w:rFonts w:ascii="Times New Roman" w:hAnsi="Times New Roman" w:cs="Times New Roman"/>
          <w:bCs/>
        </w:rPr>
        <w:t>推进落实固体废物资源化利用政策、标准、规范，最大限度减少填埋量。促进秸秆、畜禽粪污等主要农业废弃物全量利用。完善废塑料、废钢铁、废轮胎等废旧物资回收体系。推行废旧家电、消费电子等耐用消费品生产企业</w:t>
      </w:r>
      <w:r>
        <w:rPr>
          <w:rFonts w:cs="Times New Roman" w:asciiTheme="minorEastAsia" w:hAnsiTheme="minorEastAsia" w:eastAsiaTheme="minorEastAsia"/>
          <w:bCs/>
        </w:rPr>
        <w:t>“</w:t>
      </w:r>
      <w:r>
        <w:rPr>
          <w:rFonts w:ascii="Times New Roman" w:hAnsi="Times New Roman" w:cs="Times New Roman"/>
          <w:bCs/>
        </w:rPr>
        <w:t>逆向回收</w:t>
      </w:r>
      <w:r>
        <w:rPr>
          <w:rFonts w:cs="Times New Roman" w:asciiTheme="minorEastAsia" w:hAnsiTheme="minorEastAsia" w:eastAsiaTheme="minorEastAsia"/>
          <w:bCs/>
        </w:rPr>
        <w:t>”</w:t>
      </w:r>
      <w:r>
        <w:rPr>
          <w:rFonts w:ascii="Times New Roman" w:hAnsi="Times New Roman" w:cs="Times New Roman"/>
          <w:bCs/>
        </w:rPr>
        <w:t>模式，鼓励企业创新综合利用技术，不断提升废旧物资循环利用水平。以尾矿、煤矸石、粉煤灰和建筑垃圾等为重点，推动大宗工业固体废物贮存处置总量趋零增长。开展非正规固体废物堆存场所排查整治。构建集污水、垃圾、固废、危废、医废处理处置设施和监测监管能力于一体的环境基础设施体系，形成由城市向建制镇和乡村延伸覆盖的环境基础设施网络。</w:t>
      </w:r>
    </w:p>
    <w:p>
      <w:pPr>
        <w:ind w:firstLine="482"/>
        <w:rPr>
          <w:rFonts w:eastAsiaTheme="minorEastAsia"/>
          <w:bCs/>
        </w:rPr>
      </w:pPr>
      <w:r>
        <w:rPr>
          <w:b/>
        </w:rPr>
        <w:t>加强白色污染治理。</w:t>
      </w:r>
      <w:r>
        <w:rPr>
          <w:bCs/>
        </w:rPr>
        <w:t>加强塑料污染全链条防治。积极推广替代产品，增加可循环、易回收、可降解绿色产品供给。持续开展塑料污染治理部门联合专项行动，依法查处生产、销售厚度小于0.025毫米的超薄塑料购物袋、厚度小于0.01毫米的聚乙烯农用地膜和纳入淘汰类产品目录的一次性发泡塑料餐具、塑料棉签、含塑料微珠的日化产品等违法行为。禁止以医疗废物为原料制造塑料制品。常态化开展河湖水域、岸线、滩地等重点区域塑料垃圾清理。推进农膜生产者责任延伸制度，深入开展废旧农膜回收以旧换新试点。</w:t>
      </w:r>
    </w:p>
    <w:p>
      <w:pPr>
        <w:widowControl/>
        <w:ind w:firstLine="562"/>
        <w:jc w:val="left"/>
        <w:outlineLvl w:val="2"/>
        <w:rPr>
          <w:b/>
          <w:bCs/>
          <w:kern w:val="0"/>
          <w:sz w:val="28"/>
          <w:lang w:eastAsia="zh-Hans"/>
        </w:rPr>
      </w:pPr>
      <w:r>
        <w:rPr>
          <w:b/>
          <w:bCs/>
          <w:kern w:val="0"/>
          <w:sz w:val="28"/>
          <w:lang w:eastAsia="zh-Hans"/>
        </w:rPr>
        <w:t>（五）加强核与辐射安全监管</w:t>
      </w:r>
    </w:p>
    <w:p>
      <w:pPr>
        <w:pStyle w:val="54"/>
        <w:wordWrap w:val="0"/>
        <w:spacing w:beforeAutospacing="0" w:afterAutospacing="0"/>
        <w:ind w:firstLine="480"/>
        <w:jc w:val="both"/>
        <w:rPr>
          <w:rStyle w:val="64"/>
          <w:rFonts w:ascii="Times New Roman" w:hAnsi="Times New Roman" w:cs="Times New Roman"/>
          <w:b w:val="0"/>
          <w:bCs w:val="0"/>
        </w:rPr>
      </w:pPr>
      <w:r>
        <w:rPr>
          <w:rStyle w:val="64"/>
          <w:rFonts w:ascii="Times New Roman" w:hAnsi="Times New Roman" w:cs="Times New Roman"/>
          <w:b w:val="0"/>
        </w:rPr>
        <w:t>完善核与辐射安全监管能力工程建设，增强突发性辐射事件应急处置能力，加强辐射环境质量监测、辐射源远程安全监控和监管信息系统建设，预防突发性核与辐射事故发生。督促用核单位积极开展工作人员辐射安全与防护知识培训，同时做好辐射工作单位的安全宣传工作，增强辐射工作单位安全管理意识。按省</w:t>
      </w:r>
      <w:r>
        <w:rPr>
          <w:rStyle w:val="64"/>
          <w:rFonts w:hint="eastAsia" w:ascii="Times New Roman" w:hAnsi="Times New Roman" w:cs="Times New Roman"/>
          <w:b w:val="0"/>
        </w:rPr>
        <w:t>、</w:t>
      </w:r>
      <w:r>
        <w:rPr>
          <w:rStyle w:val="64"/>
          <w:rFonts w:ascii="Times New Roman" w:hAnsi="Times New Roman" w:cs="Times New Roman"/>
          <w:b w:val="0"/>
        </w:rPr>
        <w:t>市辐射安全监督管理工作要求，开展日常监督性检查，检查有关单位法律法规执行及落实情况，辐射工作人员持证与培训情况、年度辐射安全自查评估情况以及辐射安全和防护设施运行与维护情况等。</w:t>
      </w:r>
    </w:p>
    <w:p>
      <w:pPr>
        <w:widowControl/>
        <w:ind w:firstLine="562"/>
        <w:jc w:val="left"/>
        <w:outlineLvl w:val="2"/>
        <w:rPr>
          <w:b/>
          <w:bCs/>
          <w:kern w:val="0"/>
          <w:sz w:val="28"/>
          <w:lang w:eastAsia="zh-Hans"/>
        </w:rPr>
      </w:pPr>
      <w:r>
        <w:rPr>
          <w:b/>
          <w:bCs/>
          <w:kern w:val="0"/>
          <w:sz w:val="28"/>
          <w:lang w:eastAsia="zh-Hans"/>
        </w:rPr>
        <w:t>（六）重视新污染物治理</w:t>
      </w:r>
    </w:p>
    <w:p>
      <w:pPr>
        <w:pStyle w:val="54"/>
        <w:wordWrap w:val="0"/>
        <w:spacing w:beforeAutospacing="0" w:afterAutospacing="0"/>
        <w:ind w:firstLine="480"/>
        <w:jc w:val="both"/>
        <w:rPr>
          <w:rStyle w:val="64"/>
          <w:rFonts w:ascii="Times New Roman" w:hAnsi="Times New Roman" w:cs="Times New Roman"/>
          <w:b w:val="0"/>
        </w:rPr>
      </w:pPr>
      <w:r>
        <w:rPr>
          <w:rStyle w:val="64"/>
          <w:rFonts w:ascii="Times New Roman" w:hAnsi="Times New Roman" w:cs="Times New Roman"/>
          <w:b w:val="0"/>
        </w:rPr>
        <w:t>按照国家和全省统一部署，编制新污染物治理实施方案和专项调查监测工作方案。在南四湖区域开展微塑料、内分泌干扰物、抗生素、全氟化合物等新污染物环境调查监测和环境风险评估。加强新污染物环境与健康危害机理、跟踪溯源、迁移机制等创新技术研究。开展重点行业重点化学物质调查。对使用有毒有害化学物质或在生产过程中排放新污染物的企业，全面实施强制性清洁生产审核。加强事中事后监管，将新污染</w:t>
      </w:r>
      <w:r>
        <w:rPr>
          <w:rStyle w:val="64"/>
          <w:rFonts w:hint="eastAsia" w:ascii="Times New Roman" w:hAnsi="Times New Roman" w:cs="Times New Roman"/>
          <w:b w:val="0"/>
        </w:rPr>
        <w:t>物</w:t>
      </w:r>
      <w:r>
        <w:rPr>
          <w:rStyle w:val="64"/>
          <w:rFonts w:ascii="Times New Roman" w:hAnsi="Times New Roman" w:cs="Times New Roman"/>
          <w:b w:val="0"/>
        </w:rPr>
        <w:t>治理内容纳入</w:t>
      </w:r>
      <w:r>
        <w:rPr>
          <w:rStyle w:val="64"/>
          <w:rFonts w:cs="Times New Roman" w:asciiTheme="minorEastAsia" w:hAnsiTheme="minorEastAsia" w:eastAsiaTheme="minorEastAsia"/>
          <w:b w:val="0"/>
        </w:rPr>
        <w:t>“</w:t>
      </w:r>
      <w:r>
        <w:rPr>
          <w:rStyle w:val="64"/>
          <w:rFonts w:ascii="Times New Roman" w:hAnsi="Times New Roman" w:cs="Times New Roman"/>
          <w:b w:val="0"/>
        </w:rPr>
        <w:t>双随机、一公开</w:t>
      </w:r>
      <w:r>
        <w:rPr>
          <w:rStyle w:val="64"/>
          <w:rFonts w:cs="Times New Roman" w:asciiTheme="minorEastAsia" w:hAnsiTheme="minorEastAsia" w:eastAsiaTheme="minorEastAsia"/>
          <w:b w:val="0"/>
        </w:rPr>
        <w:t>”</w:t>
      </w:r>
      <w:r>
        <w:rPr>
          <w:rStyle w:val="64"/>
          <w:rFonts w:ascii="Times New Roman" w:hAnsi="Times New Roman" w:cs="Times New Roman"/>
          <w:b w:val="0"/>
        </w:rPr>
        <w:t>综合执法检查，对企事业单位新化学物质环境管理登记责任落实情况进行监督抽查，督促企事业完善环境风险管控措施。</w:t>
      </w:r>
    </w:p>
    <w:p>
      <w:pPr>
        <w:pStyle w:val="54"/>
        <w:wordWrap w:val="0"/>
        <w:spacing w:beforeAutospacing="0" w:afterAutospacing="0"/>
        <w:ind w:firstLine="480"/>
        <w:jc w:val="both"/>
        <w:rPr>
          <w:rStyle w:val="64"/>
          <w:rFonts w:ascii="Times New Roman" w:hAnsi="Times New Roman" w:cs="Times New Roman"/>
          <w:b w:val="0"/>
        </w:rPr>
        <w:sectPr>
          <w:headerReference r:id="rId21" w:type="first"/>
          <w:footerReference r:id="rId24" w:type="first"/>
          <w:headerReference r:id="rId19" w:type="default"/>
          <w:footerReference r:id="rId22" w:type="default"/>
          <w:headerReference r:id="rId20" w:type="even"/>
          <w:footerReference r:id="rId23" w:type="even"/>
          <w:pgSz w:w="11906" w:h="16838"/>
          <w:pgMar w:top="1440" w:right="1797" w:bottom="1440" w:left="1797" w:header="851" w:footer="992" w:gutter="0"/>
          <w:cols w:space="720" w:num="1"/>
          <w:docGrid w:type="lines" w:linePitch="326" w:charSpace="0"/>
        </w:sectPr>
      </w:pPr>
    </w:p>
    <w:bookmarkEnd w:id="151"/>
    <w:p>
      <w:pPr>
        <w:keepNext/>
        <w:keepLines/>
        <w:spacing w:before="326" w:beforeLines="100" w:after="326" w:afterLines="100"/>
        <w:ind w:firstLine="0" w:firstLineChars="0"/>
        <w:jc w:val="center"/>
        <w:outlineLvl w:val="0"/>
        <w:rPr>
          <w:rFonts w:eastAsia="黑体"/>
          <w:b/>
          <w:kern w:val="0"/>
          <w:sz w:val="36"/>
          <w:szCs w:val="36"/>
        </w:rPr>
      </w:pPr>
      <w:bookmarkStart w:id="152" w:name="_Toc24122"/>
      <w:bookmarkStart w:id="153" w:name="_Toc23826"/>
      <w:r>
        <w:rPr>
          <w:rFonts w:eastAsia="黑体"/>
          <w:b/>
          <w:kern w:val="0"/>
          <w:sz w:val="36"/>
          <w:szCs w:val="36"/>
        </w:rPr>
        <w:t>第五章 构建自然和谐的生态空间体系</w:t>
      </w:r>
      <w:bookmarkEnd w:id="152"/>
      <w:bookmarkEnd w:id="153"/>
    </w:p>
    <w:p>
      <w:pPr>
        <w:pStyle w:val="1336"/>
        <w:spacing w:before="163" w:after="163"/>
      </w:pPr>
      <w:bookmarkStart w:id="154" w:name="_Toc3798"/>
      <w:bookmarkStart w:id="155" w:name="_Toc139894288"/>
      <w:bookmarkStart w:id="156" w:name="_Toc139894372"/>
      <w:bookmarkStart w:id="157" w:name="_Toc14593"/>
      <w:bookmarkStart w:id="158" w:name="_Toc139894244"/>
      <w:r>
        <w:t>一、</w:t>
      </w:r>
      <w:bookmarkEnd w:id="154"/>
      <w:bookmarkStart w:id="159" w:name="_Toc111798200"/>
      <w:r>
        <w:t>严守生态保护红线</w:t>
      </w:r>
      <w:bookmarkEnd w:id="155"/>
      <w:bookmarkEnd w:id="156"/>
      <w:bookmarkEnd w:id="157"/>
      <w:bookmarkEnd w:id="158"/>
      <w:bookmarkEnd w:id="159"/>
      <w:r>
        <w:t xml:space="preserve"> </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一</w:t>
      </w:r>
      <w:r>
        <w:rPr>
          <w:b/>
          <w:bCs/>
          <w:kern w:val="0"/>
          <w:sz w:val="28"/>
          <w:lang w:eastAsia="zh-Hans"/>
        </w:rPr>
        <w:t>）严守生态保护红线</w:t>
      </w:r>
    </w:p>
    <w:p>
      <w:pPr>
        <w:pStyle w:val="28"/>
        <w:ind w:firstLine="480"/>
      </w:pPr>
      <w:bookmarkStart w:id="160" w:name="_Hlk149143430"/>
      <w:r>
        <w:rPr>
          <w:rFonts w:hint="eastAsia"/>
        </w:rPr>
        <w:t>加强生态监测评估。积极配合上级部门开展生态保护红线生态质量监测，以遥感监测技术为主，重点关注人为活动对生态保护红线生态环境的影响。积极开展生态保护红线生态状况评估，评估生态保护红线生态系统格局、质量、服务功能和保护成效。依据生态保护红线监管基础调查、生态功能评价技术规范，开展基础调查和生态功能评价，原则上每五年开展一次，可根据生态保护红线调整情况和监督管理需求开展补充调查和评价。</w:t>
      </w:r>
      <w:bookmarkEnd w:id="160"/>
    </w:p>
    <w:p>
      <w:pPr>
        <w:pStyle w:val="28"/>
        <w:ind w:firstLine="480"/>
      </w:pPr>
      <w:r>
        <w:t>提高生态保护监管能力。建立和完善政府及相关职能部门生态保护红线责任制及考核审计制度。进一</w:t>
      </w:r>
      <w:r>
        <w:rPr>
          <w:rStyle w:val="633"/>
          <w:szCs w:val="24"/>
        </w:rPr>
        <w:t>步</w:t>
      </w:r>
      <w:r>
        <w:t>提高全</w:t>
      </w:r>
      <w:r>
        <w:rPr>
          <w:rFonts w:hint="eastAsia"/>
        </w:rPr>
        <w:t>市</w:t>
      </w:r>
      <w:r>
        <w:t>各级、各部门对生态红线区域的监测、监管和预警能力，加强专业人才培养和保护队伍建设，组织开展生态保护红线行政执法和监督管理培训，加大对破坏生态保护红线违法犯罪行为的打击力度。建立健全生态保护红线的统一监管和监督机制，探索和逐步建立生态环境质量考核和生态红线区域保护与建设审计制度，逐步将生态资源纳入国民经济的核算体系。</w:t>
      </w:r>
    </w:p>
    <w:p>
      <w:pPr>
        <w:pStyle w:val="28"/>
        <w:ind w:firstLine="480"/>
      </w:pPr>
      <w:r>
        <w:t>加大资金投入。建立政府主导、市场运作、社会参与的生态保护红线多元化投入机制。加大</w:t>
      </w:r>
      <w:r>
        <w:rPr>
          <w:rFonts w:hint="eastAsia"/>
        </w:rPr>
        <w:t>市</w:t>
      </w:r>
      <w:r>
        <w:t>财政对生态保护红线与建设投入资金的支持力度，完善生态补偿机制，制定生态保护红线生态补偿办法，充分发挥生态补偿资金保护生态保护红线的作用。拓宽筹资渠道，积极争取国家、省、市等上级部门的资金投入。</w:t>
      </w:r>
    </w:p>
    <w:p>
      <w:pPr>
        <w:pStyle w:val="28"/>
        <w:ind w:firstLine="480"/>
      </w:pPr>
      <w:r>
        <w:t>强化宣传教育。加强生态红线区域保护的宣传教育，不断提高全民的生态环境保护意识。综合运用报刊、电视、网络等宣传媒体，信息亭、显示屏、广告牌等宣传阵地，结合每年的科普宣传周、</w:t>
      </w:r>
      <w:r>
        <w:rPr>
          <w:rFonts w:asciiTheme="minorEastAsia" w:hAnsiTheme="minorEastAsia" w:eastAsiaTheme="minorEastAsia"/>
        </w:rPr>
        <w:t>“</w:t>
      </w:r>
      <w:r>
        <w:t>6•5世界环境日</w:t>
      </w:r>
      <w:r>
        <w:rPr>
          <w:rFonts w:asciiTheme="minorEastAsia" w:hAnsiTheme="minorEastAsia" w:eastAsiaTheme="minorEastAsia"/>
        </w:rPr>
        <w:t>”</w:t>
      </w:r>
      <w:r>
        <w:t>等主题宣传日，组织开展融知识性、趣味性和互动性于一体的生态保护红线保护宣传教育活动，提高广大市民生态保护红线的保护意识，形成自觉保护生态保护红线的良好社会氛围。</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二</w:t>
      </w:r>
      <w:r>
        <w:rPr>
          <w:b/>
          <w:bCs/>
          <w:kern w:val="0"/>
          <w:sz w:val="28"/>
          <w:lang w:eastAsia="zh-Hans"/>
        </w:rPr>
        <w:t>）坚决查处生态破坏行为</w:t>
      </w:r>
    </w:p>
    <w:p>
      <w:pPr>
        <w:ind w:firstLine="480"/>
      </w:pPr>
      <w:r>
        <w:t>落实自然生态空间用途管制办法，对各类生态用地实行用途管制，实施特殊保护。全面排查违法违规挤占生态空间、破坏自然遗迹等行为，制定治理和修复计划并向社会公开。持续开展</w:t>
      </w:r>
      <w:r>
        <w:rPr>
          <w:rFonts w:asciiTheme="minorEastAsia" w:hAnsiTheme="minorEastAsia" w:eastAsiaTheme="minorEastAsia"/>
        </w:rPr>
        <w:t>“</w:t>
      </w:r>
      <w:r>
        <w:t>绿盾</w:t>
      </w:r>
      <w:r>
        <w:rPr>
          <w:rFonts w:asciiTheme="minorEastAsia" w:hAnsiTheme="minorEastAsia" w:eastAsiaTheme="minorEastAsia"/>
        </w:rPr>
        <w:t>”</w:t>
      </w:r>
      <w:r>
        <w:t>自然保护区监督检查专项行动，严肃查处各类违法违规行为，限期进行整治修复。</w:t>
      </w:r>
    </w:p>
    <w:p>
      <w:pPr>
        <w:pStyle w:val="1336"/>
        <w:spacing w:before="163" w:after="163"/>
      </w:pPr>
      <w:bookmarkStart w:id="161" w:name="_Toc139894289"/>
      <w:bookmarkStart w:id="162" w:name="_Toc139894245"/>
      <w:bookmarkStart w:id="163" w:name="_Toc111798201"/>
      <w:bookmarkStart w:id="164" w:name="_Toc29343"/>
      <w:bookmarkStart w:id="165" w:name="_Toc139894373"/>
      <w:r>
        <w:rPr>
          <w:rFonts w:hint="eastAsia"/>
        </w:rPr>
        <w:t>二、</w:t>
      </w:r>
      <w:r>
        <w:t>严格保护基本农田</w:t>
      </w:r>
      <w:bookmarkEnd w:id="161"/>
      <w:bookmarkEnd w:id="162"/>
      <w:bookmarkEnd w:id="163"/>
      <w:bookmarkEnd w:id="164"/>
      <w:bookmarkEnd w:id="165"/>
    </w:p>
    <w:p>
      <w:pPr>
        <w:ind w:firstLine="480"/>
      </w:pPr>
      <w:r>
        <w:t>实行最严格的耕地保护制度，对新增建设用地规模实行总量控制</w:t>
      </w:r>
      <w:r>
        <w:rPr>
          <w:rFonts w:hint="eastAsia"/>
        </w:rPr>
        <w:t>。</w:t>
      </w:r>
      <w:r>
        <w:t>严格划定基本农田，严格实行特殊保护，确保完成上级下达耕地和基本农田保护任务。</w:t>
      </w:r>
      <w:r>
        <w:rPr>
          <w:rFonts w:hint="eastAsia"/>
        </w:rPr>
        <w:t>严格耕地占补平衡制度，确保“占一补一”，质量稳定。</w:t>
      </w:r>
      <w:r>
        <w:t>加强重点农田基本建设，加快中低产田改造，提高耕地质量和农业防灾减灾能力。加强耕地质量管理，规范耕地质量监测评价与奖惩制度，完善长效投入与监管机制。</w:t>
      </w:r>
    </w:p>
    <w:p>
      <w:pPr>
        <w:ind w:firstLine="480"/>
      </w:pPr>
      <w:r>
        <w:t>加快实施沃土工程，重点支持有机肥积造和水肥一体化设施建设，鼓励农民推广秸秆还田、绿肥种植和农家肥堆积与施用等技术。扩大土壤有机质提升补贴项目试点规模，增加农业综合开发投入，积极支持高标准农田建设，改造中低产田，通过人畜粪便和沼渣肥田，种植绿肥、疏通河道、清理鱼池，进行泥肥开发利用，提高土壤肥力。通过土地流转、高标准农田建设，合并相邻田块，增加耕地面积，提高连片种植和规模经营水平，积极探索基本农田保护新机制。</w:t>
      </w:r>
    </w:p>
    <w:p>
      <w:pPr>
        <w:pStyle w:val="1336"/>
        <w:spacing w:before="163" w:after="163"/>
      </w:pPr>
      <w:bookmarkStart w:id="166" w:name="_Toc139894290"/>
      <w:bookmarkStart w:id="167" w:name="_Toc2743"/>
      <w:bookmarkStart w:id="168" w:name="_Toc111798202"/>
      <w:bookmarkStart w:id="169" w:name="_Toc139894246"/>
      <w:bookmarkStart w:id="170" w:name="_Toc139894374"/>
      <w:r>
        <w:rPr>
          <w:rFonts w:hint="eastAsia"/>
        </w:rPr>
        <w:t>三、</w:t>
      </w:r>
      <w:r>
        <w:t>优化城市空间布局</w:t>
      </w:r>
      <w:bookmarkEnd w:id="166"/>
      <w:bookmarkEnd w:id="167"/>
      <w:bookmarkEnd w:id="168"/>
      <w:bookmarkEnd w:id="169"/>
      <w:bookmarkEnd w:id="170"/>
    </w:p>
    <w:p>
      <w:pPr>
        <w:ind w:firstLine="480"/>
        <w:rPr>
          <w:rFonts w:ascii="宋体" w:hAnsi="宋体"/>
        </w:rPr>
      </w:pPr>
      <w:r>
        <w:rPr>
          <w:rFonts w:ascii="宋体" w:hAnsi="宋体"/>
        </w:rPr>
        <w:t>构建</w:t>
      </w:r>
      <w:r>
        <w:rPr>
          <w:rFonts w:asciiTheme="minorEastAsia" w:hAnsiTheme="minorEastAsia" w:eastAsiaTheme="minorEastAsia"/>
        </w:rPr>
        <w:t>“</w:t>
      </w:r>
      <w:r>
        <w:rPr>
          <w:rFonts w:ascii="宋体" w:hAnsi="宋体"/>
        </w:rPr>
        <w:t>一核、一圈、三区、多点</w:t>
      </w:r>
      <w:r>
        <w:rPr>
          <w:rFonts w:asciiTheme="minorEastAsia" w:hAnsiTheme="minorEastAsia" w:eastAsiaTheme="minorEastAsia"/>
        </w:rPr>
        <w:t>”</w:t>
      </w:r>
      <w:r>
        <w:rPr>
          <w:rFonts w:ascii="宋体" w:hAnsi="宋体"/>
        </w:rPr>
        <w:t>的国土空间总体格局</w:t>
      </w:r>
      <w:r>
        <w:rPr>
          <w:rFonts w:hint="eastAsia" w:ascii="宋体" w:hAnsi="宋体"/>
        </w:rPr>
        <w:t>。</w:t>
      </w:r>
    </w:p>
    <w:p>
      <w:pPr>
        <w:ind w:firstLine="480"/>
      </w:pPr>
      <w:r>
        <w:rPr>
          <w:rFonts w:asciiTheme="minorEastAsia" w:hAnsiTheme="minorEastAsia" w:eastAsiaTheme="minorEastAsia"/>
        </w:rPr>
        <w:t>“</w:t>
      </w:r>
      <w:r>
        <w:t>一核</w:t>
      </w:r>
      <w:r>
        <w:rPr>
          <w:rFonts w:asciiTheme="minorEastAsia" w:hAnsiTheme="minorEastAsia" w:eastAsiaTheme="minorEastAsia"/>
        </w:rPr>
        <w:t>”</w:t>
      </w:r>
      <w:r>
        <w:t>：即主城区，全市的发展极核。以现代服务业和高端制造业为主导方向，优化空间结构和功能布局，提升整体人居环境品质，增强综合承载能力和辐射带动能力。</w:t>
      </w:r>
    </w:p>
    <w:p>
      <w:pPr>
        <w:ind w:firstLine="480"/>
      </w:pPr>
      <w:r>
        <w:rPr>
          <w:rFonts w:asciiTheme="minorEastAsia" w:hAnsiTheme="minorEastAsia" w:eastAsiaTheme="minorEastAsia"/>
        </w:rPr>
        <w:t>“</w:t>
      </w:r>
      <w:r>
        <w:t>一圈</w:t>
      </w:r>
      <w:r>
        <w:rPr>
          <w:rFonts w:asciiTheme="minorEastAsia" w:hAnsiTheme="minorEastAsia" w:eastAsiaTheme="minorEastAsia"/>
        </w:rPr>
        <w:t>”</w:t>
      </w:r>
      <w:r>
        <w:t>：即近郊都市功能圈，涵盖主城区及东沙河、洪绪、姜屯、龙阳、南沙河、鲍沟等近郊卫星镇。加强主城区与卫星镇之间的交通联系，突出产业、人口等要素互动，强化功能协作，形成高度一体化的产城融合区。</w:t>
      </w:r>
    </w:p>
    <w:p>
      <w:pPr>
        <w:ind w:firstLine="480"/>
      </w:pPr>
      <w:r>
        <w:rPr>
          <w:rFonts w:asciiTheme="minorEastAsia" w:hAnsiTheme="minorEastAsia" w:eastAsiaTheme="minorEastAsia"/>
        </w:rPr>
        <w:t>“</w:t>
      </w:r>
      <w:r>
        <w:t>三区</w:t>
      </w:r>
      <w:r>
        <w:rPr>
          <w:rFonts w:asciiTheme="minorEastAsia" w:hAnsiTheme="minorEastAsia" w:eastAsiaTheme="minorEastAsia"/>
        </w:rPr>
        <w:t>”</w:t>
      </w:r>
      <w:r>
        <w:t>：即北部旅游及生态农业、中部都市产业、南部历史文化和生态旅游三大主体功能区。北部旅游及生态农业区，以红荷湿地、滨湖古镇、莲青山旅游区、洪山口文化创意产业园、龙山龙湖等为支点，发展旅游业；同时利用好现有蔬果种植优势，强化品牌，发展设施农业和特色农业。中部都市产业区，以主城区、高铁新区、滕州经济开发区、木石、级索、西岗为核心，集中发展精密机床、化工新材料以及其他都市工业、都市农业、现代物流、科技研发和商务金融等现代产业，促进产业链向高附加值转移。南部历史文化和生态旅游区，以薛河文化遗址、墨子森林公园、黄连山生态保护区、万亩梨园以及羊庄水源地保护区等为核心，以发展生态农业和文化体验、生态观光等为主。</w:t>
      </w:r>
    </w:p>
    <w:p>
      <w:pPr>
        <w:ind w:firstLine="480"/>
      </w:pPr>
      <w:r>
        <w:rPr>
          <w:rFonts w:asciiTheme="minorEastAsia" w:hAnsiTheme="minorEastAsia" w:eastAsiaTheme="minorEastAsia"/>
        </w:rPr>
        <w:t>“</w:t>
      </w:r>
      <w:r>
        <w:t>多点</w:t>
      </w:r>
      <w:r>
        <w:rPr>
          <w:rFonts w:asciiTheme="minorEastAsia" w:hAnsiTheme="minorEastAsia" w:eastAsiaTheme="minorEastAsia"/>
        </w:rPr>
        <w:t>”</w:t>
      </w:r>
      <w:r>
        <w:t>：即市域内特色镇、独立产业园区、重要生态功能区等各类功能节点，形成市域城乡统筹发展的重要支点。</w:t>
      </w:r>
    </w:p>
    <w:p>
      <w:pPr>
        <w:pStyle w:val="1336"/>
        <w:spacing w:before="163" w:after="163"/>
      </w:pPr>
      <w:bookmarkStart w:id="171" w:name="_Toc139894375"/>
      <w:bookmarkStart w:id="172" w:name="_Toc111798203"/>
      <w:bookmarkStart w:id="173" w:name="_Toc11270"/>
      <w:bookmarkStart w:id="174" w:name="_Toc139894247"/>
      <w:bookmarkStart w:id="175" w:name="_Toc139894291"/>
      <w:r>
        <w:rPr>
          <w:rFonts w:hint="eastAsia"/>
        </w:rPr>
        <w:t>四、</w:t>
      </w:r>
      <w:r>
        <w:t>加大城市生态网络建设</w:t>
      </w:r>
      <w:bookmarkEnd w:id="171"/>
      <w:bookmarkEnd w:id="172"/>
      <w:bookmarkEnd w:id="173"/>
      <w:bookmarkEnd w:id="174"/>
      <w:bookmarkEnd w:id="175"/>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一</w:t>
      </w:r>
      <w:r>
        <w:rPr>
          <w:b/>
          <w:bCs/>
          <w:kern w:val="0"/>
          <w:sz w:val="28"/>
          <w:lang w:eastAsia="zh-Hans"/>
        </w:rPr>
        <w:t>）构筑</w:t>
      </w:r>
      <w:r>
        <w:rPr>
          <w:rFonts w:asciiTheme="minorEastAsia" w:hAnsiTheme="minorEastAsia" w:eastAsiaTheme="minorEastAsia"/>
          <w:b/>
          <w:bCs/>
          <w:kern w:val="0"/>
          <w:sz w:val="28"/>
          <w:lang w:eastAsia="zh-Hans"/>
        </w:rPr>
        <w:t>“</w:t>
      </w:r>
      <w:r>
        <w:rPr>
          <w:b/>
          <w:bCs/>
          <w:kern w:val="0"/>
          <w:sz w:val="28"/>
          <w:lang w:eastAsia="zh-Hans"/>
        </w:rPr>
        <w:t>五区、五带、多廊</w:t>
      </w:r>
      <w:r>
        <w:rPr>
          <w:rFonts w:asciiTheme="minorEastAsia" w:hAnsiTheme="minorEastAsia" w:eastAsiaTheme="minorEastAsia"/>
          <w:b/>
          <w:bCs/>
          <w:kern w:val="0"/>
          <w:sz w:val="28"/>
          <w:lang w:eastAsia="zh-Hans"/>
        </w:rPr>
        <w:t>”</w:t>
      </w:r>
      <w:r>
        <w:rPr>
          <w:b/>
          <w:bCs/>
          <w:kern w:val="0"/>
          <w:sz w:val="28"/>
          <w:lang w:eastAsia="zh-Hans"/>
        </w:rPr>
        <w:t>的生态安全格局</w:t>
      </w:r>
    </w:p>
    <w:p>
      <w:pPr>
        <w:ind w:firstLine="480"/>
      </w:pPr>
      <w:r>
        <w:t>以丘陵、山地、水系为骨干，以重要生态功能区为节点，推动生态修复及保护，构建控制与引导城乡空间合理优化开发的生态间隔，在市域内形成</w:t>
      </w:r>
      <w:r>
        <w:rPr>
          <w:rFonts w:asciiTheme="minorEastAsia" w:hAnsiTheme="minorEastAsia" w:eastAsiaTheme="minorEastAsia"/>
        </w:rPr>
        <w:t>“</w:t>
      </w:r>
      <w:r>
        <w:t>五区五带多廊</w:t>
      </w:r>
      <w:r>
        <w:rPr>
          <w:rFonts w:asciiTheme="minorEastAsia" w:hAnsiTheme="minorEastAsia" w:eastAsiaTheme="minorEastAsia"/>
        </w:rPr>
        <w:t>”</w:t>
      </w:r>
      <w:r>
        <w:t>生态安全格局。</w:t>
      </w:r>
    </w:p>
    <w:p>
      <w:pPr>
        <w:ind w:firstLine="482"/>
      </w:pPr>
      <w:r>
        <w:rPr>
          <w:rFonts w:asciiTheme="minorEastAsia" w:hAnsiTheme="minorEastAsia" w:eastAsiaTheme="minorEastAsia"/>
          <w:b/>
        </w:rPr>
        <w:t>“</w:t>
      </w:r>
      <w:r>
        <w:rPr>
          <w:b/>
        </w:rPr>
        <w:t>五区</w:t>
      </w:r>
      <w:r>
        <w:rPr>
          <w:rFonts w:asciiTheme="minorEastAsia" w:hAnsiTheme="minorEastAsia" w:eastAsiaTheme="minorEastAsia"/>
          <w:b/>
        </w:rPr>
        <w:t>”</w:t>
      </w:r>
      <w:r>
        <w:rPr>
          <w:b/>
        </w:rPr>
        <w:t>：</w:t>
      </w:r>
      <w:r>
        <w:t>东部地区，依托莲青山、龙山、狐山、羊山、黄连山等山地，打造山山相连的生态保护区，从北至南形成龙山-莲青山生态保护区、狐山-羊山生态保护区、黄连山生态保护区；西部区域，依托微山湖打造红荷湿地生态保护区，在西部煤矿塌陷区打造滕西生态恢复区，在市域内形成五个重要生态功能区。</w:t>
      </w:r>
    </w:p>
    <w:p>
      <w:pPr>
        <w:ind w:firstLine="482"/>
      </w:pPr>
      <w:r>
        <w:rPr>
          <w:rFonts w:asciiTheme="minorEastAsia" w:hAnsiTheme="minorEastAsia" w:eastAsiaTheme="minorEastAsia"/>
          <w:b/>
        </w:rPr>
        <w:t>“</w:t>
      </w:r>
      <w:r>
        <w:rPr>
          <w:b/>
        </w:rPr>
        <w:t>五带</w:t>
      </w:r>
      <w:r>
        <w:rPr>
          <w:rFonts w:asciiTheme="minorEastAsia" w:hAnsiTheme="minorEastAsia" w:eastAsiaTheme="minorEastAsia"/>
          <w:b/>
        </w:rPr>
        <w:t>”</w:t>
      </w:r>
      <w:r>
        <w:rPr>
          <w:b/>
        </w:rPr>
        <w:t>：</w:t>
      </w:r>
      <w:r>
        <w:t>依托界河、北沙河、荆河、郭河、薛河五条主要河流，在各流域内合理布局湿地森林公园，建设河河相连、河湖相连的绿色生态休闲长廊，从北至南打造界河-小龙河生态保护带、北沙河生态保护带、秀美荆河生态保护带、郭河生态保护带、薛河生态保护带，形成</w:t>
      </w:r>
      <w:r>
        <w:rPr>
          <w:rFonts w:asciiTheme="minorEastAsia" w:hAnsiTheme="minorEastAsia" w:eastAsiaTheme="minorEastAsia"/>
        </w:rPr>
        <w:t>“</w:t>
      </w:r>
      <w:r>
        <w:t>条条河流有湿地，片片湿地水清澈，流域处处生态美</w:t>
      </w:r>
      <w:r>
        <w:rPr>
          <w:rFonts w:asciiTheme="minorEastAsia" w:hAnsiTheme="minorEastAsia" w:eastAsiaTheme="minorEastAsia"/>
        </w:rPr>
        <w:t>”</w:t>
      </w:r>
      <w:r>
        <w:t>的区域性生态廊道。</w:t>
      </w:r>
    </w:p>
    <w:p>
      <w:pPr>
        <w:ind w:firstLine="482"/>
      </w:pPr>
      <w:r>
        <w:rPr>
          <w:rFonts w:asciiTheme="minorEastAsia" w:hAnsiTheme="minorEastAsia" w:eastAsiaTheme="minorEastAsia"/>
          <w:b/>
        </w:rPr>
        <w:t>“</w:t>
      </w:r>
      <w:r>
        <w:rPr>
          <w:b/>
        </w:rPr>
        <w:t>多廊</w:t>
      </w:r>
      <w:r>
        <w:rPr>
          <w:rFonts w:asciiTheme="minorEastAsia" w:hAnsiTheme="minorEastAsia" w:eastAsiaTheme="minorEastAsia"/>
          <w:b/>
        </w:rPr>
        <w:t>”</w:t>
      </w:r>
      <w:r>
        <w:rPr>
          <w:b/>
        </w:rPr>
        <w:t>：</w:t>
      </w:r>
      <w:r>
        <w:t>市域内主要河流和交通设施干线两侧建设多条绿色生态廊道，发挥护蓝、增绿、通风、降尘等作用，形成</w:t>
      </w:r>
      <w:r>
        <w:rPr>
          <w:rFonts w:asciiTheme="minorEastAsia" w:hAnsiTheme="minorEastAsia" w:eastAsiaTheme="minorEastAsia"/>
        </w:rPr>
        <w:t>“</w:t>
      </w:r>
      <w:r>
        <w:t>生态绿网</w:t>
      </w:r>
      <w:r>
        <w:rPr>
          <w:rFonts w:asciiTheme="minorEastAsia" w:hAnsiTheme="minorEastAsia" w:eastAsiaTheme="minorEastAsia"/>
        </w:rPr>
        <w:t>”</w:t>
      </w:r>
      <w:r>
        <w:t>和</w:t>
      </w:r>
      <w:r>
        <w:rPr>
          <w:rFonts w:asciiTheme="minorEastAsia" w:hAnsiTheme="minorEastAsia" w:eastAsiaTheme="minorEastAsia"/>
        </w:rPr>
        <w:t>“</w:t>
      </w:r>
      <w:r>
        <w:t>水域蓝网</w:t>
      </w:r>
      <w:r>
        <w:rPr>
          <w:rFonts w:asciiTheme="minorEastAsia" w:hAnsiTheme="minorEastAsia" w:eastAsiaTheme="minorEastAsia"/>
        </w:rPr>
        <w:t>”</w:t>
      </w:r>
      <w:r>
        <w:t>两网交融的生态格局。</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二</w:t>
      </w:r>
      <w:r>
        <w:rPr>
          <w:b/>
          <w:bCs/>
          <w:kern w:val="0"/>
          <w:sz w:val="28"/>
          <w:lang w:eastAsia="zh-Hans"/>
        </w:rPr>
        <w:t>）加大生态廊道建设</w:t>
      </w:r>
    </w:p>
    <w:p>
      <w:pPr>
        <w:ind w:firstLine="482"/>
      </w:pPr>
      <w:r>
        <w:rPr>
          <w:b/>
        </w:rPr>
        <w:t>完善道路绿化廊道。</w:t>
      </w:r>
      <w:r>
        <w:t>按照绿化与珍贵化、彩色化、效益化结合的要求，以高速公路、铁路、国道、省道及连接主要城市功能区、中心镇的高等级公路为重点，以建设、完善沿主干道路两侧生态景观林带和生态防护林带、构建森林廊道为目标，在不违反土地管理政策的前提下，按照</w:t>
      </w:r>
      <w:r>
        <w:rPr>
          <w:rFonts w:asciiTheme="minorEastAsia" w:hAnsiTheme="minorEastAsia" w:eastAsiaTheme="minorEastAsia"/>
        </w:rPr>
        <w:t>“</w:t>
      </w:r>
      <w:r>
        <w:t>宜绿则绿、能绿尽绿</w:t>
      </w:r>
      <w:r>
        <w:rPr>
          <w:rFonts w:asciiTheme="minorEastAsia" w:hAnsiTheme="minorEastAsia" w:eastAsiaTheme="minorEastAsia"/>
        </w:rPr>
        <w:t>”</w:t>
      </w:r>
      <w:r>
        <w:t>的原则，以宜林地造林、现有防护林带缺口断带补植、森林资源结构优化和景观改造为主要手段，加快树种结构调整与质量提升，建成具有强大的绿道功能的景观防护走廊。</w:t>
      </w:r>
    </w:p>
    <w:p>
      <w:pPr>
        <w:pStyle w:val="28"/>
        <w:ind w:firstLine="482"/>
      </w:pPr>
      <w:r>
        <w:rPr>
          <w:b/>
        </w:rPr>
        <w:t>河湖生态廊道建设。</w:t>
      </w:r>
      <w:r>
        <w:t>定期疏浚河道</w:t>
      </w:r>
      <w:r>
        <w:rPr>
          <w:rFonts w:hint="eastAsia"/>
        </w:rPr>
        <w:t>，</w:t>
      </w:r>
      <w:r>
        <w:t>保证水系坑塘的贯通</w:t>
      </w:r>
      <w:r>
        <w:rPr>
          <w:rFonts w:hint="eastAsia"/>
        </w:rPr>
        <w:t>。</w:t>
      </w:r>
      <w:r>
        <w:t>保留自然河道、坑塘、湿地、湖荡的自然形态。对重点河道与湖泊岸线逐步进行生态护岸和河流绿带的建设；水系两岸除主要航运需要人工驳岸外，其它均采用自然式原型护岸；驳岸已建设完成地段，可结合周围</w:t>
      </w:r>
      <w:r>
        <w:rPr>
          <w:rFonts w:hint="eastAsia"/>
          <w:lang w:eastAsia="zh-CN"/>
        </w:rPr>
        <w:t>环境</w:t>
      </w:r>
      <w:r>
        <w:t>，适当进行生态化改造。对沿河的绿化廊道进行系统配置，强调生态群落的合理配置。在局域性水系、干渠两侧建设20</w:t>
      </w:r>
      <w:r>
        <w:rPr>
          <w:rFonts w:hint="eastAsia"/>
        </w:rPr>
        <w:t>-</w:t>
      </w:r>
      <w:r>
        <w:t>40米的生态林带，在其他小型河流与田间引水渠两侧建设10</w:t>
      </w:r>
      <w:r>
        <w:rPr>
          <w:rFonts w:hint="eastAsia"/>
        </w:rPr>
        <w:t>-</w:t>
      </w:r>
      <w:r>
        <w:t>20米的河道防护带与农田防护林带。充分挖掘河流廊道的景观和文化功能，满足市民休闲娱乐需要，增强防洪排涝，提高河道生态效应。</w:t>
      </w:r>
      <w:bookmarkStart w:id="176" w:name="_Toc30337564"/>
      <w:bookmarkEnd w:id="176"/>
      <w:bookmarkStart w:id="177" w:name="_Toc30337727"/>
      <w:bookmarkEnd w:id="177"/>
      <w:bookmarkStart w:id="178" w:name="_Toc30337445"/>
      <w:bookmarkEnd w:id="178"/>
      <w:bookmarkStart w:id="179" w:name="_Toc30337711"/>
      <w:bookmarkEnd w:id="179"/>
      <w:bookmarkStart w:id="180" w:name="_Toc30337429"/>
      <w:bookmarkEnd w:id="180"/>
      <w:bookmarkStart w:id="181" w:name="_Toc30337580"/>
      <w:bookmarkEnd w:id="181"/>
    </w:p>
    <w:p>
      <w:pPr>
        <w:pStyle w:val="2"/>
        <w:ind w:left="480" w:firstLine="480"/>
      </w:pPr>
    </w:p>
    <w:p>
      <w:pPr>
        <w:pStyle w:val="2"/>
        <w:ind w:left="480" w:firstLine="480"/>
      </w:pPr>
    </w:p>
    <w:p>
      <w:pPr>
        <w:pStyle w:val="16"/>
        <w:spacing w:beforeLines="0" w:afterLines="0"/>
        <w:ind w:firstLine="480"/>
        <w:rPr>
          <w:rFonts w:ascii="Times New Roman" w:hAnsi="Times New Roman" w:eastAsia="宋体"/>
          <w:sz w:val="24"/>
        </w:rPr>
        <w:sectPr>
          <w:pgSz w:w="11906" w:h="16838"/>
          <w:pgMar w:top="1440" w:right="1797" w:bottom="1440" w:left="1797" w:header="851" w:footer="992" w:gutter="0"/>
          <w:cols w:space="720" w:num="1"/>
          <w:docGrid w:type="lines" w:linePitch="326" w:charSpace="0"/>
        </w:sectPr>
      </w:pPr>
    </w:p>
    <w:p>
      <w:pPr>
        <w:keepNext/>
        <w:keepLines/>
        <w:spacing w:before="326" w:beforeLines="100" w:after="326" w:afterLines="100"/>
        <w:ind w:firstLine="0" w:firstLineChars="0"/>
        <w:jc w:val="center"/>
        <w:outlineLvl w:val="0"/>
        <w:rPr>
          <w:rFonts w:eastAsia="黑体"/>
          <w:b/>
          <w:kern w:val="0"/>
          <w:sz w:val="36"/>
          <w:szCs w:val="36"/>
        </w:rPr>
      </w:pPr>
      <w:bookmarkStart w:id="182" w:name="_Toc9628"/>
      <w:bookmarkStart w:id="183" w:name="_Toc8711"/>
      <w:r>
        <w:rPr>
          <w:rFonts w:eastAsia="黑体"/>
          <w:b/>
          <w:kern w:val="0"/>
          <w:sz w:val="36"/>
          <w:szCs w:val="36"/>
        </w:rPr>
        <w:t>第六章 建设低碳绿色的生态经济体系</w:t>
      </w:r>
      <w:bookmarkEnd w:id="182"/>
      <w:bookmarkEnd w:id="183"/>
    </w:p>
    <w:p>
      <w:pPr>
        <w:pStyle w:val="1336"/>
        <w:spacing w:before="163" w:after="163"/>
      </w:pPr>
      <w:bookmarkStart w:id="184" w:name="_Toc11815"/>
      <w:r>
        <w:t>一、加快推动绿色低碳发展</w:t>
      </w:r>
      <w:bookmarkEnd w:id="184"/>
    </w:p>
    <w:p>
      <w:pPr>
        <w:widowControl/>
        <w:ind w:firstLine="562"/>
        <w:jc w:val="left"/>
        <w:outlineLvl w:val="2"/>
        <w:rPr>
          <w:b/>
          <w:bCs/>
          <w:kern w:val="0"/>
          <w:sz w:val="28"/>
          <w:lang w:eastAsia="zh-Hans"/>
        </w:rPr>
      </w:pPr>
      <w:bookmarkStart w:id="185" w:name="_Toc18231"/>
      <w:r>
        <w:rPr>
          <w:b/>
          <w:bCs/>
          <w:kern w:val="0"/>
          <w:sz w:val="28"/>
          <w:lang w:eastAsia="zh-Hans"/>
        </w:rPr>
        <w:t>（一）加快产业结构调整</w:t>
      </w:r>
    </w:p>
    <w:p>
      <w:pPr>
        <w:overflowPunct w:val="0"/>
        <w:ind w:firstLine="482"/>
        <w:textAlignment w:val="center"/>
        <w:rPr>
          <w:rFonts w:eastAsiaTheme="minorEastAsia"/>
          <w:b/>
          <w:bCs/>
        </w:rPr>
      </w:pPr>
      <w:r>
        <w:rPr>
          <w:rFonts w:eastAsiaTheme="minorEastAsia"/>
          <w:b/>
          <w:bCs/>
        </w:rPr>
        <w:t>推动新旧功能转换。</w:t>
      </w:r>
      <w:r>
        <w:rPr>
          <w:rFonts w:eastAsiaTheme="minorEastAsia"/>
        </w:rPr>
        <w:t>坚持环境质量</w:t>
      </w:r>
      <w:r>
        <w:rPr>
          <w:rFonts w:asciiTheme="minorEastAsia" w:hAnsiTheme="minorEastAsia" w:eastAsiaTheme="minorEastAsia"/>
        </w:rPr>
        <w:t>“</w:t>
      </w:r>
      <w:r>
        <w:rPr>
          <w:rFonts w:eastAsiaTheme="minorEastAsia"/>
        </w:rPr>
        <w:t>只能更好，不能变坏</w:t>
      </w:r>
      <w:r>
        <w:rPr>
          <w:rFonts w:asciiTheme="minorEastAsia" w:hAnsiTheme="minorEastAsia" w:eastAsiaTheme="minorEastAsia"/>
        </w:rPr>
        <w:t>”</w:t>
      </w:r>
      <w:r>
        <w:rPr>
          <w:rFonts w:eastAsiaTheme="minorEastAsia"/>
        </w:rPr>
        <w:t>的底线，严格落实污染物排放总量和产能总量控制刚性要求。实施</w:t>
      </w:r>
      <w:r>
        <w:rPr>
          <w:rFonts w:asciiTheme="minorEastAsia" w:hAnsiTheme="minorEastAsia" w:eastAsiaTheme="minorEastAsia"/>
        </w:rPr>
        <w:t>“</w:t>
      </w:r>
      <w:r>
        <w:rPr>
          <w:rFonts w:eastAsiaTheme="minorEastAsia"/>
        </w:rPr>
        <w:t>四上四压</w:t>
      </w:r>
      <w:r>
        <w:rPr>
          <w:rFonts w:asciiTheme="minorEastAsia" w:hAnsiTheme="minorEastAsia" w:eastAsiaTheme="minorEastAsia"/>
        </w:rPr>
        <w:t>”</w:t>
      </w:r>
      <w:r>
        <w:rPr>
          <w:rFonts w:eastAsiaTheme="minorEastAsia"/>
        </w:rPr>
        <w:t>，坚持</w:t>
      </w:r>
      <w:r>
        <w:rPr>
          <w:rFonts w:asciiTheme="minorEastAsia" w:hAnsiTheme="minorEastAsia" w:eastAsiaTheme="minorEastAsia"/>
        </w:rPr>
        <w:t>“</w:t>
      </w:r>
      <w:r>
        <w:rPr>
          <w:rFonts w:eastAsiaTheme="minorEastAsia"/>
        </w:rPr>
        <w:t>上新压旧</w:t>
      </w:r>
      <w:r>
        <w:rPr>
          <w:rFonts w:asciiTheme="minorEastAsia" w:hAnsiTheme="minorEastAsia" w:eastAsiaTheme="minorEastAsia"/>
        </w:rPr>
        <w:t>”“</w:t>
      </w:r>
      <w:r>
        <w:rPr>
          <w:rFonts w:eastAsiaTheme="minorEastAsia"/>
        </w:rPr>
        <w:t>上大压小</w:t>
      </w:r>
      <w:r>
        <w:rPr>
          <w:rFonts w:asciiTheme="minorEastAsia" w:hAnsiTheme="minorEastAsia" w:eastAsiaTheme="minorEastAsia"/>
        </w:rPr>
        <w:t>”“</w:t>
      </w:r>
      <w:r>
        <w:rPr>
          <w:rFonts w:eastAsiaTheme="minorEastAsia"/>
        </w:rPr>
        <w:t>上高压低</w:t>
      </w:r>
      <w:r>
        <w:rPr>
          <w:rFonts w:asciiTheme="minorEastAsia" w:hAnsiTheme="minorEastAsia" w:eastAsiaTheme="minorEastAsia"/>
        </w:rPr>
        <w:t>”“</w:t>
      </w:r>
      <w:r>
        <w:rPr>
          <w:rFonts w:eastAsiaTheme="minorEastAsia"/>
        </w:rPr>
        <w:t>上整压散</w:t>
      </w:r>
      <w:r>
        <w:rPr>
          <w:rFonts w:asciiTheme="minorEastAsia" w:hAnsiTheme="minorEastAsia" w:eastAsiaTheme="minorEastAsia"/>
        </w:rPr>
        <w:t>”</w:t>
      </w:r>
      <w:r>
        <w:rPr>
          <w:rFonts w:eastAsiaTheme="minorEastAsia"/>
        </w:rPr>
        <w:t>。依据国家和省</w:t>
      </w:r>
      <w:r>
        <w:rPr>
          <w:rFonts w:hint="eastAsia" w:eastAsiaTheme="minorEastAsia"/>
        </w:rPr>
        <w:t>市</w:t>
      </w:r>
      <w:r>
        <w:rPr>
          <w:rFonts w:eastAsiaTheme="minorEastAsia"/>
        </w:rPr>
        <w:t>相关产业政策，对焦化、煤电、电解铝、水泥、轮胎、平板玻璃、煤化工、铁合金、电石、氯碱、氮肥等重点行业严格执行产能置换要求，确保产能总量只减不增。原则上不再审批新建煤矿项目。严禁省外水泥熟料、粉磨、焦化产能转入，严禁新增水泥熟料、粉磨产能。</w:t>
      </w:r>
    </w:p>
    <w:p>
      <w:pPr>
        <w:overflowPunct w:val="0"/>
        <w:ind w:firstLine="482"/>
        <w:textAlignment w:val="center"/>
        <w:rPr>
          <w:rFonts w:eastAsiaTheme="minorEastAsia"/>
        </w:rPr>
      </w:pPr>
      <w:r>
        <w:rPr>
          <w:rFonts w:eastAsiaTheme="minorEastAsia"/>
          <w:b/>
          <w:bCs/>
        </w:rPr>
        <w:t>推进产业结构优化与升级。</w:t>
      </w:r>
      <w:r>
        <w:rPr>
          <w:rFonts w:eastAsiaTheme="minorEastAsia"/>
        </w:rPr>
        <w:t>把握产业技术发展趋势，抑制过剩产能，推动企业加强技术改造，提高产品的一致性和稳定性，做优做强滕州装备制造特色产品。推动差异化发展，鼓励企业深入了解客户需求，开展重点用户工艺研究，不断提升产品性能指标，满足细分市场需求，助推滕州装备制造迈向中高端。高起点高标准发展铸造、成形、热处理、涂装等基础制造工艺，提高机械基础件和关键零部件的供给能力，将传统产业提升转化为高技术产业。</w:t>
      </w:r>
    </w:p>
    <w:p>
      <w:pPr>
        <w:overflowPunct w:val="0"/>
        <w:ind w:firstLine="482"/>
        <w:textAlignment w:val="center"/>
        <w:rPr>
          <w:rFonts w:eastAsiaTheme="minorEastAsia"/>
          <w:b/>
          <w:bCs/>
        </w:rPr>
      </w:pPr>
      <w:r>
        <w:rPr>
          <w:b/>
          <w:bCs/>
          <w:lang w:eastAsia="zh-Hans"/>
        </w:rPr>
        <w:t>发展壮大优势特色产业。</w:t>
      </w:r>
      <w:r>
        <w:rPr>
          <w:lang w:eastAsia="zh-Hans"/>
        </w:rPr>
        <w:t>大力推动区域优势产业迈向中高端。以满足用户行业转型升级和个性化需求为导向，持续提高产品质量和可靠性水平，加快衍生中端产品，促进高端装备突破发展。支持机床企业发展高附加值产品，不断扩大数控机床的品种和生产规模，培育形成一批具有自主知识产权的产品和知名品牌，重点骨干企业进入细分领域第一方阵，扭转滕州机床产品同质化、技术空心化的局面，支撑和带动滕州装备制造业全面升级。</w:t>
      </w:r>
    </w:p>
    <w:p>
      <w:pPr>
        <w:overflowPunct w:val="0"/>
        <w:ind w:firstLine="482"/>
        <w:textAlignment w:val="center"/>
        <w:rPr>
          <w:rFonts w:eastAsiaTheme="minorEastAsia"/>
        </w:rPr>
      </w:pPr>
      <w:r>
        <w:rPr>
          <w:b/>
          <w:bCs/>
          <w:lang w:eastAsia="zh-Hans"/>
        </w:rPr>
        <w:t>实施创新驱动绿色发展战略。</w:t>
      </w:r>
      <w:r>
        <w:rPr>
          <w:rFonts w:eastAsiaTheme="minorEastAsia"/>
        </w:rPr>
        <w:t>把科技创新作为引领产业发展的第一动力。加快培育创新主体，集聚创新资源，打造创新平台，优化创新环境，加快打造</w:t>
      </w:r>
      <w:r>
        <w:rPr>
          <w:rFonts w:asciiTheme="minorEastAsia" w:hAnsiTheme="minorEastAsia" w:eastAsiaTheme="minorEastAsia"/>
        </w:rPr>
        <w:t>“</w:t>
      </w:r>
      <w:r>
        <w:rPr>
          <w:rFonts w:eastAsiaTheme="minorEastAsia"/>
        </w:rPr>
        <w:t>创新创业升级版</w:t>
      </w:r>
      <w:r>
        <w:rPr>
          <w:rFonts w:asciiTheme="minorEastAsia" w:hAnsiTheme="minorEastAsia" w:eastAsiaTheme="minorEastAsia"/>
        </w:rPr>
        <w:t>”</w:t>
      </w:r>
      <w:r>
        <w:rPr>
          <w:rFonts w:eastAsiaTheme="minorEastAsia"/>
        </w:rPr>
        <w:t>，更多依靠创新引领高质量发展。总结兖矿鲁南化工、联泓新材料、盛隆化工的先进经验，推动传统煤化工行业绿色低碳发展，向着精细化工和化工新材料转型，推进焦油深加工、甲醇制氢延长产业链，提高产品附加值。依托金晶玻璃、元凯可曲面超薄玻璃，推动玻璃行业由平板玻璃向功能玻璃转型，重点抓好鲍沟现代玻璃产业基地提档升级。总结东郭水泥在利用水泥窑协</w:t>
      </w:r>
      <w:r>
        <w:rPr>
          <w:rFonts w:hint="eastAsia" w:eastAsiaTheme="minorEastAsia"/>
        </w:rPr>
        <w:t>同</w:t>
      </w:r>
      <w:r>
        <w:rPr>
          <w:rFonts w:eastAsiaTheme="minorEastAsia"/>
        </w:rPr>
        <w:t>处置废弃物领域走出的资源综合利用发展之路，进一步推动水泥行业减量替代，推动其实现规模化、集群化、循环化发展模式。</w:t>
      </w:r>
    </w:p>
    <w:p>
      <w:pPr>
        <w:overflowPunct w:val="0"/>
        <w:ind w:firstLine="482"/>
        <w:textAlignment w:val="center"/>
      </w:pPr>
      <w:r>
        <w:rPr>
          <w:rFonts w:eastAsiaTheme="minorEastAsia"/>
          <w:b/>
          <w:bCs/>
        </w:rPr>
        <w:t>加快重污染高耗能企业搬迁改造或关闭退出。</w:t>
      </w:r>
      <w:r>
        <w:rPr>
          <w:rFonts w:eastAsiaTheme="minorEastAsia"/>
        </w:rPr>
        <w:t>通过推动一批水泥、焦化、煤化工等重污染高耗能企业就地改造、域外搬迁等方式，推动转型升级；通过煤改电、煤改气、增加集中供热的区外输送以及其余清洁能源分布式供能站等方式，逐步选择市区等有条件的区域实施无煤区，通过推广和示范，进一步实现工业用煤和生活用煤</w:t>
      </w:r>
      <w:r>
        <w:rPr>
          <w:rFonts w:asciiTheme="minorEastAsia" w:hAnsiTheme="minorEastAsia" w:eastAsiaTheme="minorEastAsia"/>
        </w:rPr>
        <w:t>“</w:t>
      </w:r>
      <w:r>
        <w:rPr>
          <w:rFonts w:eastAsiaTheme="minorEastAsia"/>
        </w:rPr>
        <w:t>零消费</w:t>
      </w:r>
      <w:r>
        <w:rPr>
          <w:rFonts w:asciiTheme="minorEastAsia" w:hAnsiTheme="minorEastAsia" w:eastAsiaTheme="minorEastAsia"/>
        </w:rPr>
        <w:t>”</w:t>
      </w:r>
      <w:r>
        <w:rPr>
          <w:rFonts w:eastAsiaTheme="minorEastAsia"/>
        </w:rPr>
        <w:t>。</w:t>
      </w:r>
    </w:p>
    <w:p>
      <w:pPr>
        <w:widowControl/>
        <w:ind w:firstLine="562"/>
        <w:jc w:val="left"/>
        <w:outlineLvl w:val="2"/>
        <w:rPr>
          <w:b/>
          <w:bCs/>
          <w:kern w:val="0"/>
          <w:sz w:val="28"/>
          <w:lang w:eastAsia="zh-Hans"/>
        </w:rPr>
      </w:pPr>
      <w:r>
        <w:rPr>
          <w:b/>
          <w:bCs/>
          <w:kern w:val="0"/>
          <w:sz w:val="28"/>
          <w:lang w:eastAsia="zh-Hans"/>
        </w:rPr>
        <w:t>（二）加快能源结构调整</w:t>
      </w:r>
    </w:p>
    <w:p>
      <w:pPr>
        <w:overflowPunct w:val="0"/>
        <w:ind w:firstLine="482"/>
        <w:textAlignment w:val="center"/>
        <w:rPr>
          <w:rFonts w:eastAsiaTheme="minorEastAsia"/>
        </w:rPr>
      </w:pPr>
      <w:r>
        <w:rPr>
          <w:b/>
          <w:bCs/>
          <w:lang w:eastAsia="zh-Hans"/>
        </w:rPr>
        <w:t>优化能源供给结构。</w:t>
      </w:r>
      <w:r>
        <w:rPr>
          <w:lang w:eastAsia="zh-Hans"/>
        </w:rPr>
        <w:t>推动煤炭等化石能源清洁高效利用，积极推进煤炭洗选和提质加工。把清洁低碳能源作为调整能源结构的主攻方向，坚持清洁利用化石能源与大力发展非化石能源并举；努力压减全市煤炭消费总量，逐步降低煤炭消费比重。推进清洁能源倍增行动，大力增加清洁能源生产供给能力，推动新能源产业多元化、规模化发展，加快推进风电、光伏、生物质、地热能等可再生能源发展。利用滕州西部煤矿塌陷区闲置土地，打造</w:t>
      </w:r>
      <w:r>
        <w:rPr>
          <w:rFonts w:asciiTheme="minorEastAsia" w:hAnsiTheme="minorEastAsia" w:eastAsiaTheme="minorEastAsia"/>
          <w:lang w:eastAsia="zh-Hans"/>
        </w:rPr>
        <w:t>“</w:t>
      </w:r>
      <w:r>
        <w:rPr>
          <w:lang w:eastAsia="zh-Hans"/>
        </w:rPr>
        <w:t>风光互济、废地利用、源储联动</w:t>
      </w:r>
      <w:r>
        <w:rPr>
          <w:rFonts w:asciiTheme="minorEastAsia" w:hAnsiTheme="minorEastAsia" w:eastAsiaTheme="minorEastAsia"/>
          <w:lang w:eastAsia="zh-Hans"/>
        </w:rPr>
        <w:t>”</w:t>
      </w:r>
      <w:r>
        <w:rPr>
          <w:lang w:eastAsia="zh-Hans"/>
        </w:rPr>
        <w:t>的新能源发电新高地，推动光伏发电与生态环境治理相融合的多元发展。到2025年，非化石能源发电装机比重和发电量比重分别达到30%左右、20%左右，天然气消费比重达到12%以上。</w:t>
      </w:r>
    </w:p>
    <w:p>
      <w:pPr>
        <w:overflowPunct w:val="0"/>
        <w:ind w:firstLine="482"/>
        <w:textAlignment w:val="center"/>
        <w:rPr>
          <w:rFonts w:eastAsiaTheme="minorEastAsia"/>
        </w:rPr>
      </w:pPr>
      <w:r>
        <w:rPr>
          <w:rFonts w:eastAsiaTheme="minorEastAsia"/>
          <w:b/>
          <w:bCs/>
        </w:rPr>
        <w:t>严格控制能源消费总量。</w:t>
      </w:r>
      <w:r>
        <w:rPr>
          <w:rFonts w:eastAsiaTheme="minorEastAsia"/>
        </w:rPr>
        <w:t>严格控制煤炭消费增量，继续实施能源消耗总量和强度双控，健全节能标准体系和能源计量体系，大力开发、推广节能高效技术和产品，实现重点用能行业、设备节能标准全覆盖，新建高耗能项目单位产品（产值）能耗要达到国际先进水平。严格限制燃煤小热电建设，原则上禁止新建150蒸吨/小时及以下的燃煤锅炉</w:t>
      </w:r>
      <w:r>
        <w:rPr>
          <w:lang w:eastAsia="zh-Hans"/>
        </w:rPr>
        <w:t>，</w:t>
      </w:r>
      <w:r>
        <w:rPr>
          <w:rFonts w:eastAsiaTheme="minorEastAsia"/>
        </w:rPr>
        <w:t>逐步</w:t>
      </w:r>
      <w:r>
        <w:rPr>
          <w:lang w:eastAsia="zh-Hans"/>
        </w:rPr>
        <w:t>推动</w:t>
      </w:r>
      <w:r>
        <w:rPr>
          <w:rFonts w:eastAsiaTheme="minorEastAsia"/>
        </w:rPr>
        <w:t>65蒸吨及以下燃煤锅炉淘汰整合。</w:t>
      </w:r>
    </w:p>
    <w:p>
      <w:pPr>
        <w:overflowPunct w:val="0"/>
        <w:ind w:firstLine="482"/>
        <w:textAlignment w:val="center"/>
        <w:rPr>
          <w:rFonts w:eastAsiaTheme="minorEastAsia"/>
          <w:b/>
          <w:bCs/>
        </w:rPr>
      </w:pPr>
      <w:r>
        <w:rPr>
          <w:rFonts w:eastAsiaTheme="minorEastAsia"/>
          <w:b/>
          <w:bCs/>
        </w:rPr>
        <w:t>推动煤炭高效清洁利用。</w:t>
      </w:r>
      <w:r>
        <w:rPr>
          <w:rFonts w:eastAsiaTheme="minorEastAsia"/>
        </w:rPr>
        <w:t>推进清洁高效燃煤发电。加快燃煤机组升级改造，新、改、扩建燃煤锅炉热源厂或燃煤锅炉的，优先采用煤粉和水煤浆等高效环保锅炉。探索高热值煤炭推广利用。</w:t>
      </w:r>
      <w:r>
        <w:rPr>
          <w:lang w:eastAsia="zh-Hans"/>
        </w:rPr>
        <w:t>学习</w:t>
      </w:r>
      <w:r>
        <w:rPr>
          <w:rFonts w:eastAsiaTheme="minorEastAsia"/>
        </w:rPr>
        <w:t>借鉴</w:t>
      </w:r>
      <w:r>
        <w:rPr>
          <w:lang w:eastAsia="zh-Hans"/>
        </w:rPr>
        <w:t>先进</w:t>
      </w:r>
      <w:r>
        <w:rPr>
          <w:rFonts w:eastAsiaTheme="minorEastAsia"/>
        </w:rPr>
        <w:t>经验做法，将煤中高热值的炭与低热值的碳氢化合物及轻组分分离，实现煤炭分质高效转化，提高附加值</w:t>
      </w:r>
      <w:r>
        <w:rPr>
          <w:lang w:eastAsia="zh-Hans"/>
        </w:rPr>
        <w:t>，</w:t>
      </w:r>
      <w:r>
        <w:rPr>
          <w:rFonts w:eastAsiaTheme="minorEastAsia"/>
        </w:rPr>
        <w:t>在具备条件的企业采用高热值煤，提升效率，降低煤耗总量。</w:t>
      </w:r>
    </w:p>
    <w:p>
      <w:pPr>
        <w:overflowPunct w:val="0"/>
        <w:ind w:firstLine="482"/>
        <w:textAlignment w:val="center"/>
        <w:rPr>
          <w:rFonts w:eastAsiaTheme="minorEastAsia"/>
        </w:rPr>
      </w:pPr>
      <w:r>
        <w:rPr>
          <w:rFonts w:eastAsiaTheme="minorEastAsia"/>
          <w:b/>
          <w:bCs/>
        </w:rPr>
        <w:t>加快发展清洁绿色能源。</w:t>
      </w:r>
      <w:r>
        <w:rPr>
          <w:rFonts w:eastAsiaTheme="minorEastAsia"/>
        </w:rPr>
        <w:t>坚持集中开发与分散并举，调整优化开发布局，优化风能、太阳能开发布局，因地制宜发展生物质能、地热能等。加快推进天然气利用，完善城镇燃气公共服务体系，支持城市建成区、新建住宅小区及公共服务机构配套建设燃气设施，加快燃气老旧管网改造。开展天然气下乡试点，宜管则管、宜罐则罐，采用多种形式，提高偏远及农村地区天然气通达能力，提高天然气在一次能源消费中的比重。鼓励大型公共建筑、商业楼宇、工厂厂房等建设分布式光伏，建设分布式光伏发电、浅层地热应用示范项目。到2025年，非化石能源占一次能源消费比重力争超额完成省下达任务。</w:t>
      </w:r>
    </w:p>
    <w:p>
      <w:pPr>
        <w:overflowPunct w:val="0"/>
        <w:ind w:firstLine="482"/>
        <w:textAlignment w:val="center"/>
        <w:rPr>
          <w:lang w:eastAsia="zh-Hans"/>
        </w:rPr>
      </w:pPr>
      <w:r>
        <w:rPr>
          <w:b/>
          <w:bCs/>
          <w:lang w:eastAsia="zh-Hans"/>
        </w:rPr>
        <w:t>加快能源基础设施建设。</w:t>
      </w:r>
      <w:r>
        <w:rPr>
          <w:lang w:eastAsia="zh-Hans"/>
        </w:rPr>
        <w:t>推进能源互联网建设，鼓励电力、天然气、热力等领域企业基于全省智慧能源运行平台，建设能源管理运行系统，实现各类能源网络信息系统的互联互通和数据共享，配合全省构建能源形态协同转化、集中式与分布式能源协同运行的综合能源网络。大力推广</w:t>
      </w:r>
      <w:r>
        <w:rPr>
          <w:rFonts w:asciiTheme="minorEastAsia" w:hAnsiTheme="minorEastAsia" w:eastAsiaTheme="minorEastAsia"/>
          <w:lang w:eastAsia="zh-Hans"/>
        </w:rPr>
        <w:t>“</w:t>
      </w:r>
      <w:r>
        <w:rPr>
          <w:lang w:eastAsia="zh-Hans"/>
        </w:rPr>
        <w:t>多表合一</w:t>
      </w:r>
      <w:r>
        <w:rPr>
          <w:rFonts w:asciiTheme="minorEastAsia" w:hAnsiTheme="minorEastAsia" w:eastAsiaTheme="minorEastAsia"/>
          <w:lang w:eastAsia="zh-Hans"/>
        </w:rPr>
        <w:t>”</w:t>
      </w:r>
      <w:r>
        <w:rPr>
          <w:lang w:eastAsia="zh-Hans"/>
        </w:rPr>
        <w:t>，实现电、气、热等多种能源消费信息的集中自动采集和跨行业数据共享。推进</w:t>
      </w:r>
      <w:r>
        <w:rPr>
          <w:rFonts w:asciiTheme="minorEastAsia" w:hAnsiTheme="minorEastAsia" w:eastAsiaTheme="minorEastAsia"/>
          <w:lang w:eastAsia="zh-Hans"/>
        </w:rPr>
        <w:t>“</w:t>
      </w:r>
      <w:r>
        <w:rPr>
          <w:lang w:eastAsia="zh-Hans"/>
        </w:rPr>
        <w:t>互联网+</w:t>
      </w:r>
      <w:r>
        <w:rPr>
          <w:rFonts w:asciiTheme="minorEastAsia" w:hAnsiTheme="minorEastAsia" w:eastAsiaTheme="minorEastAsia"/>
          <w:lang w:eastAsia="zh-Hans"/>
        </w:rPr>
        <w:t>”</w:t>
      </w:r>
      <w:r>
        <w:rPr>
          <w:lang w:eastAsia="zh-Hans"/>
        </w:rPr>
        <w:t>充电设施建设，依托加油站、公交站、停车场等场所，构建车桩相随、智能高效的充电基础设施体系。</w:t>
      </w:r>
    </w:p>
    <w:p>
      <w:pPr>
        <w:widowControl/>
        <w:ind w:firstLine="562"/>
        <w:jc w:val="left"/>
        <w:outlineLvl w:val="2"/>
        <w:rPr>
          <w:b/>
          <w:bCs/>
          <w:kern w:val="0"/>
          <w:sz w:val="28"/>
          <w:lang w:eastAsia="zh-Hans"/>
        </w:rPr>
      </w:pPr>
      <w:r>
        <w:rPr>
          <w:b/>
          <w:bCs/>
          <w:kern w:val="0"/>
          <w:sz w:val="28"/>
          <w:lang w:eastAsia="zh-Hans"/>
        </w:rPr>
        <w:t>（三）加快运输结构调整</w:t>
      </w:r>
    </w:p>
    <w:p>
      <w:pPr>
        <w:overflowPunct w:val="0"/>
        <w:ind w:firstLine="482"/>
        <w:textAlignment w:val="center"/>
      </w:pPr>
      <w:r>
        <w:rPr>
          <w:b/>
          <w:bCs/>
          <w:lang w:eastAsia="zh-Hans"/>
        </w:rPr>
        <w:t>优化交通运输结构。</w:t>
      </w:r>
      <w:r>
        <w:rPr>
          <w:lang w:eastAsia="zh-Hans"/>
        </w:rPr>
        <w:t>加大运输结构调整力度，基本形成大宗货物和集装箱中长距离运输以铁路和水路运输为主的格局。新、改、扩建涉及大宗物料运输的建设项目，原则上不得采用公路运输。支持砂石、煤炭、电解铝、电力、焦化、水泥等大宗货物年运输量150万吨以上的大型工矿企业以及大型物流园区新（改、扩）建铁路专用线。</w:t>
      </w:r>
    </w:p>
    <w:p>
      <w:pPr>
        <w:overflowPunct w:val="0"/>
        <w:ind w:firstLine="482"/>
        <w:textAlignment w:val="center"/>
        <w:rPr>
          <w:rFonts w:eastAsiaTheme="minorEastAsia"/>
        </w:rPr>
      </w:pPr>
      <w:r>
        <w:rPr>
          <w:rFonts w:eastAsiaTheme="minorEastAsia"/>
          <w:b/>
          <w:bCs/>
        </w:rPr>
        <w:t>减少公路运输量</w:t>
      </w:r>
      <w:r>
        <w:rPr>
          <w:b/>
          <w:bCs/>
          <w:lang w:eastAsia="zh-Hans"/>
        </w:rPr>
        <w:t>。</w:t>
      </w:r>
      <w:r>
        <w:rPr>
          <w:lang w:eastAsia="zh-Hans"/>
        </w:rPr>
        <w:t>压缩大宗物料公路运输量，对运输距离在400公里以上、计划性较强的煤炭、矿石、焦炭等大宗货物转为铁路运输。已有铁路专用线的重点工业企业，铁路装车能力利用率提高到85%以上，已有铁路专用线的重点工业企业铁路运输比例达到国家要求。加快电力等重点企业和工业园区铁路专用线建设，推动货物由公路运输转向铁路运输，显著提高大宗货物非公路货运比例。</w:t>
      </w:r>
    </w:p>
    <w:p>
      <w:pPr>
        <w:overflowPunct w:val="0"/>
        <w:ind w:firstLine="482"/>
        <w:textAlignment w:val="center"/>
        <w:rPr>
          <w:rFonts w:eastAsiaTheme="minorEastAsia"/>
        </w:rPr>
      </w:pPr>
      <w:r>
        <w:rPr>
          <w:rFonts w:eastAsiaTheme="minorEastAsia"/>
          <w:b/>
          <w:bCs/>
        </w:rPr>
        <w:t>着力提升公路运输效率。</w:t>
      </w:r>
      <w:r>
        <w:rPr>
          <w:rFonts w:eastAsiaTheme="minorEastAsia"/>
        </w:rPr>
        <w:t>降低货车空驶率，利用</w:t>
      </w:r>
      <w:r>
        <w:rPr>
          <w:rFonts w:asciiTheme="minorEastAsia" w:hAnsiTheme="minorEastAsia" w:eastAsiaTheme="minorEastAsia"/>
        </w:rPr>
        <w:t>“</w:t>
      </w:r>
      <w:r>
        <w:rPr>
          <w:rFonts w:eastAsiaTheme="minorEastAsia"/>
        </w:rPr>
        <w:t>互联网+</w:t>
      </w:r>
      <w:r>
        <w:rPr>
          <w:rFonts w:asciiTheme="minorEastAsia" w:hAnsiTheme="minorEastAsia" w:eastAsiaTheme="minorEastAsia"/>
        </w:rPr>
        <w:t>”</w:t>
      </w:r>
      <w:r>
        <w:rPr>
          <w:rFonts w:eastAsiaTheme="minorEastAsia"/>
        </w:rPr>
        <w:t>高效物流等业态创新方式，深入推进道路货运无车承运人试点，促进供需匹配，逐步降低空驶率。配合推进省交通运输物流公共信息平台建设，推动跨领域、跨运输方式、跨区域的物流信息互联互通。提高科学化管理水平，利用交通运输大数据流量分析方法，设置科学合理的交通运输导向和方式。加快推进城市集约货运配送，优化城市货运和快递配送体系，在城市周边布局建设公共货运场站或快件处理中心，完善城市主要商业区、校园、社区等末端配送节点设施，引导企业发展统一配送、集中配送、共同配送等集约化组织方式。</w:t>
      </w:r>
    </w:p>
    <w:p>
      <w:pPr>
        <w:overflowPunct w:val="0"/>
        <w:ind w:firstLine="482"/>
        <w:textAlignment w:val="center"/>
        <w:rPr>
          <w:rFonts w:eastAsiaTheme="minorEastAsia"/>
        </w:rPr>
      </w:pPr>
      <w:r>
        <w:rPr>
          <w:rFonts w:eastAsiaTheme="minorEastAsia"/>
          <w:b/>
          <w:bCs/>
        </w:rPr>
        <w:t>着力实施公路运输绿色化改造。</w:t>
      </w:r>
      <w:r>
        <w:rPr>
          <w:rFonts w:eastAsiaTheme="minorEastAsia"/>
        </w:rPr>
        <w:t>将绿色低碳新理念、新技术、新工艺、新材料融入交通基础设施的规划设计、施工建设、运营养护全过程，推广济东高速公路、青岛港、日照港等绿色交通试点、示范经验，开展交通基础设施绿色提升工程；推进普通国省道沿线充电站（桩）设施建设，加快形成城际快充网络。促进交通用能清洁化，大力推广新能源、天然气（CNG/LNG）等节能环保运输工具。</w:t>
      </w:r>
      <w:r>
        <w:rPr>
          <w:lang w:eastAsia="zh-Hans"/>
        </w:rPr>
        <w:t>对于</w:t>
      </w:r>
      <w:r>
        <w:rPr>
          <w:rFonts w:eastAsiaTheme="minorEastAsia"/>
        </w:rPr>
        <w:t>财政资金购买的公交车、公务用车及市政、环卫车辆优先采用新能源或清洁能源车，到202</w:t>
      </w:r>
      <w:r>
        <w:t>5</w:t>
      </w:r>
      <w:r>
        <w:rPr>
          <w:rFonts w:eastAsiaTheme="minorEastAsia"/>
        </w:rPr>
        <w:t>年实现全覆盖。</w:t>
      </w:r>
    </w:p>
    <w:p>
      <w:pPr>
        <w:overflowPunct w:val="0"/>
        <w:ind w:firstLine="482"/>
        <w:textAlignment w:val="center"/>
      </w:pPr>
      <w:r>
        <w:rPr>
          <w:rFonts w:eastAsiaTheme="minorEastAsia"/>
          <w:b/>
          <w:bCs/>
        </w:rPr>
        <w:t>大力提高多式联运货物运输量。</w:t>
      </w:r>
      <w:r>
        <w:rPr>
          <w:rFonts w:eastAsiaTheme="minorEastAsia"/>
        </w:rPr>
        <w:t>加快综合运输体系建设，发展智慧交通，破解运输壁垒，解决多种运输方式衔接不通畅、标准不统一、布局不合理、整体优势和组合效率得不到充分发挥等问题，实现公路、水路铁路、邮政等相关部门信息系统对接。按照上级有关要求，依托铁路物流基地、公路港、内河港口等，推进多式联运型和干支衔接型货运枢纽（物流园区）建设，推进多式联运示范工程建设。</w:t>
      </w:r>
    </w:p>
    <w:p>
      <w:pPr>
        <w:widowControl/>
        <w:ind w:firstLine="562"/>
        <w:jc w:val="left"/>
        <w:outlineLvl w:val="2"/>
        <w:rPr>
          <w:b/>
          <w:bCs/>
          <w:kern w:val="0"/>
          <w:sz w:val="28"/>
          <w:lang w:eastAsia="zh-Hans"/>
        </w:rPr>
      </w:pPr>
      <w:r>
        <w:rPr>
          <w:b/>
          <w:bCs/>
          <w:kern w:val="0"/>
          <w:sz w:val="28"/>
          <w:lang w:eastAsia="zh-Hans"/>
        </w:rPr>
        <w:t>（四）加快用地结构调整</w:t>
      </w:r>
    </w:p>
    <w:p>
      <w:pPr>
        <w:overflowPunct w:val="0"/>
        <w:ind w:firstLine="482"/>
        <w:textAlignment w:val="center"/>
        <w:rPr>
          <w:rFonts w:eastAsiaTheme="minorEastAsia"/>
        </w:rPr>
      </w:pPr>
      <w:r>
        <w:rPr>
          <w:rFonts w:eastAsiaTheme="minorEastAsia"/>
          <w:b/>
          <w:bCs/>
        </w:rPr>
        <w:t>推进农药化肥减量增效。</w:t>
      </w:r>
      <w:r>
        <w:rPr>
          <w:rFonts w:eastAsiaTheme="minorEastAsia"/>
        </w:rPr>
        <w:t>深入实施农药化肥减量增效行动，全面实施节水、减肥、控药一体推进、综合治理工程。完善化肥农药使用量调查统计制度。加强农业投入品规范化管理，健全投入品追溯系统，严格执行化肥、农药等农业投入品质量标准。在粮食主产区、果菜茶优势产区等重点区域大力普及测土配方施肥技术，推广应用配方肥，2025年底前，</w:t>
      </w:r>
      <w:r>
        <w:rPr>
          <w:rFonts w:hint="eastAsia" w:eastAsiaTheme="minorEastAsia"/>
        </w:rPr>
        <w:t>测土配方施肥技术覆盖率达到90%</w:t>
      </w:r>
      <w:r>
        <w:rPr>
          <w:rFonts w:hint="eastAsia" w:eastAsiaTheme="minorEastAsia"/>
        </w:rPr>
        <w:tab/>
      </w:r>
      <w:r>
        <w:rPr>
          <w:rFonts w:hint="eastAsia" w:eastAsiaTheme="minorEastAsia"/>
        </w:rPr>
        <w:t>以上</w:t>
      </w:r>
      <w:r>
        <w:rPr>
          <w:rFonts w:eastAsiaTheme="minorEastAsia"/>
        </w:rPr>
        <w:t>。大力推广缓控释肥、生物肥等新型肥料。推广水肥一体化、机械深耕、种肥同播等施肥技术。2025年底前，</w:t>
      </w:r>
      <w:r>
        <w:rPr>
          <w:rFonts w:hint="eastAsia" w:eastAsiaTheme="minorEastAsia"/>
        </w:rPr>
        <w:t>推广水肥一体化面积达到3.5万亩</w:t>
      </w:r>
      <w:r>
        <w:rPr>
          <w:rFonts w:eastAsiaTheme="minorEastAsia"/>
        </w:rPr>
        <w:t>。推广生态治理、健康栽培、生物防治、物理防治等绿色防控技术，大力推进果菜茶病全程绿色防控示范</w:t>
      </w:r>
      <w:r>
        <w:rPr>
          <w:lang w:eastAsia="zh-Hans"/>
        </w:rPr>
        <w:t>市</w:t>
      </w:r>
      <w:r>
        <w:rPr>
          <w:rFonts w:eastAsiaTheme="minorEastAsia"/>
        </w:rPr>
        <w:t>建设。推广植保无人机等先进施药机械。大力扶持社会化服务组织开展专业化统防统治，实施农业病虫害专业化统防统治能力建设示范项目，</w:t>
      </w:r>
      <w:r>
        <w:rPr>
          <w:lang w:eastAsia="zh-Hans"/>
        </w:rPr>
        <w:t>积极争取</w:t>
      </w:r>
      <w:r>
        <w:rPr>
          <w:rFonts w:eastAsiaTheme="minorEastAsia"/>
        </w:rPr>
        <w:t>农作物病虫专业化统防统治与绿色防控融合推进示范基地。</w:t>
      </w:r>
      <w:r>
        <w:rPr>
          <w:rFonts w:hint="eastAsia" w:eastAsiaTheme="minorEastAsia"/>
        </w:rPr>
        <w:t>到2025年，在农业病虫害发生平稳、农作物种植面积不变的情况下，单位耕地面积化肥施用量、化学农药使用量持续减少</w:t>
      </w:r>
      <w:r>
        <w:rPr>
          <w:rFonts w:eastAsiaTheme="minorEastAsia"/>
        </w:rPr>
        <w:t>。</w:t>
      </w:r>
    </w:p>
    <w:p>
      <w:pPr>
        <w:overflowPunct w:val="0"/>
        <w:ind w:firstLine="482"/>
        <w:textAlignment w:val="center"/>
        <w:rPr>
          <w:rFonts w:eastAsiaTheme="minorEastAsia"/>
        </w:rPr>
      </w:pPr>
      <w:r>
        <w:rPr>
          <w:rFonts w:eastAsiaTheme="minorEastAsia"/>
          <w:b/>
          <w:bCs/>
        </w:rPr>
        <w:t>大力推广应用有机肥。</w:t>
      </w:r>
      <w:r>
        <w:rPr>
          <w:rFonts w:eastAsiaTheme="minorEastAsia"/>
        </w:rPr>
        <w:t>加快发展种养有机结合的循环农业，推广畜禽粪污全量收集还田利用等技术模式。引导农民积极施用有机肥，鼓励规模以下畜禽养殖户采用</w:t>
      </w:r>
      <w:r>
        <w:rPr>
          <w:rFonts w:asciiTheme="minorEastAsia" w:hAnsiTheme="minorEastAsia" w:eastAsiaTheme="minorEastAsia"/>
        </w:rPr>
        <w:t>“</w:t>
      </w:r>
      <w:r>
        <w:rPr>
          <w:rFonts w:eastAsiaTheme="minorEastAsia"/>
        </w:rPr>
        <w:t>截污建池、收运还田</w:t>
      </w:r>
      <w:r>
        <w:rPr>
          <w:rFonts w:asciiTheme="minorEastAsia" w:hAnsiTheme="minorEastAsia" w:eastAsiaTheme="minorEastAsia"/>
        </w:rPr>
        <w:t>”</w:t>
      </w:r>
      <w:r>
        <w:rPr>
          <w:rFonts w:eastAsiaTheme="minorEastAsia"/>
        </w:rPr>
        <w:t>等模式实现粪污还田。提升有机肥规模化生产能力，在用地、贷款、税收等方面给于优惠，支持引导社会力量兴办有机肥企业。着力构建</w:t>
      </w:r>
      <w:r>
        <w:rPr>
          <w:rFonts w:asciiTheme="minorEastAsia" w:hAnsiTheme="minorEastAsia" w:eastAsiaTheme="minorEastAsia"/>
        </w:rPr>
        <w:t>“</w:t>
      </w:r>
      <w:r>
        <w:rPr>
          <w:rFonts w:eastAsiaTheme="minorEastAsia"/>
        </w:rPr>
        <w:t>收集-转化-应用</w:t>
      </w:r>
      <w:r>
        <w:rPr>
          <w:rFonts w:asciiTheme="minorEastAsia" w:hAnsiTheme="minorEastAsia" w:eastAsiaTheme="minorEastAsia"/>
        </w:rPr>
        <w:t>”</w:t>
      </w:r>
      <w:r>
        <w:rPr>
          <w:rFonts w:eastAsiaTheme="minorEastAsia"/>
        </w:rPr>
        <w:t>三级网格体系，提高农业农村生产生活有机废弃物资源化、能源化利用水平。扎实推进果（菜）、小麦、玉米等有机肥替代实施行动，积极推动实施果菜茶有机肥替代化肥试点，打造一批高标准集中连片有机肥替代化肥技术示范区。推动出台有机肥使用补贴政策。</w:t>
      </w:r>
    </w:p>
    <w:p>
      <w:pPr>
        <w:overflowPunct w:val="0"/>
        <w:ind w:firstLine="482"/>
        <w:textAlignment w:val="center"/>
      </w:pPr>
      <w:r>
        <w:rPr>
          <w:rFonts w:eastAsiaTheme="minorEastAsia"/>
          <w:b/>
          <w:bCs/>
        </w:rPr>
        <w:t>开展农业绿色发展先行区建设。</w:t>
      </w:r>
      <w:r>
        <w:rPr>
          <w:rFonts w:hint="eastAsia" w:eastAsiaTheme="minorEastAsia"/>
        </w:rPr>
        <w:t>持续推进农业绿色发展先行区建设，进一步加大农业绿色发展先行区建设力度，创新农业绿色发展体制机制和政策体系，推广农业绿色生产技术，探索符合滕州特色的绿色发展模式，推进农业发展绿色转型。</w:t>
      </w:r>
      <w:r>
        <w:rPr>
          <w:rFonts w:eastAsiaTheme="minorEastAsia"/>
        </w:rPr>
        <w:t>加大国家农业可持续发展试验示范区暨绿色发展先行区建设力度，推进滕州市农业绿色发展先行先试支撑体系建设试点，大力发展资源节约型产业，培育一批绿色发展典型技术模式</w:t>
      </w:r>
      <w:r>
        <w:rPr>
          <w:lang w:eastAsia="zh-Hans"/>
        </w:rPr>
        <w:t>。</w:t>
      </w:r>
    </w:p>
    <w:bookmarkEnd w:id="185"/>
    <w:p>
      <w:pPr>
        <w:widowControl/>
        <w:ind w:firstLine="562"/>
        <w:jc w:val="left"/>
        <w:outlineLvl w:val="2"/>
        <w:rPr>
          <w:b/>
          <w:bCs/>
          <w:kern w:val="0"/>
          <w:sz w:val="28"/>
          <w:lang w:eastAsia="zh-Hans"/>
        </w:rPr>
      </w:pPr>
      <w:r>
        <w:rPr>
          <w:rFonts w:hint="eastAsia"/>
          <w:b/>
          <w:bCs/>
          <w:kern w:val="0"/>
          <w:sz w:val="28"/>
          <w:lang w:eastAsia="zh-Hans"/>
        </w:rPr>
        <w:t>（五）深入实施创新驱动发展战略</w:t>
      </w:r>
    </w:p>
    <w:p>
      <w:pPr>
        <w:overflowPunct w:val="0"/>
        <w:ind w:firstLine="482"/>
        <w:textAlignment w:val="center"/>
        <w:rPr>
          <w:bCs/>
        </w:rPr>
      </w:pPr>
      <w:r>
        <w:rPr>
          <w:rFonts w:hint="eastAsia"/>
          <w:b/>
        </w:rPr>
        <w:t>实施梯次培育。</w:t>
      </w:r>
      <w:r>
        <w:rPr>
          <w:rFonts w:hint="eastAsia"/>
          <w:bCs/>
        </w:rPr>
        <w:t>实施企业梯次培育计划，落实“亩产效益”评价改革结果应用，着力在龙头骨干、规上、小微、专精特新等企业上下功夫，积极构建大中小企业融通发展新格局。力争每年新增规上企业</w:t>
      </w:r>
      <w:r>
        <w:rPr>
          <w:bCs/>
        </w:rPr>
        <w:t>15</w:t>
      </w:r>
      <w:r>
        <w:rPr>
          <w:rFonts w:hint="eastAsia"/>
          <w:bCs/>
        </w:rPr>
        <w:t>家以上，培育省级瞪羚企业、单项冠军、隐形冠军等各类专精特新企业</w:t>
      </w:r>
      <w:r>
        <w:rPr>
          <w:bCs/>
        </w:rPr>
        <w:t>10</w:t>
      </w:r>
      <w:r>
        <w:rPr>
          <w:rFonts w:hint="eastAsia"/>
          <w:bCs/>
        </w:rPr>
        <w:t>家以上，新发展中小企业</w:t>
      </w:r>
      <w:r>
        <w:rPr>
          <w:bCs/>
        </w:rPr>
        <w:t>2000</w:t>
      </w:r>
      <w:r>
        <w:rPr>
          <w:rFonts w:hint="eastAsia"/>
          <w:bCs/>
        </w:rPr>
        <w:t>家以上。</w:t>
      </w:r>
    </w:p>
    <w:p>
      <w:pPr>
        <w:overflowPunct w:val="0"/>
        <w:ind w:firstLine="482"/>
        <w:textAlignment w:val="center"/>
      </w:pPr>
      <w:r>
        <w:rPr>
          <w:rFonts w:hint="eastAsia"/>
          <w:b/>
        </w:rPr>
        <w:t>加快企业创新步伐。</w:t>
      </w:r>
      <w:r>
        <w:rPr>
          <w:rFonts w:hint="eastAsia"/>
        </w:rPr>
        <w:t>突出企业创新主体地位，深化企业与北理工、北航等高校院所的战略合作，推进产学研协同创新平台建设，加快创新成果转化和市场化步伐。培育认定一批省市级制造业创新平台、技术创新示范企业、“一企一技术”研发中心，在重点领域积极推进首台首套技术装备研发，大力提升装备制造业核心竞争力，不断激发创业创新活力。力争每年实施技术创新项目不少于200项，其中列入省技术创新项目计划不少于25项，为加快推进新旧动能转换、转型升级、创新驱动提供强力的人才和智力支撑。</w:t>
      </w:r>
    </w:p>
    <w:p>
      <w:pPr>
        <w:overflowPunct w:val="0"/>
        <w:ind w:firstLine="482"/>
        <w:textAlignment w:val="center"/>
        <w:rPr>
          <w:bCs/>
        </w:rPr>
      </w:pPr>
      <w:r>
        <w:rPr>
          <w:rFonts w:hint="eastAsia"/>
          <w:b/>
        </w:rPr>
        <w:t>强化政策支持。</w:t>
      </w:r>
      <w:r>
        <w:rPr>
          <w:rFonts w:hint="eastAsia"/>
          <w:bCs/>
        </w:rPr>
        <w:t>持续深化各级各类惠企优企政策研究分析，加大宣传解读力度，结合全市发展实际，找准切入点，帮助企业评荣誉、争资金、获奖项，争取将更多政策红利引向滕州、福泽企业。研究制定促进民营经济、中小企业新旧动能转换的相关政策措施，进一步抢抓机遇，促进全市中小企业在新旧动能转换大潮中率先发展。强化政银企合作，继续推进与建行合作开展“助保贷”业务，积极推荐优质企业进入“助保金池”，进一步缓解企业融资压力。</w:t>
      </w:r>
    </w:p>
    <w:p>
      <w:pPr>
        <w:widowControl/>
        <w:ind w:firstLine="562"/>
        <w:jc w:val="left"/>
        <w:outlineLvl w:val="2"/>
        <w:rPr>
          <w:b/>
          <w:bCs/>
          <w:kern w:val="0"/>
          <w:sz w:val="28"/>
          <w:lang w:eastAsia="zh-Hans"/>
        </w:rPr>
      </w:pPr>
      <w:r>
        <w:rPr>
          <w:rFonts w:hint="eastAsia"/>
          <w:b/>
          <w:bCs/>
          <w:kern w:val="0"/>
          <w:sz w:val="28"/>
          <w:lang w:eastAsia="zh-Hans"/>
        </w:rPr>
        <w:t>（六）纵深推进新旧动能转换</w:t>
      </w:r>
    </w:p>
    <w:p>
      <w:pPr>
        <w:pStyle w:val="2"/>
        <w:ind w:left="0" w:leftChars="0" w:firstLine="482"/>
        <w:rPr>
          <w:lang w:eastAsia="zh-Hans"/>
        </w:rPr>
      </w:pPr>
      <w:r>
        <w:rPr>
          <w:rFonts w:hint="eastAsia"/>
          <w:b/>
          <w:bCs/>
          <w:lang w:eastAsia="zh-Hans"/>
        </w:rPr>
        <w:t>精准管控“两高”行业。</w:t>
      </w:r>
      <w:r>
        <w:rPr>
          <w:rFonts w:hint="eastAsia"/>
          <w:lang w:eastAsia="zh-Hans"/>
        </w:rPr>
        <w:t>用好“两高”项目电子监管平台，建立检查人员库，强化常态化固定工作力量，全力推动“两高”行业监督检查体系建设，加快淘汰低效落后产能。</w:t>
      </w:r>
    </w:p>
    <w:p>
      <w:pPr>
        <w:overflowPunct w:val="0"/>
        <w:ind w:firstLine="482"/>
        <w:textAlignment w:val="center"/>
      </w:pPr>
      <w:r>
        <w:rPr>
          <w:rFonts w:hint="eastAsia"/>
          <w:b/>
        </w:rPr>
        <w:t>加快企业技改。</w:t>
      </w:r>
      <w:r>
        <w:rPr>
          <w:rFonts w:hint="eastAsia"/>
        </w:rPr>
        <w:t>大力实施“三百工程”，加快推进“百项企业技改”，聚力传统产业改造提升，着力打造一批智能制造示范项目和标杆企业，建设一批数字车间和智能工厂，重点支持引导企业围绕新装备、新工艺、新材料、新模式实施“四新技改”，向装备数控化、生产线网络化、车间数字化、工厂智能化等“四化”方向升级。</w:t>
      </w:r>
    </w:p>
    <w:p>
      <w:pPr>
        <w:overflowPunct w:val="0"/>
        <w:ind w:firstLine="482"/>
        <w:textAlignment w:val="center"/>
      </w:pPr>
      <w:r>
        <w:rPr>
          <w:rFonts w:hint="eastAsia"/>
          <w:b/>
        </w:rPr>
        <w:t>推进绿色制造。</w:t>
      </w:r>
      <w:r>
        <w:rPr>
          <w:rFonts w:hint="eastAsia"/>
        </w:rPr>
        <w:t>大力实施“工业绿动力”计划，加大对化工企业的整治力度，严格高耗能、高污染和资源型行业准入条件，坚决打好大气污染防治攻坚战。做好省资源综合利用和工业固废产生企业统计数据，确保完成资源综合利用任务目标。大力培植绿色环保产业，壮大绿色产业规模，打造绿色制造体系，培育清洁能源企业，争取更多的企业被评为省级以上“绿色工厂”。</w:t>
      </w:r>
    </w:p>
    <w:p>
      <w:pPr>
        <w:overflowPunct w:val="0"/>
        <w:ind w:firstLine="482"/>
        <w:textAlignment w:val="center"/>
      </w:pPr>
      <w:r>
        <w:rPr>
          <w:rFonts w:hint="eastAsia"/>
          <w:b/>
          <w:bCs/>
        </w:rPr>
        <w:t>引导金融支持绿色低碳高质量发展建设。</w:t>
      </w:r>
      <w:r>
        <w:rPr>
          <w:rFonts w:hint="eastAsia"/>
        </w:rPr>
        <w:t>充分发挥金融在支持山东深化新旧动能转换、推动绿色低碳高质量发展的支撑作用。支持传统支柱产业绿色化高端化发展，加大对产业基础再造工程、质量提升行动、产业园区循环化改造、重点领域节能减碳改造升级等的中长期贷款投入。增加信贷资金供给，积极培育发展新兴产业，重点加大对新一代信息技术、高端装备、新能源、新材料等重点领域、关键核心技术攻关的金融支持，加快金融赋能文旅产业等现代服务业高质量发展。</w:t>
      </w:r>
    </w:p>
    <w:p>
      <w:pPr>
        <w:pStyle w:val="1336"/>
        <w:spacing w:before="163" w:after="163"/>
      </w:pPr>
      <w:bookmarkStart w:id="186" w:name="_Toc2952"/>
      <w:r>
        <w:t>二、推进工业产业强基增效</w:t>
      </w:r>
      <w:bookmarkEnd w:id="186"/>
    </w:p>
    <w:p>
      <w:pPr>
        <w:widowControl/>
        <w:ind w:firstLine="562"/>
        <w:jc w:val="left"/>
        <w:outlineLvl w:val="2"/>
        <w:rPr>
          <w:b/>
          <w:bCs/>
          <w:kern w:val="0"/>
          <w:sz w:val="28"/>
          <w:lang w:eastAsia="zh-Hans"/>
        </w:rPr>
      </w:pPr>
      <w:bookmarkStart w:id="187" w:name="_Toc13028"/>
      <w:r>
        <w:rPr>
          <w:b/>
          <w:bCs/>
          <w:kern w:val="0"/>
          <w:sz w:val="28"/>
          <w:lang w:eastAsia="zh-Hans"/>
        </w:rPr>
        <w:t>（一）构筑</w:t>
      </w:r>
      <w:r>
        <w:rPr>
          <w:rFonts w:asciiTheme="minorEastAsia" w:hAnsiTheme="minorEastAsia" w:eastAsiaTheme="minorEastAsia"/>
          <w:b/>
          <w:bCs/>
          <w:kern w:val="0"/>
          <w:sz w:val="28"/>
          <w:lang w:eastAsia="zh-Hans"/>
        </w:rPr>
        <w:t>“</w:t>
      </w:r>
      <w:r>
        <w:rPr>
          <w:b/>
          <w:bCs/>
          <w:kern w:val="0"/>
          <w:sz w:val="28"/>
          <w:lang w:eastAsia="zh-Hans"/>
        </w:rPr>
        <w:t>245</w:t>
      </w:r>
      <w:r>
        <w:rPr>
          <w:rFonts w:asciiTheme="minorEastAsia" w:hAnsiTheme="minorEastAsia" w:eastAsiaTheme="minorEastAsia"/>
          <w:b/>
          <w:bCs/>
          <w:kern w:val="0"/>
          <w:sz w:val="28"/>
          <w:lang w:eastAsia="zh-Hans"/>
        </w:rPr>
        <w:t>”</w:t>
      </w:r>
      <w:r>
        <w:rPr>
          <w:b/>
          <w:bCs/>
          <w:kern w:val="0"/>
          <w:sz w:val="28"/>
          <w:lang w:eastAsia="zh-Hans"/>
        </w:rPr>
        <w:t>产业载体支撑格局</w:t>
      </w:r>
    </w:p>
    <w:p>
      <w:pPr>
        <w:overflowPunct w:val="0"/>
        <w:ind w:firstLine="480"/>
        <w:textAlignment w:val="center"/>
        <w:rPr>
          <w:lang w:eastAsia="zh-Hans"/>
        </w:rPr>
      </w:pPr>
      <w:r>
        <w:rPr>
          <w:lang w:eastAsia="zh-Hans"/>
        </w:rPr>
        <w:t>按照差异化、特色化、专业化发展原则，优化滕州经济开发区和各特色专业园区功能定位、产业布局，构建两区+多个特色园区基地产业发展载体，完善基础设施建设，增强承载力、配套力、吸引力。构筑</w:t>
      </w:r>
      <w:r>
        <w:rPr>
          <w:rFonts w:asciiTheme="minorEastAsia" w:hAnsiTheme="minorEastAsia" w:eastAsiaTheme="minorEastAsia"/>
          <w:lang w:eastAsia="zh-Hans"/>
        </w:rPr>
        <w:t>“</w:t>
      </w:r>
      <w:r>
        <w:rPr>
          <w:lang w:eastAsia="zh-Hans"/>
        </w:rPr>
        <w:t>245</w:t>
      </w:r>
      <w:r>
        <w:rPr>
          <w:rFonts w:asciiTheme="minorEastAsia" w:hAnsiTheme="minorEastAsia" w:eastAsiaTheme="minorEastAsia"/>
          <w:lang w:eastAsia="zh-Hans"/>
        </w:rPr>
        <w:t>”</w:t>
      </w:r>
      <w:r>
        <w:rPr>
          <w:lang w:eastAsia="zh-Hans"/>
        </w:rPr>
        <w:t>产业载体支撑格局，</w:t>
      </w:r>
      <w:r>
        <w:rPr>
          <w:rFonts w:asciiTheme="minorEastAsia" w:hAnsiTheme="minorEastAsia" w:eastAsiaTheme="minorEastAsia"/>
          <w:lang w:eastAsia="zh-Hans"/>
        </w:rPr>
        <w:t>“</w:t>
      </w:r>
      <w:r>
        <w:rPr>
          <w:lang w:eastAsia="zh-Hans"/>
        </w:rPr>
        <w:t>2</w:t>
      </w:r>
      <w:r>
        <w:rPr>
          <w:rFonts w:asciiTheme="minorEastAsia" w:hAnsiTheme="minorEastAsia" w:eastAsiaTheme="minorEastAsia"/>
          <w:lang w:eastAsia="zh-Hans"/>
        </w:rPr>
        <w:t>”</w:t>
      </w:r>
      <w:r>
        <w:rPr>
          <w:lang w:eastAsia="zh-Hans"/>
        </w:rPr>
        <w:t>即重点发展两个新区，滕州经济开发区和高铁新区；</w:t>
      </w:r>
      <w:r>
        <w:rPr>
          <w:rFonts w:asciiTheme="minorEastAsia" w:hAnsiTheme="minorEastAsia" w:eastAsiaTheme="minorEastAsia"/>
          <w:lang w:eastAsia="zh-Hans"/>
        </w:rPr>
        <w:t>“</w:t>
      </w:r>
      <w:r>
        <w:rPr>
          <w:lang w:eastAsia="zh-Hans"/>
        </w:rPr>
        <w:t>4</w:t>
      </w:r>
      <w:r>
        <w:rPr>
          <w:rFonts w:asciiTheme="minorEastAsia" w:hAnsiTheme="minorEastAsia" w:eastAsiaTheme="minorEastAsia"/>
          <w:lang w:eastAsia="zh-Hans"/>
        </w:rPr>
        <w:t>”</w:t>
      </w:r>
      <w:r>
        <w:rPr>
          <w:lang w:eastAsia="zh-Hans"/>
        </w:rPr>
        <w:t>即四个工业和产业园区，分别为鲁南高科技化工园区、墨子智能制造产业园、张汪循环经济产业园和东郭绿色制造产业园；</w:t>
      </w:r>
      <w:r>
        <w:rPr>
          <w:rFonts w:asciiTheme="minorEastAsia" w:hAnsiTheme="minorEastAsia" w:eastAsiaTheme="minorEastAsia"/>
          <w:lang w:eastAsia="zh-Hans"/>
        </w:rPr>
        <w:t>“</w:t>
      </w:r>
      <w:r>
        <w:rPr>
          <w:lang w:eastAsia="zh-Hans"/>
        </w:rPr>
        <w:t>5</w:t>
      </w:r>
      <w:r>
        <w:rPr>
          <w:rFonts w:asciiTheme="minorEastAsia" w:hAnsiTheme="minorEastAsia" w:eastAsiaTheme="minorEastAsia"/>
          <w:lang w:eastAsia="zh-Hans"/>
        </w:rPr>
        <w:t>”</w:t>
      </w:r>
      <w:r>
        <w:rPr>
          <w:lang w:eastAsia="zh-Hans"/>
        </w:rPr>
        <w:t>即重点培育的五大产业基地，分别为新能源新材料产业基地、高端玻璃制造基地、生物医药产业基地、食品工业基地和煤焦化产业基地。</w:t>
      </w:r>
    </w:p>
    <w:p>
      <w:pPr>
        <w:widowControl/>
        <w:ind w:firstLine="562"/>
        <w:jc w:val="left"/>
        <w:outlineLvl w:val="2"/>
        <w:rPr>
          <w:b/>
          <w:bCs/>
          <w:kern w:val="0"/>
          <w:sz w:val="28"/>
          <w:lang w:eastAsia="zh-Hans"/>
        </w:rPr>
      </w:pPr>
      <w:r>
        <w:rPr>
          <w:b/>
          <w:bCs/>
          <w:kern w:val="0"/>
          <w:sz w:val="28"/>
          <w:lang w:eastAsia="zh-Hans"/>
        </w:rPr>
        <w:t>（二）打造</w:t>
      </w:r>
      <w:r>
        <w:rPr>
          <w:rFonts w:asciiTheme="minorEastAsia" w:hAnsiTheme="minorEastAsia" w:eastAsiaTheme="minorEastAsia"/>
          <w:b/>
          <w:bCs/>
          <w:kern w:val="0"/>
          <w:sz w:val="28"/>
          <w:lang w:eastAsia="zh-Hans"/>
        </w:rPr>
        <w:t>“</w:t>
      </w:r>
      <w:r>
        <w:rPr>
          <w:b/>
          <w:bCs/>
          <w:kern w:val="0"/>
          <w:sz w:val="28"/>
          <w:lang w:eastAsia="zh-Hans"/>
        </w:rPr>
        <w:t>243</w:t>
      </w:r>
      <w:r>
        <w:rPr>
          <w:rFonts w:asciiTheme="minorEastAsia" w:hAnsiTheme="minorEastAsia" w:eastAsiaTheme="minorEastAsia"/>
          <w:b/>
          <w:bCs/>
          <w:kern w:val="0"/>
          <w:sz w:val="28"/>
          <w:lang w:eastAsia="zh-Hans"/>
        </w:rPr>
        <w:t>”</w:t>
      </w:r>
      <w:r>
        <w:rPr>
          <w:b/>
          <w:bCs/>
          <w:kern w:val="0"/>
          <w:sz w:val="28"/>
          <w:lang w:eastAsia="zh-Hans"/>
        </w:rPr>
        <w:t>现代工业产业体系</w:t>
      </w:r>
    </w:p>
    <w:p>
      <w:pPr>
        <w:overflowPunct w:val="0"/>
        <w:ind w:firstLine="480"/>
        <w:textAlignment w:val="center"/>
        <w:rPr>
          <w:lang w:eastAsia="zh-Hans"/>
        </w:rPr>
      </w:pPr>
      <w:r>
        <w:rPr>
          <w:rFonts w:hint="eastAsia"/>
          <w:lang w:eastAsia="zh-Hans"/>
        </w:rPr>
        <w:t>积极</w:t>
      </w:r>
      <w:r>
        <w:rPr>
          <w:lang w:eastAsia="zh-Hans"/>
        </w:rPr>
        <w:t>打造</w:t>
      </w:r>
      <w:r>
        <w:rPr>
          <w:rFonts w:asciiTheme="minorEastAsia" w:hAnsiTheme="minorEastAsia" w:eastAsiaTheme="minorEastAsia"/>
          <w:lang w:eastAsia="zh-Hans"/>
        </w:rPr>
        <w:t>“</w:t>
      </w:r>
      <w:r>
        <w:rPr>
          <w:lang w:eastAsia="zh-Hans"/>
        </w:rPr>
        <w:t>243</w:t>
      </w:r>
      <w:r>
        <w:rPr>
          <w:rFonts w:asciiTheme="minorEastAsia" w:hAnsiTheme="minorEastAsia" w:eastAsiaTheme="minorEastAsia"/>
          <w:lang w:eastAsia="zh-Hans"/>
        </w:rPr>
        <w:t>”</w:t>
      </w:r>
      <w:r>
        <w:rPr>
          <w:lang w:eastAsia="zh-Hans"/>
        </w:rPr>
        <w:t>现代工业产业体系。</w:t>
      </w:r>
      <w:r>
        <w:rPr>
          <w:rFonts w:asciiTheme="minorEastAsia" w:hAnsiTheme="minorEastAsia" w:eastAsiaTheme="minorEastAsia"/>
          <w:lang w:eastAsia="zh-Hans"/>
        </w:rPr>
        <w:t>“</w:t>
      </w:r>
      <w:r>
        <w:rPr>
          <w:lang w:eastAsia="zh-Hans"/>
        </w:rPr>
        <w:t>2</w:t>
      </w:r>
      <w:r>
        <w:rPr>
          <w:rFonts w:asciiTheme="minorEastAsia" w:hAnsiTheme="minorEastAsia" w:eastAsiaTheme="minorEastAsia"/>
          <w:lang w:eastAsia="zh-Hans"/>
        </w:rPr>
        <w:t>”</w:t>
      </w:r>
      <w:r>
        <w:rPr>
          <w:lang w:eastAsia="zh-Hans"/>
        </w:rPr>
        <w:t>即高端装备（智能制造）、高端化工2大千亿元战略性支柱产业；</w:t>
      </w:r>
      <w:r>
        <w:rPr>
          <w:rFonts w:asciiTheme="minorEastAsia" w:hAnsiTheme="minorEastAsia" w:eastAsiaTheme="minorEastAsia"/>
          <w:lang w:eastAsia="zh-Hans"/>
        </w:rPr>
        <w:t>“</w:t>
      </w:r>
      <w:r>
        <w:rPr>
          <w:lang w:eastAsia="zh-Hans"/>
        </w:rPr>
        <w:t>4</w:t>
      </w:r>
      <w:r>
        <w:rPr>
          <w:rFonts w:asciiTheme="minorEastAsia" w:hAnsiTheme="minorEastAsia" w:eastAsiaTheme="minorEastAsia"/>
          <w:lang w:eastAsia="zh-Hans"/>
        </w:rPr>
        <w:t>”</w:t>
      </w:r>
      <w:r>
        <w:rPr>
          <w:lang w:eastAsia="zh-Hans"/>
        </w:rPr>
        <w:t>即新材料、新能源、新医药、新一代信息技术（大数据）4大新兴特色产业；</w:t>
      </w:r>
      <w:r>
        <w:rPr>
          <w:rFonts w:asciiTheme="minorEastAsia" w:hAnsiTheme="minorEastAsia" w:eastAsiaTheme="minorEastAsia"/>
          <w:lang w:eastAsia="zh-Hans"/>
        </w:rPr>
        <w:t>“</w:t>
      </w:r>
      <w:r>
        <w:rPr>
          <w:lang w:eastAsia="zh-Hans"/>
        </w:rPr>
        <w:t>3</w:t>
      </w:r>
      <w:r>
        <w:rPr>
          <w:rFonts w:asciiTheme="minorEastAsia" w:hAnsiTheme="minorEastAsia" w:eastAsiaTheme="minorEastAsia"/>
          <w:lang w:eastAsia="zh-Hans"/>
        </w:rPr>
        <w:t>”</w:t>
      </w:r>
      <w:r>
        <w:rPr>
          <w:lang w:eastAsia="zh-Hans"/>
        </w:rPr>
        <w:t>即玻璃建材、家居装饰、食品加工3大传统优势产业。持续锻长板、补短板，提高产业自动化、信息化、数字化、智能化融合发展水平，打造滕州现代工业产业体系。</w:t>
      </w:r>
    </w:p>
    <w:p>
      <w:pPr>
        <w:widowControl/>
        <w:ind w:firstLine="562"/>
        <w:jc w:val="left"/>
        <w:outlineLvl w:val="2"/>
        <w:rPr>
          <w:b/>
          <w:bCs/>
          <w:kern w:val="0"/>
          <w:sz w:val="28"/>
          <w:lang w:eastAsia="zh-Hans"/>
        </w:rPr>
      </w:pPr>
      <w:r>
        <w:rPr>
          <w:b/>
          <w:bCs/>
          <w:kern w:val="0"/>
          <w:sz w:val="28"/>
          <w:lang w:eastAsia="zh-Hans"/>
        </w:rPr>
        <w:t>（三）培育</w:t>
      </w:r>
      <w:r>
        <w:rPr>
          <w:rFonts w:asciiTheme="minorEastAsia" w:hAnsiTheme="minorEastAsia" w:eastAsiaTheme="minorEastAsia"/>
          <w:b/>
          <w:bCs/>
          <w:kern w:val="0"/>
          <w:sz w:val="28"/>
          <w:lang w:eastAsia="zh-Hans"/>
        </w:rPr>
        <w:t>“</w:t>
      </w:r>
      <w:r>
        <w:rPr>
          <w:b/>
          <w:bCs/>
          <w:kern w:val="0"/>
          <w:sz w:val="28"/>
          <w:lang w:eastAsia="zh-Hans"/>
        </w:rPr>
        <w:t>211</w:t>
      </w:r>
      <w:r>
        <w:rPr>
          <w:rFonts w:asciiTheme="minorEastAsia" w:hAnsiTheme="minorEastAsia" w:eastAsiaTheme="minorEastAsia"/>
          <w:b/>
          <w:bCs/>
          <w:kern w:val="0"/>
          <w:sz w:val="28"/>
          <w:lang w:eastAsia="zh-Hans"/>
        </w:rPr>
        <w:t>”</w:t>
      </w:r>
      <w:r>
        <w:rPr>
          <w:b/>
          <w:bCs/>
          <w:kern w:val="0"/>
          <w:sz w:val="28"/>
          <w:lang w:eastAsia="zh-Hans"/>
        </w:rPr>
        <w:t>大企业领航梯队</w:t>
      </w:r>
    </w:p>
    <w:p>
      <w:pPr>
        <w:overflowPunct w:val="0"/>
        <w:ind w:firstLine="480"/>
        <w:textAlignment w:val="center"/>
        <w:rPr>
          <w:rFonts w:eastAsiaTheme="minorEastAsia"/>
        </w:rPr>
      </w:pPr>
      <w:r>
        <w:rPr>
          <w:rFonts w:eastAsiaTheme="minorEastAsia"/>
        </w:rPr>
        <w:t>深入推进与央企、世界500强、省企、行业领军企业合作，强化项目招引、加快项目建设，积极推动本土企业升级扩规。到2025年，培育2家营业收入100亿元以上大企业、10家20-100亿元大企业、10家10-20亿元大企业，形成营业收入领航、税收领航、科技领航、品牌领航的工业大企业集群梯次发展格局。</w:t>
      </w:r>
    </w:p>
    <w:p>
      <w:pPr>
        <w:overflowPunct w:val="0"/>
        <w:ind w:firstLine="480"/>
        <w:textAlignment w:val="center"/>
        <w:rPr>
          <w:rFonts w:eastAsiaTheme="minorEastAsia"/>
        </w:rPr>
      </w:pPr>
      <w:r>
        <w:rPr>
          <w:rFonts w:eastAsiaTheme="minorEastAsia"/>
        </w:rPr>
        <w:t>——2家100亿元以上企业：重点培育鲁南化工、联泓新材料、正威华能山东新材料等企业及其他有潜力或新招引企业。</w:t>
      </w:r>
    </w:p>
    <w:p>
      <w:pPr>
        <w:overflowPunct w:val="0"/>
        <w:ind w:firstLine="480"/>
        <w:textAlignment w:val="center"/>
        <w:rPr>
          <w:rFonts w:eastAsiaTheme="minorEastAsia"/>
        </w:rPr>
      </w:pPr>
      <w:r>
        <w:rPr>
          <w:rFonts w:eastAsiaTheme="minorEastAsia"/>
        </w:rPr>
        <w:t>——10家20-100亿元企业：重点培育盛隆化工、恒仁工贸、新能凤凰、新源热电、鲁南中联、金晶玻璃、东方钢帘线、腾达紧固科技、尚品智能家居等企业及其他有潜力或新招引企业。</w:t>
      </w:r>
    </w:p>
    <w:p>
      <w:pPr>
        <w:overflowPunct w:val="0"/>
        <w:ind w:firstLine="480"/>
        <w:textAlignment w:val="center"/>
        <w:rPr>
          <w:rFonts w:eastAsiaTheme="minorEastAsia"/>
        </w:rPr>
      </w:pPr>
      <w:r>
        <w:rPr>
          <w:rFonts w:eastAsiaTheme="minorEastAsia"/>
        </w:rPr>
        <w:t>——10家10-20亿元企业：重点培育盛源宏达、合易食品、威达重工、辛化硅胶、北玻复合材料、福藤食品、东启肉类加工、东郭水泥、益康药业、中材科技膜材料、新东谷面粉等企业及其他有潜力或新招引企业。</w:t>
      </w:r>
    </w:p>
    <w:bookmarkEnd w:id="187"/>
    <w:p>
      <w:pPr>
        <w:pStyle w:val="1336"/>
        <w:spacing w:before="163" w:after="163"/>
      </w:pPr>
      <w:bookmarkStart w:id="188" w:name="_Toc139894292"/>
      <w:bookmarkStart w:id="189" w:name="_Toc139894376"/>
      <w:bookmarkStart w:id="190" w:name="_Toc18838"/>
      <w:bookmarkStart w:id="191" w:name="_Toc139894248"/>
      <w:r>
        <w:t>三、加快推进农业农村现代化</w:t>
      </w:r>
      <w:bookmarkEnd w:id="188"/>
      <w:bookmarkEnd w:id="189"/>
      <w:bookmarkEnd w:id="190"/>
      <w:bookmarkEnd w:id="191"/>
    </w:p>
    <w:p>
      <w:pPr>
        <w:widowControl/>
        <w:ind w:firstLine="562"/>
        <w:jc w:val="left"/>
        <w:outlineLvl w:val="2"/>
        <w:rPr>
          <w:b/>
          <w:bCs/>
          <w:kern w:val="0"/>
          <w:sz w:val="28"/>
          <w:lang w:eastAsia="zh-Hans"/>
        </w:rPr>
      </w:pPr>
      <w:bookmarkStart w:id="192" w:name="_Toc10557"/>
      <w:r>
        <w:rPr>
          <w:b/>
          <w:bCs/>
          <w:kern w:val="0"/>
          <w:sz w:val="28"/>
          <w:lang w:eastAsia="zh-Hans"/>
        </w:rPr>
        <w:t>（一）提高农业综合生产能力</w:t>
      </w:r>
    </w:p>
    <w:p>
      <w:pPr>
        <w:overflowPunct w:val="0"/>
        <w:ind w:firstLine="480"/>
        <w:textAlignment w:val="center"/>
        <w:rPr>
          <w:rFonts w:eastAsiaTheme="minorEastAsia"/>
        </w:rPr>
      </w:pPr>
      <w:r>
        <w:rPr>
          <w:rFonts w:hint="eastAsia" w:eastAsiaTheme="minorEastAsia"/>
        </w:rPr>
        <w:t>巩固“产粮大县”领先地位。坚持“藏粮于地、藏粮于技”，把确保粮食安全和主要农产品有效供给作为农业现代化的首要任务。持续推进高标准农田建设，建成高标准农田100万亩。提高农业技术水平，加快建设现代农田灌排体系，发展节水农业，积极推广喷灌、微灌等高效节水技术，2025年，全市农业灌溉水有效利用系数达到0.67</w:t>
      </w:r>
      <w:r>
        <w:rPr>
          <w:rFonts w:eastAsiaTheme="minorEastAsia"/>
        </w:rPr>
        <w:t>。</w:t>
      </w:r>
    </w:p>
    <w:p>
      <w:pPr>
        <w:overflowPunct w:val="0"/>
        <w:ind w:firstLine="480"/>
        <w:textAlignment w:val="center"/>
        <w:rPr>
          <w:rFonts w:eastAsiaTheme="minorEastAsia"/>
        </w:rPr>
      </w:pPr>
      <w:r>
        <w:rPr>
          <w:rFonts w:hint="eastAsia" w:eastAsiaTheme="minorEastAsia"/>
        </w:rPr>
        <w:t>大力实施数字农业农村建设。推进物联网、云计算、大数据、移动互联等技术在农业领域的应用，构建滕州市农业农村基础数据资源体系，建设农业农村大数据平台、智慧农业管理服务平台，形成“滕州数字农业农村一张图”。推进农业生产经营数字化改造步伐，推广智慧气象、农业遥感技术等应用示范，提升智慧种植、智慧养殖、智慧农机建设速度，建设马铃薯、生猪等主要农产品全产业链监测预警体系</w:t>
      </w:r>
      <w:r>
        <w:rPr>
          <w:rFonts w:eastAsiaTheme="minorEastAsia"/>
        </w:rPr>
        <w:t>。</w:t>
      </w:r>
    </w:p>
    <w:p>
      <w:pPr>
        <w:overflowPunct w:val="0"/>
        <w:ind w:firstLine="480"/>
        <w:textAlignment w:val="center"/>
      </w:pPr>
      <w:r>
        <w:rPr>
          <w:rFonts w:hint="eastAsia" w:eastAsiaTheme="minorEastAsia"/>
        </w:rPr>
        <w:t>加强农机技术示范推广。大力推广应用大型高效、绿色、复合智能机械，推广深松、深耕、秸秆还田等农机技术，促进与宽幅精播、精量播种等农技技术的深度融合，创建主要农作物生产机艺融合示范区，提升农业机械在粮食减损增收保量上的支撑作用。到2025年，主要农作物耕种收综合机械化率达到95%以上</w:t>
      </w:r>
      <w:r>
        <w:rPr>
          <w:rFonts w:eastAsiaTheme="minorEastAsia"/>
        </w:rPr>
        <w:t>。</w:t>
      </w:r>
    </w:p>
    <w:p>
      <w:pPr>
        <w:widowControl/>
        <w:ind w:firstLine="562"/>
        <w:jc w:val="left"/>
        <w:outlineLvl w:val="2"/>
        <w:rPr>
          <w:b/>
          <w:bCs/>
          <w:kern w:val="0"/>
          <w:sz w:val="28"/>
          <w:lang w:eastAsia="zh-Hans"/>
        </w:rPr>
      </w:pPr>
      <w:r>
        <w:rPr>
          <w:b/>
          <w:bCs/>
          <w:kern w:val="0"/>
          <w:sz w:val="28"/>
          <w:lang w:eastAsia="zh-Hans"/>
        </w:rPr>
        <w:t>（二）转变农业发展方式</w:t>
      </w:r>
    </w:p>
    <w:p>
      <w:pPr>
        <w:overflowPunct w:val="0"/>
        <w:ind w:firstLine="480"/>
        <w:textAlignment w:val="center"/>
      </w:pPr>
      <w:r>
        <w:rPr>
          <w:rFonts w:hint="eastAsia" w:eastAsiaTheme="minorEastAsia"/>
        </w:rPr>
        <w:t>推进农业绿色发展，实施信息进村入户工程，实现益农信息社村级全覆盖。加快构建种养结合农牧循环的可持续发展方式，开展化肥农药减量增效行动，完善市级农产品质量安全监测体系，确保农产品质量安全。积极引导农业专业大户、农民专业合作社等整合未利用地、荒地发展设施农业；支持各类农业生产主体因地制宜发展钢架大棚、玻璃温室等现代高效农业，鼓励建设智能化畜禽养殖、种苗繁育、仓储冷链物流设施，配置应用立体栽植、多层养殖、控温控湿等装备，提高水、土、肥的利用率，推进农业生产“设施增地”。推进马铃薯绿色化标准化种植，争创国家级特色产业集群，树牢全国菜用马铃薯行业的“风向标”；加快培育龙阳绿萝卜、刘村酥梨、羊庄大樱桃、春藤黑盖猪、张汪板鸭等“滕字号”特色产品，推广标准化池塘生态养殖模式，发展旅游休闲观光渔业；完善提升鲁南花卉交易中心，借助互联网平台，发展壮大花卉产业。到2025年，全市马铃薯面积稳定在70万亩以上，经济林面积达15万亩，林下经营年产值达6亿元，新发展万亩级特色优质农产品基地6个</w:t>
      </w:r>
      <w:r>
        <w:rPr>
          <w:rFonts w:eastAsiaTheme="minorEastAsia"/>
        </w:rPr>
        <w:t>。</w:t>
      </w:r>
    </w:p>
    <w:p>
      <w:pPr>
        <w:widowControl/>
        <w:ind w:firstLine="562"/>
        <w:jc w:val="left"/>
        <w:outlineLvl w:val="2"/>
        <w:rPr>
          <w:b/>
          <w:bCs/>
          <w:kern w:val="0"/>
          <w:sz w:val="28"/>
          <w:lang w:eastAsia="zh-Hans"/>
        </w:rPr>
      </w:pPr>
      <w:r>
        <w:rPr>
          <w:b/>
          <w:bCs/>
          <w:kern w:val="0"/>
          <w:sz w:val="28"/>
          <w:lang w:eastAsia="zh-Hans"/>
        </w:rPr>
        <w:t>（三）推进农村一二三产业融合</w:t>
      </w:r>
    </w:p>
    <w:p>
      <w:pPr>
        <w:overflowPunct w:val="0"/>
        <w:ind w:firstLine="480"/>
        <w:textAlignment w:val="center"/>
        <w:rPr>
          <w:rFonts w:eastAsiaTheme="minorEastAsia"/>
        </w:rPr>
      </w:pPr>
      <w:r>
        <w:rPr>
          <w:rFonts w:hint="eastAsia" w:eastAsiaTheme="minorEastAsia"/>
        </w:rPr>
        <w:t>围绕粮食、畜禽、蔬菜等优势主导产业，扶持壮大恒仁、盈泰、春藤、新东谷等农业龙头企业，加快粮食加工、食品制造、畜禽加工、果菜加工、湖产品加工等规模集群发展。充分利用“旅游+”“生态+”等模式，拓展观光采摘和休闲体验功能，打造一批相对集中、业态丰富、功能完善的乡村旅游集群片区和乡村旅游园区。推进丰谷云农、班墨里小镇、滕阳里龙田茶园等各类主题农业公园、田园综合体、文旅小镇、农业生态（活态）博物馆等建设，发展滕州特色的文旅农业。鼓励镇街、农业龙头企业、农民合作社、家庭农场进行特色农产品深度开发，拉长乡村振兴产业链条。大力培育新型经营主体，健全农业专业化社会服务体系，实现小农户和现代农业有机衔接。依托农产品资源优势，引进培育智慧零售、直播电商等新业态新模式，培育村级电商服务网点。2025年，全市国家级农业龙头企业达到3家，省级农业龙头企业达到15家，省级农民专业合作社达到60家，年产值10亿元以上农业龙头企业达到2家</w:t>
      </w:r>
      <w:r>
        <w:rPr>
          <w:rFonts w:eastAsiaTheme="minorEastAsia"/>
        </w:rPr>
        <w:t>。</w:t>
      </w:r>
    </w:p>
    <w:p>
      <w:pPr>
        <w:widowControl/>
        <w:ind w:firstLine="562"/>
        <w:jc w:val="left"/>
        <w:outlineLvl w:val="2"/>
        <w:rPr>
          <w:b/>
          <w:bCs/>
          <w:kern w:val="0"/>
          <w:sz w:val="28"/>
          <w:lang w:eastAsia="zh-Hans"/>
        </w:rPr>
      </w:pPr>
      <w:r>
        <w:rPr>
          <w:b/>
          <w:bCs/>
          <w:kern w:val="0"/>
          <w:sz w:val="28"/>
          <w:lang w:eastAsia="zh-Hans"/>
        </w:rPr>
        <w:t>（四）推进农业绿色高质量发展</w:t>
      </w:r>
    </w:p>
    <w:p>
      <w:pPr>
        <w:overflowPunct w:val="0"/>
        <w:ind w:firstLine="480"/>
        <w:textAlignment w:val="center"/>
        <w:rPr>
          <w:rFonts w:eastAsiaTheme="minorEastAsia"/>
          <w:lang w:eastAsia="zh-Hans"/>
        </w:rPr>
      </w:pPr>
      <w:r>
        <w:rPr>
          <w:rFonts w:hint="eastAsia" w:eastAsiaTheme="minorEastAsia"/>
          <w:lang w:eastAsia="zh-Hans"/>
        </w:rPr>
        <w:t>以国家可持续发展议程创新示范区、国家农业绿色发展先行区建设为抓手，充分发挥供销为农等服务平台作用，培育以绿色生态智慧为导向的现代农业产业体系。实施全年全域秸秆禁烧，大力发展秸秆“五料化”综合利用，到2025年，农作物秸秆综合利用率稳定在9</w:t>
      </w:r>
      <w:r>
        <w:rPr>
          <w:rFonts w:eastAsiaTheme="minorEastAsia"/>
          <w:lang w:eastAsia="zh-Hans"/>
        </w:rPr>
        <w:t>5</w:t>
      </w:r>
      <w:r>
        <w:rPr>
          <w:rFonts w:hint="eastAsia" w:eastAsiaTheme="minorEastAsia"/>
          <w:lang w:eastAsia="zh-Hans"/>
        </w:rPr>
        <w:t>%以上。推广农药化肥减量增效、水肥一体化、农作物病虫害绿色防控等技术，推广水肥一体化面积3.5万亩。实施好粪污资源化利用整县推进项目，到2025年，畜禽养殖户粪污处理设施装备配套水平明显提升，畜禽粪污综合利用率达到9</w:t>
      </w:r>
      <w:r>
        <w:rPr>
          <w:rFonts w:eastAsiaTheme="minorEastAsia"/>
          <w:lang w:eastAsia="zh-Hans"/>
        </w:rPr>
        <w:t>0</w:t>
      </w:r>
      <w:r>
        <w:rPr>
          <w:rFonts w:hint="eastAsia" w:eastAsiaTheme="minorEastAsia"/>
          <w:lang w:eastAsia="zh-Hans"/>
        </w:rPr>
        <w:t>%以上</w:t>
      </w:r>
      <w:r>
        <w:rPr>
          <w:rFonts w:eastAsiaTheme="minorEastAsia"/>
          <w:lang w:eastAsia="zh-Hans"/>
        </w:rPr>
        <w:t>。</w:t>
      </w:r>
    </w:p>
    <w:p>
      <w:pPr>
        <w:pStyle w:val="1336"/>
        <w:spacing w:before="163" w:after="163"/>
      </w:pPr>
      <w:bookmarkStart w:id="193" w:name="_Toc14989"/>
      <w:bookmarkStart w:id="194" w:name="_Toc139894377"/>
      <w:bookmarkStart w:id="195" w:name="_Toc139894249"/>
      <w:bookmarkStart w:id="196" w:name="_Toc139894293"/>
      <w:r>
        <w:t>四、推动现代服务业提质增效</w:t>
      </w:r>
      <w:bookmarkEnd w:id="192"/>
      <w:bookmarkEnd w:id="193"/>
      <w:bookmarkEnd w:id="194"/>
      <w:bookmarkEnd w:id="195"/>
      <w:bookmarkEnd w:id="196"/>
    </w:p>
    <w:p>
      <w:pPr>
        <w:widowControl/>
        <w:ind w:firstLine="562"/>
        <w:jc w:val="left"/>
        <w:outlineLvl w:val="2"/>
        <w:rPr>
          <w:b/>
          <w:bCs/>
          <w:kern w:val="0"/>
          <w:sz w:val="28"/>
          <w:lang w:eastAsia="zh-Hans"/>
        </w:rPr>
      </w:pPr>
      <w:bookmarkStart w:id="197" w:name="_Toc4675"/>
      <w:bookmarkStart w:id="198" w:name="_Toc59608847"/>
      <w:r>
        <w:rPr>
          <w:b/>
          <w:bCs/>
          <w:kern w:val="0"/>
          <w:sz w:val="28"/>
          <w:lang w:eastAsia="zh-Hans"/>
        </w:rPr>
        <w:t>（一）提质升级现代商贸业</w:t>
      </w:r>
    </w:p>
    <w:p>
      <w:pPr>
        <w:overflowPunct w:val="0"/>
        <w:ind w:firstLine="480"/>
        <w:textAlignment w:val="center"/>
        <w:rPr>
          <w:rFonts w:eastAsiaTheme="minorEastAsia"/>
          <w:lang w:eastAsia="zh-Hans"/>
        </w:rPr>
      </w:pPr>
      <w:r>
        <w:rPr>
          <w:rFonts w:eastAsiaTheme="minorEastAsia"/>
          <w:lang w:eastAsia="zh-Hans"/>
        </w:rPr>
        <w:t>围绕建设</w:t>
      </w:r>
      <w:r>
        <w:rPr>
          <w:rFonts w:asciiTheme="minorEastAsia" w:hAnsiTheme="minorEastAsia" w:eastAsiaTheme="minorEastAsia"/>
          <w:lang w:eastAsia="zh-Hans"/>
        </w:rPr>
        <w:t>“</w:t>
      </w:r>
      <w:r>
        <w:rPr>
          <w:rFonts w:eastAsiaTheme="minorEastAsia"/>
          <w:lang w:eastAsia="zh-Hans"/>
        </w:rPr>
        <w:t>大市场、大商贸</w:t>
      </w:r>
      <w:r>
        <w:rPr>
          <w:rFonts w:asciiTheme="minorEastAsia" w:hAnsiTheme="minorEastAsia" w:eastAsiaTheme="minorEastAsia"/>
          <w:lang w:eastAsia="zh-Hans"/>
        </w:rPr>
        <w:t>”</w:t>
      </w:r>
      <w:r>
        <w:rPr>
          <w:rFonts w:eastAsiaTheme="minorEastAsia"/>
          <w:lang w:eastAsia="zh-Hans"/>
        </w:rPr>
        <w:t>，聚焦现代商贸，重点发展以跨境电商、专业市场、新零售为特色的生活性服务业，构建现代商贸服务体系。推动嘉誉杏花村干杂海货市场、真爱商城等传统批发型专业市场以电子商务应用助推转型升级，重点引进经验丰富、基础成熟的电子商务运营商和电子物流供应商，打造</w:t>
      </w:r>
      <w:r>
        <w:rPr>
          <w:rFonts w:asciiTheme="minorEastAsia" w:hAnsiTheme="minorEastAsia" w:eastAsiaTheme="minorEastAsia"/>
          <w:lang w:eastAsia="zh-Hans"/>
        </w:rPr>
        <w:t>“</w:t>
      </w:r>
      <w:r>
        <w:rPr>
          <w:rFonts w:eastAsiaTheme="minorEastAsia"/>
          <w:lang w:eastAsia="zh-Hans"/>
        </w:rPr>
        <w:t>前展、中交、后仓</w:t>
      </w:r>
      <w:r>
        <w:rPr>
          <w:rFonts w:asciiTheme="minorEastAsia" w:hAnsiTheme="minorEastAsia" w:eastAsiaTheme="minorEastAsia"/>
          <w:lang w:eastAsia="zh-Hans"/>
        </w:rPr>
        <w:t>”</w:t>
      </w:r>
      <w:r>
        <w:rPr>
          <w:rFonts w:eastAsiaTheme="minorEastAsia"/>
          <w:lang w:eastAsia="zh-Hans"/>
        </w:rPr>
        <w:t>的全产业链电子商务B2B平台。抓好城区重点区域零售型专业市场的转型升级，推动金源装饰大世界、红星美凯龙家居建材广场等零售型专业市场，向现代展贸中心的转变。积极鼓励和推动大型超市、商业综合体、餐饮服务企业、社区便利店等商贸零售企业升级打造智能化、场景化、体验式零售网点</w:t>
      </w:r>
      <w:r>
        <w:rPr>
          <w:rFonts w:hint="eastAsia" w:eastAsiaTheme="minorEastAsia"/>
          <w:lang w:eastAsia="zh-Hans"/>
        </w:rPr>
        <w:t>，</w:t>
      </w:r>
      <w:r>
        <w:rPr>
          <w:rFonts w:eastAsiaTheme="minorEastAsia"/>
          <w:lang w:eastAsia="zh-Hans"/>
        </w:rPr>
        <w:t>推进建立24小时无人值守货柜、无人便利店。鼓励支持跨境电子商务，依托滕州市公共保税仓库建设干杂海货市场扩建项目，探索建立保税功能区</w:t>
      </w:r>
      <w:r>
        <w:rPr>
          <w:rFonts w:hint="eastAsia" w:eastAsiaTheme="minorEastAsia"/>
          <w:lang w:eastAsia="zh-Hans"/>
        </w:rPr>
        <w:t>，</w:t>
      </w:r>
      <w:r>
        <w:rPr>
          <w:rFonts w:eastAsiaTheme="minorEastAsia"/>
          <w:lang w:eastAsia="zh-Hans"/>
        </w:rPr>
        <w:t>吸引运作规范的跨境电商企业及其产业链上下游企业落户滕州。</w:t>
      </w:r>
    </w:p>
    <w:p>
      <w:pPr>
        <w:widowControl/>
        <w:ind w:firstLine="562"/>
        <w:jc w:val="left"/>
        <w:outlineLvl w:val="2"/>
        <w:rPr>
          <w:b/>
          <w:bCs/>
          <w:kern w:val="0"/>
          <w:sz w:val="28"/>
          <w:lang w:eastAsia="zh-Hans"/>
        </w:rPr>
      </w:pPr>
      <w:r>
        <w:rPr>
          <w:b/>
          <w:bCs/>
          <w:kern w:val="0"/>
          <w:sz w:val="28"/>
          <w:lang w:eastAsia="zh-Hans"/>
        </w:rPr>
        <w:t>（二）高效发展现代物流业</w:t>
      </w:r>
    </w:p>
    <w:p>
      <w:pPr>
        <w:overflowPunct w:val="0"/>
        <w:ind w:firstLine="480"/>
        <w:textAlignment w:val="center"/>
      </w:pPr>
      <w:r>
        <w:rPr>
          <w:rFonts w:eastAsiaTheme="minorEastAsia"/>
        </w:rPr>
        <w:t>把握淮海经济带、一带一路等国家战略实施机遇，充分发挥滕州特色产业的辐射带动效应和交通区位优势，推进现代物流从</w:t>
      </w:r>
      <w:r>
        <w:rPr>
          <w:rFonts w:asciiTheme="minorEastAsia" w:hAnsiTheme="minorEastAsia" w:eastAsiaTheme="minorEastAsia"/>
        </w:rPr>
        <w:t>“</w:t>
      </w:r>
      <w:r>
        <w:rPr>
          <w:rFonts w:eastAsiaTheme="minorEastAsia"/>
        </w:rPr>
        <w:t>大进大出</w:t>
      </w:r>
      <w:r>
        <w:rPr>
          <w:rFonts w:asciiTheme="minorEastAsia" w:hAnsiTheme="minorEastAsia" w:eastAsiaTheme="minorEastAsia"/>
        </w:rPr>
        <w:t>”</w:t>
      </w:r>
      <w:r>
        <w:rPr>
          <w:rFonts w:eastAsiaTheme="minorEastAsia"/>
        </w:rPr>
        <w:t>迈向</w:t>
      </w:r>
      <w:r>
        <w:rPr>
          <w:rFonts w:asciiTheme="minorEastAsia" w:hAnsiTheme="minorEastAsia" w:eastAsiaTheme="minorEastAsia"/>
        </w:rPr>
        <w:t>“</w:t>
      </w:r>
      <w:r>
        <w:rPr>
          <w:rFonts w:eastAsiaTheme="minorEastAsia"/>
        </w:rPr>
        <w:t>优进优出</w:t>
      </w:r>
      <w:r>
        <w:rPr>
          <w:rFonts w:asciiTheme="minorEastAsia" w:hAnsiTheme="minorEastAsia" w:eastAsiaTheme="minorEastAsia"/>
        </w:rPr>
        <w:t>”</w:t>
      </w:r>
      <w:r>
        <w:rPr>
          <w:rFonts w:eastAsiaTheme="minorEastAsia"/>
        </w:rPr>
        <w:t>，着力打造物流产业集聚区，形成区域性物流枢纽。</w:t>
      </w:r>
      <w:r>
        <w:rPr>
          <w:rFonts w:eastAsiaTheme="minorEastAsia"/>
          <w:bCs/>
        </w:rPr>
        <w:t>一是做大做强物流企业。</w:t>
      </w:r>
      <w:r>
        <w:rPr>
          <w:rFonts w:eastAsiaTheme="minorEastAsia"/>
        </w:rPr>
        <w:t>鼓励三兴物流、国运物流、鲁华物流等企业延伸服务功能，通过兼并联合、资产重组等方式，壮大企业规模和实力，提高社会化物流服务水平。</w:t>
      </w:r>
      <w:r>
        <w:rPr>
          <w:rFonts w:eastAsiaTheme="minorEastAsia"/>
          <w:bCs/>
        </w:rPr>
        <w:t>二是推动智慧物流建设。</w:t>
      </w:r>
      <w:r>
        <w:rPr>
          <w:rFonts w:eastAsiaTheme="minorEastAsia"/>
        </w:rPr>
        <w:t>依托传化物流小镇、智慧物流产业园等重点项目，打造智慧物流载体，推动仓储物流企业信息系统平台建设，集成利用物联网、无人车等技术和装备，搭建一站式智慧仓储系统，提升物流综合服务效率与效益。</w:t>
      </w:r>
      <w:r>
        <w:rPr>
          <w:rFonts w:eastAsiaTheme="minorEastAsia"/>
          <w:bCs/>
        </w:rPr>
        <w:t>三是大力发展商贸物流。</w:t>
      </w:r>
      <w:r>
        <w:rPr>
          <w:rFonts w:eastAsiaTheme="minorEastAsia"/>
        </w:rPr>
        <w:t>完善城市配送体系，整合快递企业、运输型物流企业、商贸连锁配送企业、农产品配送企业，组建城市配送联盟。提升冷链物流发展水平，构建由控温贮藏、冷藏加工、冷藏运输配送和冷藏品销售等环节组成的冷链物流全产业链。</w:t>
      </w:r>
    </w:p>
    <w:p>
      <w:pPr>
        <w:widowControl/>
        <w:ind w:firstLine="562"/>
        <w:jc w:val="left"/>
        <w:outlineLvl w:val="2"/>
        <w:rPr>
          <w:b/>
          <w:bCs/>
          <w:kern w:val="0"/>
          <w:sz w:val="28"/>
          <w:lang w:eastAsia="zh-Hans"/>
        </w:rPr>
      </w:pPr>
      <w:r>
        <w:rPr>
          <w:b/>
          <w:bCs/>
          <w:kern w:val="0"/>
          <w:sz w:val="28"/>
          <w:lang w:eastAsia="zh-Hans"/>
        </w:rPr>
        <w:t>（三）创新发展电子商务业</w:t>
      </w:r>
    </w:p>
    <w:p>
      <w:pPr>
        <w:pStyle w:val="2"/>
        <w:ind w:left="0" w:leftChars="0" w:firstLine="480"/>
        <w:rPr>
          <w:lang w:eastAsia="zh-Hans"/>
        </w:rPr>
      </w:pPr>
      <w:r>
        <w:rPr>
          <w:rFonts w:eastAsiaTheme="minorEastAsia"/>
        </w:rPr>
        <w:t>抢抓电商直播发展机遇，大力发展网络经济、直播经济，加大对知名电商平台企业、品牌电商企业的培育和招引力度。</w:t>
      </w:r>
      <w:r>
        <w:rPr>
          <w:rFonts w:eastAsiaTheme="minorEastAsia"/>
          <w:bCs/>
        </w:rPr>
        <w:t>一是扎实推进传统商贸企业、专业批发市场与电子商务的融合发展</w:t>
      </w:r>
      <w:r>
        <w:rPr>
          <w:rFonts w:hint="eastAsia" w:eastAsiaTheme="minorEastAsia"/>
          <w:bCs/>
        </w:rPr>
        <w:t>，</w:t>
      </w:r>
      <w:r>
        <w:rPr>
          <w:rFonts w:eastAsiaTheme="minorEastAsia"/>
        </w:rPr>
        <w:t>以万达广场、银座商城、红星美凯龙等大型商场、购物中心为主体，支持商业综合体内商家、品牌开展直播业务，实现线上线下的融合发展、直播互动。</w:t>
      </w:r>
      <w:r>
        <w:rPr>
          <w:rFonts w:eastAsiaTheme="minorEastAsia"/>
          <w:bCs/>
        </w:rPr>
        <w:t>二是打造电商龙头企业。</w:t>
      </w:r>
      <w:r>
        <w:rPr>
          <w:rFonts w:eastAsiaTheme="minorEastAsia"/>
        </w:rPr>
        <w:t>重点扶持光合电商、一杯香茶业、强盛食品、小熊驾到调味料等企业做大线上品牌，打造成为行业电商龙头企业。</w:t>
      </w:r>
      <w:r>
        <w:rPr>
          <w:rFonts w:eastAsiaTheme="minorEastAsia"/>
          <w:bCs/>
        </w:rPr>
        <w:t>三是大力发展直播经济。</w:t>
      </w:r>
      <w:r>
        <w:rPr>
          <w:rFonts w:eastAsiaTheme="minorEastAsia"/>
        </w:rPr>
        <w:t>以国家级电子商务进农村综合示范项目建设为载体，充分发挥</w:t>
      </w:r>
      <w:r>
        <w:rPr>
          <w:rFonts w:asciiTheme="minorEastAsia" w:hAnsiTheme="minorEastAsia" w:eastAsiaTheme="minorEastAsia"/>
        </w:rPr>
        <w:t>“</w:t>
      </w:r>
      <w:r>
        <w:rPr>
          <w:rFonts w:eastAsiaTheme="minorEastAsia"/>
        </w:rPr>
        <w:t>滕韵佳物</w:t>
      </w:r>
      <w:r>
        <w:rPr>
          <w:rFonts w:asciiTheme="minorEastAsia" w:hAnsiTheme="minorEastAsia" w:eastAsiaTheme="minorEastAsia"/>
        </w:rPr>
        <w:t>”“</w:t>
      </w:r>
      <w:r>
        <w:rPr>
          <w:rFonts w:eastAsiaTheme="minorEastAsia"/>
        </w:rPr>
        <w:t>滕味善品</w:t>
      </w:r>
      <w:r>
        <w:rPr>
          <w:rFonts w:asciiTheme="minorEastAsia" w:hAnsiTheme="minorEastAsia" w:eastAsiaTheme="minorEastAsia"/>
        </w:rPr>
        <w:t>”</w:t>
      </w:r>
      <w:r>
        <w:rPr>
          <w:rFonts w:eastAsiaTheme="minorEastAsia"/>
        </w:rPr>
        <w:t>两个电商区域公共品牌的作用，将其打造成为功能完善、聚集度高、省内知名、辐射周边的直播经济基地。依托红鹦鹉传媒公司加强与抖音、快手、西瓜及各大平台的战略级合作，建立短视频拍摄、制作、直播、文创设计、人才培养、创业辅导等全流程、全生态直播产业孵化平台，打造鲁西南地区网红孵化基地。</w:t>
      </w:r>
    </w:p>
    <w:p>
      <w:pPr>
        <w:widowControl/>
        <w:ind w:firstLine="562"/>
        <w:jc w:val="left"/>
        <w:outlineLvl w:val="2"/>
        <w:rPr>
          <w:b/>
          <w:bCs/>
          <w:kern w:val="0"/>
          <w:sz w:val="28"/>
          <w:lang w:eastAsia="zh-Hans"/>
        </w:rPr>
      </w:pPr>
      <w:r>
        <w:rPr>
          <w:b/>
          <w:bCs/>
          <w:kern w:val="0"/>
          <w:sz w:val="28"/>
          <w:lang w:eastAsia="zh-Hans"/>
        </w:rPr>
        <w:t>（四）多元化发展金融保险业、会展业和中介服务业</w:t>
      </w:r>
    </w:p>
    <w:p>
      <w:pPr>
        <w:pStyle w:val="2"/>
        <w:ind w:left="0" w:leftChars="0" w:firstLine="480"/>
      </w:pPr>
      <w:r>
        <w:rPr>
          <w:rFonts w:eastAsiaTheme="minorEastAsia"/>
        </w:rPr>
        <w:t>金融服务业方面，扶持培育地方金融，积极引进银行、保险、担保、创投基金公司等各类金融机构，推进银行、保险机构开展银保合作，鼓励保险公司为小微企业融资提供优惠费率的小额贷款保证保险、小微企业国内贸易信用保险等业务，增强金融运行效率和服务实体经济能力。会展业方面，坚持政府推动、市场运作的发展道路，聚焦我市优势特色产业，培育、引进、申办一批具有高知名度和行业影响力的大型品牌展会，推动会展业与支柱产业的联动发展。加快提升湿地红荷节、马铃薯节、干杂海货调味品博览会、滕州书展等现有品牌展会的规模档次，秉承会议与展览并举的办展理念，以会议带动展览，促进会展经济快速发展。中介服务业方面，加快完善中介服务业体系，积极吸引国内外知名中介机构设立分支机构，加强与本地中介机构开展多种形式的业务合作。积极探索开展中介机构信用评级活动，引导中介机构诚信规范经营，推动中介机构信用体系建设，营造公平公正的市场竞争环境。</w:t>
      </w:r>
    </w:p>
    <w:bookmarkEnd w:id="197"/>
    <w:bookmarkEnd w:id="198"/>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199" w:name="_Toc139894294"/>
      <w:bookmarkStart w:id="200" w:name="_Toc7477"/>
      <w:bookmarkStart w:id="201" w:name="_Toc139894250"/>
      <w:bookmarkStart w:id="202" w:name="_Toc139894378"/>
      <w:r>
        <w:rPr>
          <w:rFonts w:eastAsia="黑体"/>
          <w:bCs/>
          <w:snapToGrid w:val="0"/>
          <w:kern w:val="0"/>
          <w:sz w:val="32"/>
          <w:szCs w:val="32"/>
        </w:rPr>
        <w:t>五、提升清洁生产水平</w:t>
      </w:r>
      <w:bookmarkEnd w:id="199"/>
      <w:bookmarkEnd w:id="200"/>
      <w:bookmarkEnd w:id="201"/>
      <w:bookmarkEnd w:id="202"/>
    </w:p>
    <w:p>
      <w:pPr>
        <w:widowControl/>
        <w:ind w:firstLine="562"/>
        <w:jc w:val="left"/>
        <w:outlineLvl w:val="2"/>
        <w:rPr>
          <w:b/>
          <w:bCs/>
          <w:kern w:val="0"/>
          <w:sz w:val="28"/>
          <w:lang w:eastAsia="zh-Hans"/>
        </w:rPr>
      </w:pPr>
      <w:r>
        <w:rPr>
          <w:b/>
          <w:bCs/>
          <w:kern w:val="0"/>
          <w:sz w:val="28"/>
          <w:lang w:eastAsia="zh-Hans"/>
        </w:rPr>
        <w:t>（一）持续推进清洁生产审核</w:t>
      </w:r>
    </w:p>
    <w:p>
      <w:pPr>
        <w:overflowPunct w:val="0"/>
        <w:ind w:firstLine="480"/>
        <w:textAlignment w:val="center"/>
      </w:pPr>
      <w:r>
        <w:rPr>
          <w:rFonts w:eastAsiaTheme="minorEastAsia"/>
        </w:rPr>
        <w:t>对重点行业依法实行强制性清洁生产审核，企业要按清洁生产审核要求进行技术改造。重点发展燃煤工业锅炉改造、能量系统优化、余热余压利用、工业污水处理及回用、工业</w:t>
      </w:r>
      <w:r>
        <w:rPr>
          <w:rFonts w:ascii="宋体" w:hAnsi="宋体"/>
        </w:rPr>
        <w:t>“三废”资源综</w:t>
      </w:r>
      <w:r>
        <w:rPr>
          <w:rFonts w:eastAsiaTheme="minorEastAsia"/>
        </w:rPr>
        <w:t>合利用等节能和资源综合利用项目。到2025年，工业节能能力稳步提升，主要工业污染源达标率100%。</w:t>
      </w:r>
      <w:r>
        <w:rPr>
          <w:rFonts w:hint="eastAsia" w:eastAsiaTheme="minorEastAsia"/>
        </w:rPr>
        <w:t>从严把好高耗能项目审批关，</w:t>
      </w:r>
      <w:r>
        <w:rPr>
          <w:lang w:eastAsia="zh-Hans"/>
        </w:rPr>
        <w:t>对</w:t>
      </w:r>
      <w:r>
        <w:rPr>
          <w:rFonts w:eastAsiaTheme="minorEastAsia"/>
        </w:rPr>
        <w:t>所有新、改、扩建耗煤项目均实行煤炭减量替代，严格落实替代源及替代比例，各部门要严格控制新上耗煤项目，从源头上控制煤炭增量消费。新建产能技术工艺、装备水平和节能减排指标必须达到国内先进水平以上。</w:t>
      </w:r>
    </w:p>
    <w:p>
      <w:pPr>
        <w:widowControl/>
        <w:ind w:firstLine="562"/>
        <w:jc w:val="left"/>
        <w:outlineLvl w:val="2"/>
        <w:rPr>
          <w:b/>
          <w:bCs/>
          <w:kern w:val="0"/>
          <w:sz w:val="28"/>
          <w:lang w:eastAsia="zh-Hans"/>
        </w:rPr>
      </w:pPr>
      <w:r>
        <w:rPr>
          <w:b/>
          <w:bCs/>
          <w:kern w:val="0"/>
          <w:sz w:val="28"/>
          <w:lang w:eastAsia="zh-Hans"/>
        </w:rPr>
        <w:t>（二）推行绿色制造，实行清洁生产</w:t>
      </w:r>
    </w:p>
    <w:p>
      <w:pPr>
        <w:overflowPunct w:val="0"/>
        <w:ind w:firstLine="482"/>
        <w:textAlignment w:val="center"/>
        <w:rPr>
          <w:rFonts w:eastAsiaTheme="minorEastAsia"/>
        </w:rPr>
      </w:pPr>
      <w:r>
        <w:rPr>
          <w:rFonts w:eastAsiaTheme="minorEastAsia"/>
          <w:b/>
          <w:bCs/>
        </w:rPr>
        <w:t>推行清洁生产</w:t>
      </w:r>
      <w:r>
        <w:rPr>
          <w:b/>
          <w:bCs/>
          <w:lang w:eastAsia="zh-Hans"/>
        </w:rPr>
        <w:t>。</w:t>
      </w:r>
      <w:r>
        <w:rPr>
          <w:rFonts w:eastAsiaTheme="minorEastAsia"/>
        </w:rPr>
        <w:t>鼓励企业加大绿色制造投入强度。加强材料绿色化，推广应用轻量化、可拆卸等绿色设计技术和绿色铸造、近净成形、精确热处理、绿色切削、无害化焊接、绿色清洗等清洁生产工艺技术和绿色制造装备，降低生产过程中的能耗物耗和污染物排放水平，开展典型装备用能、环保在线监测，不断优化生产工艺。支持高用能企业建立健全能源管理体系、环境管理体系，扎实推进绿色生产方式，为全面实现山东省制造业绿色发展目标提供支撑。</w:t>
      </w:r>
    </w:p>
    <w:p>
      <w:pPr>
        <w:overflowPunct w:val="0"/>
        <w:ind w:firstLine="482"/>
        <w:textAlignment w:val="center"/>
        <w:rPr>
          <w:rFonts w:eastAsiaTheme="minorEastAsia"/>
        </w:rPr>
      </w:pPr>
      <w:r>
        <w:rPr>
          <w:rFonts w:eastAsiaTheme="minorEastAsia"/>
          <w:b/>
          <w:bCs/>
        </w:rPr>
        <w:t>建设绿色车间和工厂</w:t>
      </w:r>
      <w:r>
        <w:rPr>
          <w:b/>
          <w:bCs/>
          <w:lang w:eastAsia="zh-Hans"/>
        </w:rPr>
        <w:t>。</w:t>
      </w:r>
      <w:r>
        <w:rPr>
          <w:rFonts w:eastAsiaTheme="minorEastAsia"/>
        </w:rPr>
        <w:t>推进产品全生命周期绿色管理。推行企业产品和服务标准自我声明公开和监督制度，支持企业开发生产绿色产品、参与绿色产品设计评价标准研制工作和自我声明。鼓励企业按照用地集约化、生产洁净化、废物资源化、能源低碳化原则，构建车间和工厂节能减排工作体系。鼓励高用能企业开展能源管理体系认证，持续提高生产过程的能源资源利用效率和生产固废资源化水平，不断完善绿色制造体系。</w:t>
      </w:r>
    </w:p>
    <w:p>
      <w:pPr>
        <w:overflowPunct w:val="0"/>
        <w:ind w:firstLine="482"/>
        <w:textAlignment w:val="center"/>
      </w:pPr>
      <w:r>
        <w:rPr>
          <w:rFonts w:eastAsiaTheme="minorEastAsia"/>
          <w:b/>
          <w:bCs/>
        </w:rPr>
        <w:t>高起点发展绿色基础制造工艺</w:t>
      </w:r>
      <w:r>
        <w:rPr>
          <w:b/>
          <w:bCs/>
          <w:lang w:eastAsia="zh-Hans"/>
        </w:rPr>
        <w:t>。</w:t>
      </w:r>
      <w:r>
        <w:rPr>
          <w:rFonts w:eastAsiaTheme="minorEastAsia"/>
        </w:rPr>
        <w:t>加快推动基础制造工艺升级，推行综合能源资源和环境保护的一体化解决方案，支持企业采用绿色生产工艺和自动化生产设备，创新研发数字化、绿色化、智能化铸造、锻压、焊接、热处理、表面工程等基础制造装备。鼓励有条件的基础制造工艺企业建设数字化车间/智能工厂，提高劳动生产率。高起点高标准合理布局满足环境负荷要求的铸造、热处理、涂装等基础制造工艺生产基地，提高基础制造工艺的专业化、集约化程度，实现土地集约利用、能源梯级利用、水资源循环利用及生产固废资源化。</w:t>
      </w:r>
    </w:p>
    <w:p>
      <w:pPr>
        <w:widowControl/>
        <w:ind w:firstLine="562"/>
        <w:jc w:val="left"/>
        <w:outlineLvl w:val="2"/>
        <w:rPr>
          <w:b/>
          <w:bCs/>
          <w:kern w:val="0"/>
          <w:sz w:val="28"/>
          <w:lang w:eastAsia="zh-Hans"/>
        </w:rPr>
      </w:pPr>
      <w:r>
        <w:rPr>
          <w:b/>
          <w:bCs/>
          <w:kern w:val="0"/>
          <w:sz w:val="28"/>
          <w:lang w:eastAsia="zh-Hans"/>
        </w:rPr>
        <w:t>（三）推进生态工业园区建设</w:t>
      </w:r>
    </w:p>
    <w:p>
      <w:pPr>
        <w:overflowPunct w:val="0"/>
        <w:ind w:firstLine="480"/>
        <w:textAlignment w:val="center"/>
      </w:pPr>
      <w:r>
        <w:rPr>
          <w:rFonts w:eastAsiaTheme="minorEastAsia"/>
        </w:rPr>
        <w:t>鼓励生态工业园区创建。督促各相关工业园区加快推进创建规划编制及申报工作，以创建规范园区环境管理，提升园区及区内企业的清洁生产水平。优先支持生态工业园区开展环保管家、环境医院、入园建设项目环评改革、清洁生产集群整体审核模式等试点，推行环境污染第三方治理。</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四</w:t>
      </w:r>
      <w:r>
        <w:rPr>
          <w:b/>
          <w:bCs/>
          <w:kern w:val="0"/>
          <w:sz w:val="28"/>
          <w:lang w:eastAsia="zh-Hans"/>
        </w:rPr>
        <w:t>）推进园区循环化改造建设</w:t>
      </w:r>
    </w:p>
    <w:p>
      <w:pPr>
        <w:overflowPunct w:val="0"/>
        <w:ind w:firstLine="482"/>
        <w:textAlignment w:val="center"/>
        <w:rPr>
          <w:rFonts w:eastAsiaTheme="minorEastAsia"/>
        </w:rPr>
      </w:pPr>
      <w:r>
        <w:rPr>
          <w:rFonts w:eastAsiaTheme="minorEastAsia"/>
          <w:b/>
        </w:rPr>
        <w:t>构建产业循环经济链。</w:t>
      </w:r>
      <w:r>
        <w:rPr>
          <w:rFonts w:eastAsiaTheme="minorEastAsia"/>
        </w:rPr>
        <w:t>大力推行循环型生产方式，推进企业间、行业间、产业间共生耦合，以物质流、能量流为媒介进行链接共生，实现原料互供、资源共享，建立跨行业的循环经济产业网络。按照园区循环化发展的要求，着力构建循环</w:t>
      </w:r>
      <w:r>
        <w:rPr>
          <w:rFonts w:hint="eastAsia" w:eastAsiaTheme="minorEastAsia"/>
        </w:rPr>
        <w:t>经济</w:t>
      </w:r>
      <w:r>
        <w:rPr>
          <w:rFonts w:eastAsiaTheme="minorEastAsia"/>
        </w:rPr>
        <w:t>产业链条。利用物联网、大数据开展信息采集、数据分析、流向监测，统计全市园区内重点企业的物质流动、产业废弃物产生和综合利用等信息，推动产业废物、再生资源、再制造旧件和产品在线交易，为构建区域性循环经济产业链提供信息支撑。</w:t>
      </w:r>
    </w:p>
    <w:p>
      <w:pPr>
        <w:overflowPunct w:val="0"/>
        <w:ind w:firstLine="482"/>
        <w:textAlignment w:val="center"/>
        <w:rPr>
          <w:rFonts w:eastAsiaTheme="minorEastAsia"/>
        </w:rPr>
      </w:pPr>
      <w:r>
        <w:rPr>
          <w:rFonts w:eastAsiaTheme="minorEastAsia"/>
          <w:b/>
        </w:rPr>
        <w:t>支持再制造项目建设。</w:t>
      </w:r>
      <w:r>
        <w:rPr>
          <w:rFonts w:eastAsiaTheme="minorEastAsia"/>
        </w:rPr>
        <w:t>研发废旧电机回收，无损拆解、表面预处理、零部件疲劳剩余寿命评估等再制造技术装备。支持大规模再制造生产的高效、深度拆解技术与自动化装备产业化。推动建立逆向物流和旧件回收体系，大力推进再制造产业发展。</w:t>
      </w:r>
    </w:p>
    <w:p>
      <w:pPr>
        <w:overflowPunct w:val="0"/>
        <w:ind w:firstLine="482"/>
        <w:textAlignment w:val="center"/>
        <w:rPr>
          <w:rFonts w:eastAsiaTheme="minorEastAsia"/>
        </w:rPr>
      </w:pPr>
      <w:r>
        <w:rPr>
          <w:rFonts w:eastAsiaTheme="minorEastAsia"/>
          <w:b/>
        </w:rPr>
        <w:t>推动</w:t>
      </w:r>
      <w:r>
        <w:rPr>
          <w:rFonts w:eastAsiaTheme="minorEastAsia"/>
          <w:b/>
          <w:lang w:eastAsia="zh-Hans"/>
        </w:rPr>
        <w:t>循环经济产业园</w:t>
      </w:r>
      <w:r>
        <w:rPr>
          <w:rFonts w:eastAsiaTheme="minorEastAsia"/>
          <w:b/>
        </w:rPr>
        <w:t>建设。</w:t>
      </w:r>
      <w:r>
        <w:rPr>
          <w:rFonts w:eastAsiaTheme="minorEastAsia"/>
        </w:rPr>
        <w:t>科学规划，合理选址，稳步推进现有产业园生活垃圾</w:t>
      </w:r>
      <w:r>
        <w:rPr>
          <w:rFonts w:eastAsiaTheme="minorEastAsia"/>
          <w:lang w:eastAsia="zh-Hans"/>
        </w:rPr>
        <w:t>处置</w:t>
      </w:r>
      <w:r>
        <w:rPr>
          <w:rFonts w:eastAsiaTheme="minorEastAsia"/>
        </w:rPr>
        <w:t>和工业固体废弃物综合利用项目，完善各类固体废物处置设施建设，进一步加大对一般工业固废、危险废物、生活垃圾、建筑垃圾、餐厨垃圾等各类垃圾的收、运、处理等常态监管力度，确保静脉产业园的废弃物安全规范处置、再生资源高效回收。</w:t>
      </w:r>
    </w:p>
    <w:p>
      <w:pPr>
        <w:overflowPunct w:val="0"/>
        <w:ind w:firstLine="482"/>
        <w:textAlignment w:val="center"/>
        <w:rPr>
          <w:rFonts w:eastAsiaTheme="minorEastAsia"/>
        </w:rPr>
      </w:pPr>
      <w:r>
        <w:rPr>
          <w:rFonts w:hint="eastAsia" w:eastAsiaTheme="minorEastAsia"/>
          <w:b/>
        </w:rPr>
        <w:t>提升园区规范管理水平。</w:t>
      </w:r>
      <w:r>
        <w:rPr>
          <w:rFonts w:eastAsiaTheme="minorEastAsia"/>
        </w:rPr>
        <w:t>成立园区循环化改造领导小组</w:t>
      </w:r>
      <w:r>
        <w:rPr>
          <w:rFonts w:hint="eastAsia" w:eastAsiaTheme="minorEastAsia"/>
          <w:b/>
        </w:rPr>
        <w:t>。</w:t>
      </w:r>
      <w:r>
        <w:rPr>
          <w:rFonts w:eastAsiaTheme="minorEastAsia"/>
        </w:rPr>
        <w:t>加快推广体现</w:t>
      </w:r>
      <w:r>
        <w:rPr>
          <w:lang w:eastAsia="zh-Hans"/>
        </w:rPr>
        <w:t>滕州</w:t>
      </w:r>
      <w:r>
        <w:rPr>
          <w:rFonts w:eastAsiaTheme="minorEastAsia"/>
        </w:rPr>
        <w:t>特点的园区循环化改造方式和管理模式，探索新的园区循环化改造标准，推动大区域、跨区域废弃资源交换利用，增强产业关联度和耦合性。制定鼓励循环经济投资的优惠政策，发挥财政、银行投资对社会投资的引导作用，加强绿色金融平台建设；出台绿色招商引资政策，对能够与上下游企业形成产业链的项目，优先批办进区，促进产业链的形成，以优良的服务和发展环境作为招商引资的核心竞争力；安排循环经济宣传培训、技术推广、示范试点等专项资金。以大数据为依托，建设包括重点用能单位能源信息管理系统、重点用能单位能耗在线监测系统以及门户网站的能源管理平台，及时掌握园区内重点企业能耗情况，精准统计园区能耗数据，并加强评价考核，提升园区规范管理水平。</w:t>
      </w:r>
    </w:p>
    <w:p>
      <w:pPr>
        <w:overflowPunct w:val="0"/>
        <w:ind w:firstLine="482"/>
        <w:textAlignment w:val="center"/>
      </w:pPr>
      <w:r>
        <w:rPr>
          <w:rFonts w:eastAsiaTheme="minorEastAsia"/>
          <w:b/>
        </w:rPr>
        <w:t>探索废弃物第三方外包式服务机制。</w:t>
      </w:r>
      <w:r>
        <w:rPr>
          <w:rFonts w:eastAsiaTheme="minorEastAsia"/>
        </w:rPr>
        <w:t>引入或在园区内培育专业化产业废弃物循环利用与安全处理服务企业，作为第三方为园区企业提供外包式服务，提供废弃物回收、再生加工和循环利用的整体解决方案，建立与产废企业同步的循环利用网络，形成废弃物资源循环利用和安全处置第三方服务模式。</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五</w:t>
      </w:r>
      <w:r>
        <w:rPr>
          <w:b/>
          <w:bCs/>
          <w:kern w:val="0"/>
          <w:sz w:val="28"/>
          <w:lang w:eastAsia="zh-Hans"/>
        </w:rPr>
        <w:t>）推进循环农业发展</w:t>
      </w:r>
    </w:p>
    <w:p>
      <w:pPr>
        <w:overflowPunct w:val="0"/>
        <w:ind w:firstLine="482"/>
        <w:textAlignment w:val="center"/>
        <w:rPr>
          <w:rFonts w:eastAsiaTheme="minorEastAsia"/>
        </w:rPr>
      </w:pPr>
      <w:r>
        <w:rPr>
          <w:rFonts w:eastAsiaTheme="minorEastAsia"/>
          <w:b/>
        </w:rPr>
        <w:t>推广循环化种养模式。</w:t>
      </w:r>
      <w:r>
        <w:rPr>
          <w:rFonts w:eastAsiaTheme="minorEastAsia"/>
        </w:rPr>
        <w:t>探索标准化循环发展的新型种养结构。推进畜禽养殖种养循环示范基地建设，通过沼气发酵、异位发酵，配套粪污输送管网、生产有机肥，实现粪污资源化还田利用</w:t>
      </w:r>
      <w:r>
        <w:rPr>
          <w:rFonts w:hint="eastAsia" w:eastAsiaTheme="minorEastAsia"/>
        </w:rPr>
        <w:t>；</w:t>
      </w:r>
      <w:r>
        <w:rPr>
          <w:rFonts w:eastAsiaTheme="minorEastAsia"/>
        </w:rPr>
        <w:t>通过推广水肥一体化、增施有机肥、沼肥应用等技术，提高生物有机肥使用率，不断减少化肥施用量。鼓励利用城市园林绿地废弃物进行堆肥、生产园林有机覆盖物、生产生物质固体成型燃料、人造板、制作食用菌棒等。积极打造一批农业循环经济示范园区</w:t>
      </w:r>
      <w:r>
        <w:rPr>
          <w:rFonts w:hint="eastAsia" w:eastAsiaTheme="minorEastAsia"/>
        </w:rPr>
        <w:t>（</w:t>
      </w:r>
      <w:r>
        <w:rPr>
          <w:rFonts w:eastAsiaTheme="minorEastAsia"/>
        </w:rPr>
        <w:t>基地</w:t>
      </w:r>
      <w:r>
        <w:rPr>
          <w:rFonts w:hint="eastAsia" w:eastAsiaTheme="minorEastAsia"/>
        </w:rPr>
        <w:t>）</w:t>
      </w:r>
      <w:r>
        <w:rPr>
          <w:rFonts w:eastAsiaTheme="minorEastAsia"/>
        </w:rPr>
        <w:t>、农产品加工副产品资源化利用示范工程等示范试点建设。</w:t>
      </w:r>
    </w:p>
    <w:p>
      <w:pPr>
        <w:overflowPunct w:val="0"/>
        <w:ind w:firstLine="482"/>
        <w:textAlignment w:val="center"/>
        <w:rPr>
          <w:rFonts w:eastAsiaTheme="minorEastAsia"/>
        </w:rPr>
      </w:pPr>
      <w:r>
        <w:rPr>
          <w:rFonts w:eastAsiaTheme="minorEastAsia"/>
          <w:b/>
        </w:rPr>
        <w:t>加强水产健康养殖示范场建设。</w:t>
      </w:r>
      <w:r>
        <w:rPr>
          <w:rFonts w:eastAsiaTheme="minorEastAsia"/>
        </w:rPr>
        <w:t>推广工厂化循环水养殖、池塘生态循环水养殖及大水面网箱养殖等低排污水产养殖技术。推广</w:t>
      </w:r>
      <w:r>
        <w:rPr>
          <w:rFonts w:asciiTheme="minorEastAsia" w:hAnsiTheme="minorEastAsia" w:eastAsiaTheme="minorEastAsia"/>
        </w:rPr>
        <w:t>“</w:t>
      </w:r>
      <w:r>
        <w:rPr>
          <w:rFonts w:eastAsiaTheme="minorEastAsia"/>
        </w:rPr>
        <w:t>稻-渔</w:t>
      </w:r>
      <w:r>
        <w:rPr>
          <w:rFonts w:asciiTheme="minorEastAsia" w:hAnsiTheme="minorEastAsia" w:eastAsiaTheme="minorEastAsia"/>
        </w:rPr>
        <w:t>”“</w:t>
      </w:r>
      <w:r>
        <w:rPr>
          <w:rFonts w:eastAsiaTheme="minorEastAsia"/>
        </w:rPr>
        <w:t>渔-菜</w:t>
      </w:r>
      <w:r>
        <w:rPr>
          <w:rFonts w:asciiTheme="minorEastAsia" w:hAnsiTheme="minorEastAsia" w:eastAsiaTheme="minorEastAsia"/>
        </w:rPr>
        <w:t>”“</w:t>
      </w:r>
      <w:r>
        <w:rPr>
          <w:rFonts w:eastAsiaTheme="minorEastAsia"/>
        </w:rPr>
        <w:t>生物浮床</w:t>
      </w:r>
      <w:r>
        <w:rPr>
          <w:rFonts w:asciiTheme="minorEastAsia" w:hAnsiTheme="minorEastAsia" w:eastAsiaTheme="minorEastAsia"/>
        </w:rPr>
        <w:t>”“</w:t>
      </w:r>
      <w:r>
        <w:rPr>
          <w:rFonts w:eastAsiaTheme="minorEastAsia"/>
        </w:rPr>
        <w:t>微生态制剂</w:t>
      </w:r>
      <w:r>
        <w:rPr>
          <w:rFonts w:asciiTheme="minorEastAsia" w:hAnsiTheme="minorEastAsia" w:eastAsiaTheme="minorEastAsia"/>
        </w:rPr>
        <w:t>”“</w:t>
      </w:r>
      <w:r>
        <w:rPr>
          <w:rFonts w:eastAsiaTheme="minorEastAsia"/>
        </w:rPr>
        <w:t>微孔增氧</w:t>
      </w:r>
      <w:r>
        <w:rPr>
          <w:rFonts w:asciiTheme="minorEastAsia" w:hAnsiTheme="minorEastAsia" w:eastAsiaTheme="minorEastAsia"/>
        </w:rPr>
        <w:t>”“</w:t>
      </w:r>
      <w:r>
        <w:rPr>
          <w:rFonts w:eastAsiaTheme="minorEastAsia"/>
        </w:rPr>
        <w:t>高位池循环</w:t>
      </w:r>
      <w:r>
        <w:rPr>
          <w:rFonts w:asciiTheme="minorEastAsia" w:hAnsiTheme="minorEastAsia" w:eastAsiaTheme="minorEastAsia"/>
        </w:rPr>
        <w:t>”</w:t>
      </w:r>
      <w:r>
        <w:rPr>
          <w:rFonts w:eastAsiaTheme="minorEastAsia"/>
        </w:rPr>
        <w:t>等养殖模式，实现养殖生物</w:t>
      </w:r>
      <w:r>
        <w:rPr>
          <w:rFonts w:hint="eastAsia" w:eastAsiaTheme="minorEastAsia"/>
        </w:rPr>
        <w:t>-</w:t>
      </w:r>
      <w:r>
        <w:rPr>
          <w:rFonts w:eastAsiaTheme="minorEastAsia"/>
        </w:rPr>
        <w:t>水体</w:t>
      </w:r>
      <w:r>
        <w:rPr>
          <w:rFonts w:hint="eastAsia" w:eastAsiaTheme="minorEastAsia"/>
        </w:rPr>
        <w:t>-</w:t>
      </w:r>
      <w:r>
        <w:rPr>
          <w:rFonts w:eastAsiaTheme="minorEastAsia"/>
        </w:rPr>
        <w:t>水生植物之间生态循环和渔业节水。大力推广池塘内循环和高位池养殖模式，减少养殖废水排放，增加多级净化池和沉淀池，建设人工湿地，采取物理、化学、生物等措施净化废水并循环利用。养殖废水可综合用于农业灌溉加以有效利用。</w:t>
      </w:r>
    </w:p>
    <w:p>
      <w:pPr>
        <w:overflowPunct w:val="0"/>
        <w:ind w:firstLine="482"/>
        <w:textAlignment w:val="center"/>
      </w:pPr>
      <w:r>
        <w:rPr>
          <w:rFonts w:eastAsiaTheme="minorEastAsia"/>
          <w:b/>
        </w:rPr>
        <w:t>推进农林废弃物处理资源化。</w:t>
      </w:r>
      <w:r>
        <w:rPr>
          <w:rFonts w:eastAsiaTheme="minorEastAsia"/>
        </w:rPr>
        <w:t>加强农作物秸秆综合利用，鼓励有条件的企业和社会组织建设专业化秸秆收储运机构，重点推进秸秆机械化还田，推进大型农业废弃物沼气发电工程，开展秸秆沼气集中供气示范，形成布局合理、多元利用的秸秆综合利用产业化格局。推广工厂化堆肥处理、商品化有机肥生产技术。利用畜禽粪便因地制宜发展集中供气沼气工程，鼓励利用畜禽粪便、秸秆等多种原料发展规模化大型沼气、生物天然气工程，推进沼渣沼液深加工生产适合种植的有机肥。同时，推进农产品加工副产物综合利用，推进废旧农膜、灌溉器材、农药包装物回收利用和林业废弃物的综合利用。积极推进秸秆气化、秸秆固化燃料、秸秆发电等秸秆能源化工程建设。</w:t>
      </w:r>
    </w:p>
    <w:p>
      <w:pPr>
        <w:pStyle w:val="2"/>
        <w:ind w:left="480" w:firstLine="482"/>
        <w:rPr>
          <w:b/>
        </w:rPr>
        <w:sectPr>
          <w:pgSz w:w="11906" w:h="16838"/>
          <w:pgMar w:top="1440" w:right="1797" w:bottom="1440" w:left="1797" w:header="851" w:footer="992" w:gutter="0"/>
          <w:cols w:space="720" w:num="1"/>
          <w:docGrid w:type="lines" w:linePitch="326" w:charSpace="0"/>
        </w:sectPr>
      </w:pPr>
    </w:p>
    <w:p>
      <w:pPr>
        <w:keepNext/>
        <w:keepLines/>
        <w:spacing w:before="326" w:beforeLines="100" w:after="326" w:afterLines="100"/>
        <w:ind w:firstLine="0" w:firstLineChars="0"/>
        <w:jc w:val="center"/>
        <w:outlineLvl w:val="0"/>
        <w:rPr>
          <w:rFonts w:eastAsia="黑体"/>
          <w:b/>
          <w:kern w:val="0"/>
          <w:sz w:val="36"/>
          <w:szCs w:val="36"/>
        </w:rPr>
      </w:pPr>
      <w:bookmarkStart w:id="203" w:name="_Toc19058"/>
      <w:bookmarkStart w:id="204" w:name="_Toc28614"/>
      <w:r>
        <w:rPr>
          <w:rFonts w:eastAsia="黑体"/>
          <w:b/>
          <w:kern w:val="0"/>
          <w:sz w:val="36"/>
          <w:szCs w:val="36"/>
        </w:rPr>
        <w:t>第七章 建设美丽宜居的生态生活体系</w:t>
      </w:r>
      <w:bookmarkEnd w:id="203"/>
      <w:bookmarkEnd w:id="204"/>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05" w:name="_Toc139894380"/>
      <w:bookmarkStart w:id="206" w:name="_Toc462"/>
      <w:bookmarkStart w:id="207" w:name="_Toc139894296"/>
      <w:bookmarkStart w:id="208" w:name="_Toc139894252"/>
      <w:bookmarkStart w:id="209" w:name="_Toc30440"/>
      <w:r>
        <w:rPr>
          <w:rFonts w:eastAsia="黑体"/>
          <w:bCs/>
          <w:snapToGrid w:val="0"/>
          <w:kern w:val="0"/>
          <w:sz w:val="32"/>
          <w:szCs w:val="32"/>
        </w:rPr>
        <w:t>一、推进城乡环境一体化建设</w:t>
      </w:r>
      <w:bookmarkEnd w:id="205"/>
      <w:bookmarkEnd w:id="206"/>
      <w:bookmarkEnd w:id="207"/>
      <w:bookmarkEnd w:id="208"/>
      <w:bookmarkEnd w:id="209"/>
    </w:p>
    <w:p>
      <w:pPr>
        <w:widowControl/>
        <w:ind w:firstLine="562"/>
        <w:jc w:val="left"/>
        <w:outlineLvl w:val="2"/>
        <w:rPr>
          <w:b/>
          <w:bCs/>
          <w:kern w:val="0"/>
          <w:sz w:val="28"/>
          <w:lang w:eastAsia="zh-Hans"/>
        </w:rPr>
      </w:pPr>
      <w:r>
        <w:rPr>
          <w:b/>
          <w:bCs/>
          <w:kern w:val="0"/>
          <w:sz w:val="28"/>
          <w:lang w:eastAsia="zh-Hans"/>
        </w:rPr>
        <w:t>（一）加快补齐城乡污水设施短板</w:t>
      </w:r>
    </w:p>
    <w:p>
      <w:pPr>
        <w:ind w:firstLine="480"/>
        <w:rPr>
          <w:shd w:val="clear" w:color="auto" w:fill="FFFFFF"/>
        </w:rPr>
      </w:pPr>
      <w:r>
        <w:rPr>
          <w:shd w:val="clear" w:color="auto" w:fill="FFFFFF"/>
        </w:rPr>
        <w:t>推进第一、第二、第三污水处理厂提标改造，新建改造排水管网100公里、三污收集管网</w:t>
      </w:r>
      <w:r>
        <w:rPr>
          <w:rFonts w:hint="eastAsia"/>
          <w:shd w:val="clear" w:color="auto" w:fill="FFFFFF"/>
        </w:rPr>
        <w:t>6.4</w:t>
      </w:r>
      <w:r>
        <w:rPr>
          <w:shd w:val="clear" w:color="auto" w:fill="FFFFFF"/>
        </w:rPr>
        <w:t>公里，改建排水泵站4座，提高城区污水收集处理及城市排水能力。围绕污水处理提质增效年度任务，</w:t>
      </w:r>
      <w:r>
        <w:rPr>
          <w:rFonts w:hint="eastAsia"/>
          <w:shd w:val="clear" w:color="auto" w:fill="FFFFFF"/>
        </w:rPr>
        <w:t>实施城区北部雨污管网、污水管网退河上岸工程</w:t>
      </w:r>
      <w:r>
        <w:rPr>
          <w:shd w:val="clear" w:color="auto" w:fill="FFFFFF"/>
        </w:rPr>
        <w:t>及三污配套管网新建改造工程，全面提高城区污水收集处理及城市排水能力。同时加快实施城市雨污合流管网改造工作。到2025年，城市排水管网、城乡污水处理设施进一步完善</w:t>
      </w:r>
      <w:r>
        <w:rPr>
          <w:rFonts w:hint="eastAsia"/>
          <w:shd w:val="clear" w:color="auto" w:fill="FFFFFF"/>
        </w:rPr>
        <w:t>，城镇污水处理率达</w:t>
      </w:r>
      <w:r>
        <w:rPr>
          <w:shd w:val="clear" w:color="auto" w:fill="FFFFFF"/>
        </w:rPr>
        <w:t>85%</w:t>
      </w:r>
      <w:r>
        <w:rPr>
          <w:rFonts w:hint="eastAsia"/>
          <w:shd w:val="clear" w:color="auto" w:fill="FFFFFF"/>
        </w:rPr>
        <w:t>以上</w:t>
      </w:r>
      <w:r>
        <w:rPr>
          <w:shd w:val="clear" w:color="auto" w:fill="FFFFFF"/>
        </w:rPr>
        <w:t>。</w:t>
      </w:r>
    </w:p>
    <w:p>
      <w:pPr>
        <w:widowControl/>
        <w:ind w:firstLine="562"/>
        <w:jc w:val="left"/>
        <w:outlineLvl w:val="2"/>
        <w:rPr>
          <w:b/>
          <w:bCs/>
          <w:kern w:val="0"/>
          <w:sz w:val="28"/>
          <w:lang w:eastAsia="zh-Hans"/>
        </w:rPr>
      </w:pPr>
      <w:r>
        <w:rPr>
          <w:b/>
          <w:bCs/>
          <w:kern w:val="0"/>
          <w:sz w:val="28"/>
          <w:lang w:eastAsia="zh-Hans"/>
        </w:rPr>
        <w:t>（二）健全生活垃圾收运处置体系</w:t>
      </w:r>
    </w:p>
    <w:p>
      <w:pPr>
        <w:ind w:firstLine="480"/>
      </w:pPr>
      <w:r>
        <w:rPr>
          <w:shd w:val="clear" w:color="auto" w:fill="FFFFFF"/>
        </w:rPr>
        <w:t>加快建立滕州市生活垃圾分类收运处置体系，提升城乡生活垃圾减量化、资源化、无害化处理水平，保持滕州市环卫设施建设与城市建设相协调。新建2座生活垃圾压缩中转，充分利用原有垃圾填埋场并结合现有的垃圾处理中心（滕州光大能源有限公司）扩建垃圾处理综合处置中心，实施垃圾分类处置，加快完善垃圾处理综合保障中心现有功能，新建垃圾分类综合处置中心、餐厨垃圾处置中心、建筑垃圾综合处置中心，最大化实现资源回收利用。</w:t>
      </w:r>
    </w:p>
    <w:p>
      <w:pPr>
        <w:widowControl/>
        <w:ind w:firstLine="562"/>
        <w:jc w:val="left"/>
        <w:outlineLvl w:val="2"/>
        <w:rPr>
          <w:b/>
          <w:bCs/>
          <w:kern w:val="0"/>
          <w:sz w:val="28"/>
          <w:lang w:eastAsia="zh-Hans"/>
        </w:rPr>
      </w:pPr>
      <w:r>
        <w:rPr>
          <w:b/>
          <w:bCs/>
          <w:kern w:val="0"/>
          <w:sz w:val="28"/>
          <w:lang w:eastAsia="zh-Hans"/>
        </w:rPr>
        <w:t>（三）保障城乡饮用水水质安全</w:t>
      </w:r>
    </w:p>
    <w:p>
      <w:pPr>
        <w:ind w:firstLine="480"/>
      </w:pPr>
      <w:r>
        <w:t>继续开展饮用水水源地保护专项行动，强化对涉及企业和污染源的监管，确保污水达标排放。不断加大水源地巡查力度，加密监测频次，科学设置地下水水质监测点位，及时掌握补给区地下水水质状况，切实消除污染隐患。坚持</w:t>
      </w:r>
      <w:r>
        <w:rPr>
          <w:rFonts w:asciiTheme="minorEastAsia" w:hAnsiTheme="minorEastAsia" w:eastAsiaTheme="minorEastAsia"/>
        </w:rPr>
        <w:t>“</w:t>
      </w:r>
      <w:r>
        <w:t>农村供水城市化，城乡供水一体化</w:t>
      </w:r>
      <w:r>
        <w:rPr>
          <w:rFonts w:asciiTheme="minorEastAsia" w:hAnsiTheme="minorEastAsia" w:eastAsiaTheme="minorEastAsia"/>
        </w:rPr>
        <w:t>”</w:t>
      </w:r>
      <w:r>
        <w:t>，通过实施跨区域调水、水源置换、新建改建水厂、延伸供水管网、村内供水工程提升改造，推动滕州市城乡一体化供水提升工程和鲁南高科技化工园区安全供水工程建设。到2025年，基本建成水源互连互通、互为补充的城乡一体化供水水网，巩固农村饮水安全攻坚成果，农村集中供水率99.2%，</w:t>
      </w:r>
      <w:r>
        <w:rPr>
          <w:rFonts w:hint="eastAsia"/>
        </w:rPr>
        <w:t>城乡供水一体化率达85%以上</w:t>
      </w:r>
      <w:r>
        <w:t>。</w:t>
      </w:r>
    </w:p>
    <w:p>
      <w:pPr>
        <w:widowControl/>
        <w:ind w:firstLine="562"/>
        <w:jc w:val="left"/>
        <w:outlineLvl w:val="2"/>
        <w:rPr>
          <w:b/>
          <w:bCs/>
          <w:kern w:val="0"/>
          <w:sz w:val="28"/>
          <w:lang w:eastAsia="zh-Hans"/>
        </w:rPr>
      </w:pPr>
      <w:r>
        <w:rPr>
          <w:b/>
          <w:bCs/>
          <w:kern w:val="0"/>
          <w:sz w:val="28"/>
          <w:lang w:eastAsia="zh-Hans"/>
        </w:rPr>
        <w:t>（四）完善城乡生态绿地体系</w:t>
      </w:r>
    </w:p>
    <w:p>
      <w:pPr>
        <w:ind w:firstLine="480"/>
        <w:rPr>
          <w:shd w:val="clear" w:color="auto" w:fill="FFFFFF"/>
        </w:rPr>
      </w:pPr>
      <w:r>
        <w:t>修编城市绿地系统规划，围绕创建国家生态园林城市，</w:t>
      </w:r>
      <w:bookmarkStart w:id="210" w:name="_Hlk150418228"/>
      <w:r>
        <w:rPr>
          <w:rFonts w:hint="eastAsia"/>
        </w:rPr>
        <w:t>在依法依规用地前提下，</w:t>
      </w:r>
      <w:bookmarkEnd w:id="210"/>
      <w:r>
        <w:t>加快重点实施完成通盛公园、振兴路冯河公园、迎宾公园、七彩公园、小清河公园、前进公园等城市公园建设，同步实施陶山路、文化路、荆河东路等城市道路两侧景观绿化带建设。全面推进以屋顶、阳台、墙体等为重点的立体绿化建设，合理利用房屋楼顶、院楼公共空间等，促进社会各方力量共建共享，提升城市绿视率。推进城市立交桥、高架桥、河湖等护岸的立体绿化，加快城市片林建设，增加市民绿色共享空间。优化配置植物群落，重视绿地科学养护，有效提高单位绿地面积的绿量，增强绿地综合生态服务能力。到2025年，新增城市绿化面积300万平方米</w:t>
      </w:r>
      <w:r>
        <w:rPr>
          <w:shd w:val="clear" w:color="auto" w:fill="FFFFFF"/>
        </w:rP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11" w:name="_Toc20209"/>
      <w:bookmarkStart w:id="212" w:name="_Toc139894297"/>
      <w:bookmarkStart w:id="213" w:name="_Toc139894381"/>
      <w:bookmarkStart w:id="214" w:name="_Toc139894253"/>
      <w:bookmarkStart w:id="215" w:name="_Toc22961"/>
      <w:r>
        <w:rPr>
          <w:rFonts w:eastAsia="黑体"/>
          <w:bCs/>
          <w:snapToGrid w:val="0"/>
          <w:kern w:val="0"/>
          <w:sz w:val="32"/>
          <w:szCs w:val="32"/>
        </w:rPr>
        <w:t>二、</w:t>
      </w:r>
      <w:bookmarkEnd w:id="211"/>
      <w:r>
        <w:rPr>
          <w:rFonts w:eastAsia="黑体"/>
          <w:bCs/>
          <w:snapToGrid w:val="0"/>
          <w:kern w:val="0"/>
          <w:sz w:val="32"/>
          <w:szCs w:val="32"/>
        </w:rPr>
        <w:t>推进绿色城镇化建设</w:t>
      </w:r>
      <w:bookmarkEnd w:id="212"/>
      <w:bookmarkEnd w:id="213"/>
      <w:bookmarkEnd w:id="214"/>
      <w:bookmarkEnd w:id="215"/>
    </w:p>
    <w:p>
      <w:pPr>
        <w:widowControl/>
        <w:ind w:firstLine="562"/>
        <w:jc w:val="left"/>
        <w:outlineLvl w:val="2"/>
        <w:rPr>
          <w:b/>
          <w:bCs/>
          <w:kern w:val="0"/>
          <w:sz w:val="28"/>
          <w:lang w:eastAsia="zh-Hans"/>
        </w:rPr>
      </w:pPr>
      <w:r>
        <w:rPr>
          <w:b/>
          <w:bCs/>
          <w:kern w:val="0"/>
          <w:sz w:val="28"/>
          <w:lang w:eastAsia="zh-Hans"/>
        </w:rPr>
        <w:t>（一）积极推广绿色建筑</w:t>
      </w:r>
    </w:p>
    <w:p>
      <w:pPr>
        <w:ind w:firstLine="480"/>
        <w:rPr>
          <w:shd w:val="clear" w:color="auto" w:fill="FFFFFF"/>
        </w:rPr>
      </w:pPr>
      <w:r>
        <w:rPr>
          <w:shd w:val="clear" w:color="auto" w:fill="FFFFFF"/>
        </w:rPr>
        <w:t>以大型公共建筑和国家机关办公建筑作为重点改造对象，增加屋顶绿化、墙面绿化、外遮阳设施等综合措施的节能改造。加大公共建筑节能改造推进力度，积极创建和培育一批建筑节能示范项目，抓试点、带全盘，把建筑节能工作推向更高的水平。加大对城市建筑执行节能标准的督导力度，确保城市规划区内新建公共建筑和居住建筑全部执行节能65%和75%的标准。加大可再生能源、建筑结构一体化、装配式技术在建筑领域的应用，进一步改善全市生态环境和市民生活质量。因地制宜发展装配式建筑，进一步提高城镇新区建设、重要功能区建设、房地产项目等领域的装配式建筑比例，提升建筑品质。到2025年，城镇新建建筑中绿色建筑面积占比达100%，新建建筑绿色建材应用比例达65%以上。</w:t>
      </w:r>
    </w:p>
    <w:p>
      <w:pPr>
        <w:widowControl/>
        <w:ind w:firstLine="562"/>
        <w:jc w:val="left"/>
        <w:outlineLvl w:val="2"/>
        <w:rPr>
          <w:b/>
          <w:bCs/>
          <w:kern w:val="0"/>
          <w:sz w:val="28"/>
          <w:lang w:eastAsia="zh-Hans"/>
        </w:rPr>
      </w:pPr>
      <w:r>
        <w:rPr>
          <w:b/>
          <w:bCs/>
          <w:kern w:val="0"/>
          <w:sz w:val="28"/>
          <w:lang w:eastAsia="zh-Hans"/>
        </w:rPr>
        <w:t>（二）推动绿色交通发展</w:t>
      </w:r>
    </w:p>
    <w:p>
      <w:pPr>
        <w:ind w:firstLine="480"/>
        <w:rPr>
          <w:shd w:val="clear" w:color="auto" w:fill="FFFFFF"/>
        </w:rPr>
      </w:pPr>
      <w:r>
        <w:t>优化城市道路网络配置，加强支路建设改造，打通道路微循环，建设快速路、主次干路和支路级配合理、适宜绿色出行的城市道路网络。加强交通堵点节点改造，提高路网整体通达性。到2025年，人均城市道路面积达28平方米，建成区路网密度达8.5公里/平方公里，建成区道路率达15%。</w:t>
      </w:r>
      <w:r>
        <w:rPr>
          <w:shd w:val="clear" w:color="auto" w:fill="FFFFFF"/>
        </w:rPr>
        <w:t>结合城市公交整体规划，对于新开通城市道路及时开通公交线路，对于线路资源过于重复的客运线路进行优化调整，更好满足市民群众的出行需求。优化站场布局，提升运输站场的现代化水平，统筹多种交通运输方式的无缝衔接。推动建设滕州市交通综合服务中心项目，完善枣滕B6线站场服务功能，实现城市公交、城际公交与BRT</w:t>
      </w:r>
      <w:r>
        <w:rPr>
          <w:rFonts w:asciiTheme="minorEastAsia" w:hAnsiTheme="minorEastAsia" w:eastAsiaTheme="minorEastAsia"/>
          <w:shd w:val="clear" w:color="auto" w:fill="FFFFFF"/>
        </w:rPr>
        <w:t>“</w:t>
      </w:r>
      <w:r>
        <w:rPr>
          <w:shd w:val="clear" w:color="auto" w:fill="FFFFFF"/>
        </w:rPr>
        <w:t>零距离换乘</w:t>
      </w:r>
      <w:r>
        <w:rPr>
          <w:rFonts w:asciiTheme="minorEastAsia" w:hAnsiTheme="minorEastAsia" w:eastAsiaTheme="minorEastAsia"/>
          <w:shd w:val="clear" w:color="auto" w:fill="FFFFFF"/>
        </w:rPr>
        <w:t>”</w:t>
      </w:r>
      <w:r>
        <w:rPr>
          <w:shd w:val="clear" w:color="auto" w:fill="FFFFFF"/>
        </w:rPr>
        <w:t>。加快运输装备现代化升级，大力推广新能源、清洁能源车辆。大力发展共享交通，增加智能化、定制化、共享化客运供给。全方位、互动式宣传推广交通运输节能减排的各项方针、政策、法律及法规，倡导资源节约、环境友好、绿色低碳的交通运输消费方式，营造绿色出行的社会氛围，鼓励公众绿色出行。</w:t>
      </w:r>
    </w:p>
    <w:p>
      <w:pPr>
        <w:widowControl/>
        <w:ind w:firstLine="562"/>
        <w:jc w:val="left"/>
        <w:outlineLvl w:val="2"/>
        <w:rPr>
          <w:b/>
          <w:bCs/>
          <w:kern w:val="0"/>
          <w:sz w:val="28"/>
          <w:lang w:eastAsia="zh-Hans"/>
        </w:rPr>
      </w:pPr>
      <w:r>
        <w:rPr>
          <w:b/>
          <w:bCs/>
          <w:kern w:val="0"/>
          <w:sz w:val="28"/>
          <w:lang w:eastAsia="zh-Hans"/>
        </w:rPr>
        <w:t>（三）提高城市功能品质</w:t>
      </w:r>
    </w:p>
    <w:p>
      <w:pPr>
        <w:ind w:firstLine="480"/>
        <w:rPr>
          <w:shd w:val="clear" w:color="auto" w:fill="FFFFFF"/>
        </w:rPr>
      </w:pPr>
      <w:r>
        <w:rPr>
          <w:shd w:val="clear" w:color="auto" w:fill="FFFFFF"/>
        </w:rPr>
        <w:t>坚持精品城市理念，着力抓好城市更新，加大棚户区改造和老旧小区改造力度，开发现代化高品质商品住宅区，创建绿色社区；提升城市品质，推进市区环境综合整治，因地制宜实施地下综合管廊建设。结合道路建设、公园绿地、城市更新和住宅小区建设等、全域推进海绵城市建设，塑造精致现代的城市风貌，到2025年，新增海绵城市面积为36平方公里，新增燃气主管网200公里，新增供热主管网150公里，新增供热面积500万平方米。围绕社区文化、教育、医疗、体育、养老、社会福利等基本服务，构建15分钟生活服务圈。提高科学化、精细化、智慧化管理水平，完善智慧市政设施，实现智慧照明、智慧停车等，实现城市各类资源要素</w:t>
      </w:r>
      <w:r>
        <w:rPr>
          <w:rFonts w:asciiTheme="minorEastAsia" w:hAnsiTheme="minorEastAsia" w:eastAsiaTheme="minorEastAsia"/>
          <w:shd w:val="clear" w:color="auto" w:fill="FFFFFF"/>
        </w:rPr>
        <w:t>“</w:t>
      </w:r>
      <w:r>
        <w:rPr>
          <w:shd w:val="clear" w:color="auto" w:fill="FFFFFF"/>
        </w:rPr>
        <w:t>一网统管</w:t>
      </w:r>
      <w:r>
        <w:rPr>
          <w:rFonts w:asciiTheme="minorEastAsia" w:hAnsiTheme="minorEastAsia" w:eastAsiaTheme="minorEastAsia"/>
          <w:shd w:val="clear" w:color="auto" w:fill="FFFFFF"/>
        </w:rPr>
        <w:t>”</w:t>
      </w:r>
      <w:r>
        <w:rPr>
          <w:shd w:val="clear" w:color="auto" w:fill="FFFFFF"/>
        </w:rPr>
        <w:t>。</w:t>
      </w:r>
    </w:p>
    <w:p>
      <w:pPr>
        <w:widowControl/>
        <w:ind w:firstLine="562"/>
        <w:jc w:val="left"/>
        <w:outlineLvl w:val="2"/>
        <w:rPr>
          <w:b/>
          <w:bCs/>
          <w:kern w:val="0"/>
          <w:sz w:val="28"/>
          <w:lang w:eastAsia="zh-Hans"/>
        </w:rPr>
      </w:pPr>
      <w:r>
        <w:rPr>
          <w:b/>
          <w:bCs/>
          <w:kern w:val="0"/>
          <w:sz w:val="28"/>
          <w:lang w:eastAsia="zh-Hans"/>
        </w:rPr>
        <w:t>（四）推进海绵城市建设</w:t>
      </w:r>
    </w:p>
    <w:p>
      <w:pPr>
        <w:ind w:firstLine="480"/>
        <w:rPr>
          <w:shd w:val="clear" w:color="auto" w:fill="FFFFFF"/>
        </w:rPr>
      </w:pPr>
      <w:r>
        <w:t>以保护绿地面积这一自然海绵体作为前提条件，扩大绿地、水域等生态空间，合理规划建设各类城市绿地，推广立体绿化、屋顶绿化，大力提高建成区绿化覆盖率。因地制宜采取屋顶绿化、雨水调蓄与收集利用、微地形等措施，提高建筑与小区的雨水积存和蓄滞能力。在非机动车道、人行道、停车场、广场等推广使用透水铺装，加强道路与广场对雨水的收集、净化和利用。结合雨水利用、排水防涝等要求，科学布局建设雨水调蓄设施。大力推广海绵型公园和绿地，通过建设雨水花园、下凹式绿地、人工湿地等，增强公园和绿地系统的海绵体功能，消纳自身雨水，并为蓄滞周边区域雨水提供空间</w:t>
      </w:r>
      <w:r>
        <w:rPr>
          <w:shd w:val="clear" w:color="auto" w:fill="FFFFFF"/>
        </w:rP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16" w:name="_Toc5393"/>
      <w:bookmarkStart w:id="217" w:name="_Toc139894382"/>
      <w:bookmarkStart w:id="218" w:name="_Toc139894298"/>
      <w:bookmarkStart w:id="219" w:name="_Toc10936"/>
      <w:bookmarkStart w:id="220" w:name="_Toc139894254"/>
      <w:r>
        <w:rPr>
          <w:rFonts w:eastAsia="黑体"/>
          <w:bCs/>
          <w:snapToGrid w:val="0"/>
          <w:kern w:val="0"/>
          <w:sz w:val="32"/>
          <w:szCs w:val="32"/>
        </w:rPr>
        <w:t>三、推进美丽乡村建设</w:t>
      </w:r>
      <w:bookmarkEnd w:id="216"/>
      <w:bookmarkEnd w:id="217"/>
      <w:bookmarkEnd w:id="218"/>
      <w:bookmarkEnd w:id="219"/>
      <w:bookmarkEnd w:id="220"/>
    </w:p>
    <w:p>
      <w:pPr>
        <w:widowControl/>
        <w:ind w:firstLine="562"/>
        <w:jc w:val="left"/>
        <w:outlineLvl w:val="2"/>
        <w:rPr>
          <w:b/>
          <w:bCs/>
          <w:kern w:val="0"/>
          <w:sz w:val="28"/>
          <w:lang w:eastAsia="zh-Hans"/>
        </w:rPr>
      </w:pPr>
      <w:r>
        <w:rPr>
          <w:b/>
          <w:bCs/>
          <w:kern w:val="0"/>
          <w:sz w:val="28"/>
          <w:lang w:eastAsia="zh-Hans"/>
        </w:rPr>
        <w:t>（一）完善乡村基础设施</w:t>
      </w:r>
    </w:p>
    <w:p>
      <w:pPr>
        <w:ind w:firstLine="480"/>
        <w:rPr>
          <w:shd w:val="clear" w:color="auto" w:fill="FFFFFF"/>
        </w:rPr>
      </w:pPr>
      <w:r>
        <w:rPr>
          <w:shd w:val="clear" w:color="auto" w:fill="FFFFFF"/>
        </w:rPr>
        <w:t>完善城乡供水一体化，改造提升农村供水管网，到2025年，农村自来水普及率达99%，规模化工程供水人口覆盖比例80%。实施农村电网提升工程，建成标准化用电示范村115个。实施乡村清洁能源建设行动，推进天然气由</w:t>
      </w:r>
      <w:r>
        <w:rPr>
          <w:rFonts w:asciiTheme="minorEastAsia" w:hAnsiTheme="minorEastAsia" w:eastAsiaTheme="minorEastAsia"/>
          <w:shd w:val="clear" w:color="auto" w:fill="FFFFFF"/>
        </w:rPr>
        <w:t>“</w:t>
      </w:r>
      <w:r>
        <w:rPr>
          <w:shd w:val="clear" w:color="auto" w:fill="FFFFFF"/>
        </w:rPr>
        <w:t>镇镇通</w:t>
      </w:r>
      <w:r>
        <w:rPr>
          <w:rFonts w:asciiTheme="minorEastAsia" w:hAnsiTheme="minorEastAsia" w:eastAsiaTheme="minorEastAsia"/>
          <w:shd w:val="clear" w:color="auto" w:fill="FFFFFF"/>
        </w:rPr>
        <w:t>”</w:t>
      </w:r>
      <w:r>
        <w:rPr>
          <w:shd w:val="clear" w:color="auto" w:fill="FFFFFF"/>
        </w:rPr>
        <w:t>向</w:t>
      </w:r>
      <w:r>
        <w:rPr>
          <w:rFonts w:asciiTheme="minorEastAsia" w:hAnsiTheme="minorEastAsia" w:eastAsiaTheme="minorEastAsia"/>
          <w:shd w:val="clear" w:color="auto" w:fill="FFFFFF"/>
        </w:rPr>
        <w:t>“</w:t>
      </w:r>
      <w:r>
        <w:rPr>
          <w:shd w:val="clear" w:color="auto" w:fill="FFFFFF"/>
        </w:rPr>
        <w:t>村村通</w:t>
      </w:r>
      <w:r>
        <w:rPr>
          <w:rFonts w:asciiTheme="minorEastAsia" w:hAnsiTheme="minorEastAsia" w:eastAsiaTheme="minorEastAsia"/>
          <w:shd w:val="clear" w:color="auto" w:fill="FFFFFF"/>
        </w:rPr>
        <w:t>”</w:t>
      </w:r>
      <w:r>
        <w:rPr>
          <w:shd w:val="clear" w:color="auto" w:fill="FFFFFF"/>
        </w:rPr>
        <w:t>延伸，加快农村煤改电、煤改气建设。提升完善村民服务中心、文化健身广场等乡村公用设施，完成村庄绿化、美化、亮化等工程。引导通信运营企业加大农村移动通信基站和农村网络建设投资，进一步提高农村地区光纤宽带接入能力。加强种植、养殖全产业链智慧化建设，积极推进数字乡村试点工作，加快推进物联网技术在农业生产领域的应用。</w:t>
      </w:r>
    </w:p>
    <w:p>
      <w:pPr>
        <w:widowControl/>
        <w:ind w:firstLine="562"/>
        <w:jc w:val="left"/>
        <w:outlineLvl w:val="2"/>
        <w:rPr>
          <w:b/>
          <w:bCs/>
          <w:kern w:val="0"/>
          <w:sz w:val="28"/>
          <w:lang w:eastAsia="zh-Hans"/>
        </w:rPr>
      </w:pPr>
      <w:r>
        <w:rPr>
          <w:b/>
          <w:bCs/>
          <w:kern w:val="0"/>
          <w:sz w:val="28"/>
          <w:lang w:eastAsia="zh-Hans"/>
        </w:rPr>
        <w:t>（二）推进农村人居环境整治</w:t>
      </w:r>
    </w:p>
    <w:p>
      <w:pPr>
        <w:ind w:firstLine="480"/>
        <w:rPr>
          <w:shd w:val="clear" w:color="auto" w:fill="FFFFFF"/>
        </w:rPr>
      </w:pPr>
      <w:r>
        <w:rPr>
          <w:shd w:val="clear" w:color="auto" w:fill="FFFFFF"/>
        </w:rPr>
        <w:t>持续深化农村人居环境整治，大力推进农村厕所粪污治理、生活垃圾处理和污水治理，持续推进垃圾分类，拓展道路深度保洁覆盖面。</w:t>
      </w:r>
      <w:r>
        <w:rPr>
          <w:rFonts w:hint="eastAsia"/>
          <w:shd w:val="clear" w:color="auto" w:fill="FFFFFF"/>
        </w:rPr>
        <w:t>因地制宜，采用不同治理模式</w:t>
      </w:r>
      <w:r>
        <w:rPr>
          <w:shd w:val="clear" w:color="auto" w:fill="FFFFFF"/>
        </w:rPr>
        <w:t>，完成</w:t>
      </w:r>
      <w:r>
        <w:rPr>
          <w:rFonts w:hint="eastAsia"/>
          <w:shd w:val="clear" w:color="auto" w:fill="FFFFFF"/>
        </w:rPr>
        <w:t>滕州</w:t>
      </w:r>
      <w:r>
        <w:rPr>
          <w:shd w:val="clear" w:color="auto" w:fill="FFFFFF"/>
        </w:rPr>
        <w:t>市</w:t>
      </w:r>
      <w:r>
        <w:rPr>
          <w:rFonts w:hint="eastAsia"/>
          <w:shd w:val="clear" w:color="auto" w:fill="FFFFFF"/>
        </w:rPr>
        <w:t>718个村农村生</w:t>
      </w:r>
      <w:r>
        <w:rPr>
          <w:shd w:val="clear" w:color="auto" w:fill="FFFFFF"/>
        </w:rPr>
        <w:t>活污水</w:t>
      </w:r>
      <w:r>
        <w:rPr>
          <w:rFonts w:hint="eastAsia"/>
          <w:shd w:val="clear" w:color="auto" w:fill="FFFFFF"/>
        </w:rPr>
        <w:t>治理</w:t>
      </w:r>
      <w:r>
        <w:rPr>
          <w:shd w:val="clear" w:color="auto" w:fill="FFFFFF"/>
        </w:rPr>
        <w:t>，全面消除农村黑臭水体。深入推进城乡环卫一体化，巩固提升美丽庭院示范户创建，实现村庄面貌干净整洁有序。加快构建农业废弃物资源化利用的有效治理模式，重点促进畜禽粪污、农作物秸秆、废旧农膜及废弃农药包装物等废弃物资源化利用。打好</w:t>
      </w:r>
      <w:r>
        <w:rPr>
          <w:rFonts w:asciiTheme="minorEastAsia" w:hAnsiTheme="minorEastAsia" w:eastAsiaTheme="minorEastAsia"/>
          <w:shd w:val="clear" w:color="auto" w:fill="FFFFFF"/>
        </w:rPr>
        <w:t>“</w:t>
      </w:r>
      <w:r>
        <w:rPr>
          <w:shd w:val="clear" w:color="auto" w:fill="FFFFFF"/>
        </w:rPr>
        <w:t>四季战役</w:t>
      </w:r>
      <w:r>
        <w:rPr>
          <w:rFonts w:asciiTheme="minorEastAsia" w:hAnsiTheme="minorEastAsia" w:eastAsiaTheme="minorEastAsia"/>
          <w:shd w:val="clear" w:color="auto" w:fill="FFFFFF"/>
        </w:rPr>
        <w:t>”</w:t>
      </w:r>
      <w:r>
        <w:rPr>
          <w:shd w:val="clear" w:color="auto" w:fill="FFFFFF"/>
        </w:rPr>
        <w:t>，开展农村人居环境整治提升五年行动，全面提升农村人居环境整治成效。</w:t>
      </w:r>
    </w:p>
    <w:p>
      <w:pPr>
        <w:widowControl/>
        <w:ind w:firstLine="562"/>
        <w:jc w:val="left"/>
        <w:outlineLvl w:val="2"/>
        <w:rPr>
          <w:b/>
          <w:bCs/>
          <w:kern w:val="0"/>
          <w:sz w:val="28"/>
          <w:lang w:eastAsia="zh-Hans"/>
        </w:rPr>
      </w:pPr>
      <w:r>
        <w:rPr>
          <w:b/>
          <w:bCs/>
          <w:kern w:val="0"/>
          <w:sz w:val="28"/>
          <w:lang w:eastAsia="zh-Hans"/>
        </w:rPr>
        <w:t>（三）加快推进美丽乡村建设</w:t>
      </w:r>
    </w:p>
    <w:p>
      <w:pPr>
        <w:ind w:firstLine="480"/>
        <w:rPr>
          <w:shd w:val="clear" w:color="auto" w:fill="FFFFFF"/>
        </w:rPr>
      </w:pPr>
      <w:r>
        <w:rPr>
          <w:shd w:val="clear" w:color="auto" w:fill="FFFFFF"/>
        </w:rPr>
        <w:t>综合考虑建设形成、居住规模、服务功能和资源禀赋等因素，分类推进美丽乡村建设。以秀美荆河、B6沿线、红荷路两侧、界河生态绿廊等沿河、沿路、环湖、绕园为重点，集中打造一批精品示范片区，实现全市美丽乡村建设全覆盖。到2025年，新创省级美丽乡村示范村20个，枣庄市级示范村200个，全力打造滕州的</w:t>
      </w:r>
      <w:r>
        <w:rPr>
          <w:rFonts w:asciiTheme="minorEastAsia" w:hAnsiTheme="minorEastAsia" w:eastAsiaTheme="minorEastAsia"/>
          <w:shd w:val="clear" w:color="auto" w:fill="FFFFFF"/>
        </w:rPr>
        <w:t>“</w:t>
      </w:r>
      <w:r>
        <w:rPr>
          <w:shd w:val="clear" w:color="auto" w:fill="FFFFFF"/>
        </w:rPr>
        <w:t>富春山居图</w:t>
      </w:r>
      <w:r>
        <w:rPr>
          <w:rFonts w:asciiTheme="minorEastAsia" w:hAnsiTheme="minorEastAsia" w:eastAsiaTheme="minorEastAsia"/>
          <w:shd w:val="clear" w:color="auto" w:fill="FFFFFF"/>
        </w:rPr>
        <w:t>”</w:t>
      </w:r>
      <w:r>
        <w:rPr>
          <w:shd w:val="clear" w:color="auto" w:fill="FFFFFF"/>
        </w:rP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21" w:name="_Toc139894255"/>
      <w:bookmarkStart w:id="222" w:name="_Toc139894299"/>
      <w:bookmarkStart w:id="223" w:name="_Toc26031"/>
      <w:bookmarkStart w:id="224" w:name="_Toc25738"/>
      <w:bookmarkStart w:id="225" w:name="_Toc139894383"/>
      <w:r>
        <w:rPr>
          <w:rFonts w:eastAsia="黑体"/>
          <w:bCs/>
          <w:snapToGrid w:val="0"/>
          <w:kern w:val="0"/>
          <w:sz w:val="32"/>
          <w:szCs w:val="32"/>
        </w:rPr>
        <w:t>四、积极倡导绿色生活方式</w:t>
      </w:r>
      <w:bookmarkEnd w:id="221"/>
      <w:bookmarkEnd w:id="222"/>
      <w:bookmarkEnd w:id="223"/>
      <w:bookmarkEnd w:id="224"/>
      <w:bookmarkEnd w:id="225"/>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一</w:t>
      </w:r>
      <w:r>
        <w:rPr>
          <w:b/>
          <w:bCs/>
          <w:kern w:val="0"/>
          <w:sz w:val="28"/>
          <w:lang w:eastAsia="zh-Hans"/>
        </w:rPr>
        <w:t>）加大绿色采购力度</w:t>
      </w:r>
    </w:p>
    <w:p>
      <w:pPr>
        <w:ind w:firstLine="480"/>
        <w:rPr>
          <w:shd w:val="clear" w:color="auto" w:fill="FFFFFF"/>
        </w:rPr>
      </w:pPr>
      <w:r>
        <w:t>研究其他发达城市推行绿色政府采购制度的先进经验，结合滕州市所处发展阶段、主要任务和发展目标，完善绿色政府采购制度，助力供给侧结构性改革，服务现代化经济体系建设。加强对采购活动开展情况的监督检查，逐步建立相关工作的考核机制与追责机制。定期公布包括能效标识产品、节能节水认证产品、环境标志产品和无公害标志食品等绿色标识产品目录，引导公众优先采购绿色标识产品。加大对共性关键绿色技术、节能和环境标志产品的采购力度，</w:t>
      </w:r>
      <w:r>
        <w:rPr>
          <w:rFonts w:hint="eastAsia"/>
        </w:rPr>
        <w:t>到2</w:t>
      </w:r>
      <w:r>
        <w:t>025</w:t>
      </w:r>
      <w:r>
        <w:rPr>
          <w:rFonts w:hint="eastAsia"/>
        </w:rPr>
        <w:t>年，</w:t>
      </w:r>
      <w:r>
        <w:t>政府采购中节能环保产品占同类产品比重保持在86%以上</w:t>
      </w:r>
      <w:r>
        <w:rPr>
          <w:shd w:val="clear" w:color="auto" w:fill="FFFFFF"/>
        </w:rPr>
        <w:t>。</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二</w:t>
      </w:r>
      <w:r>
        <w:rPr>
          <w:b/>
          <w:bCs/>
          <w:kern w:val="0"/>
          <w:sz w:val="28"/>
          <w:lang w:eastAsia="zh-Hans"/>
        </w:rPr>
        <w:t>）全面推行绿色办公</w:t>
      </w:r>
    </w:p>
    <w:p>
      <w:pPr>
        <w:ind w:firstLine="480"/>
        <w:rPr>
          <w:shd w:val="clear" w:color="auto" w:fill="FFFFFF"/>
        </w:rPr>
      </w:pPr>
      <w:r>
        <w:t>提倡日常办公方式</w:t>
      </w:r>
      <w:r>
        <w:rPr>
          <w:rFonts w:asciiTheme="minorEastAsia" w:hAnsiTheme="minorEastAsia" w:eastAsiaTheme="minorEastAsia"/>
        </w:rPr>
        <w:t>“</w:t>
      </w:r>
      <w:r>
        <w:t>绿色化</w:t>
      </w:r>
      <w:r>
        <w:rPr>
          <w:rFonts w:asciiTheme="minorEastAsia" w:hAnsiTheme="minorEastAsia" w:eastAsiaTheme="minorEastAsia"/>
        </w:rPr>
        <w:t>”</w:t>
      </w:r>
      <w:r>
        <w:t>。提倡白天尽量自然采光，鼓励使用节电型照明产品，减少普通白炽灯的使用比例，逐步淘汰高压汞灯。不使用的电子设备要关闭电源，不设置待机或休眠等带电状态。全区公共建筑严格执行夏季空调和冬季取暖室内温度最低和最高标准，在全社会倡导夏季室内空调温度设置不低于26摄氏度，冬季不高于20摄氏度。开展办公耗材的回收利用，减少一次性办公耗材用量，进一步推行</w:t>
      </w:r>
      <w:r>
        <w:rPr>
          <w:rFonts w:asciiTheme="minorEastAsia" w:hAnsiTheme="minorEastAsia" w:eastAsiaTheme="minorEastAsia"/>
        </w:rPr>
        <w:t>“</w:t>
      </w:r>
      <w:r>
        <w:t>无纸化办公</w:t>
      </w:r>
      <w:r>
        <w:rPr>
          <w:rFonts w:asciiTheme="minorEastAsia" w:hAnsiTheme="minorEastAsia" w:eastAsiaTheme="minorEastAsia"/>
        </w:rPr>
        <w:t>”</w:t>
      </w:r>
      <w:r>
        <w:t>、视频会议等电子政务，提倡节约使用、重复利用纸张、文具等办公用品。尽量减少一次性纸杯、烘手机、电梯、饮水机的使用，营造节能办公环境</w:t>
      </w:r>
      <w:r>
        <w:rPr>
          <w:shd w:val="clear" w:color="auto" w:fill="FFFFFF"/>
        </w:rPr>
        <w:t>。</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三</w:t>
      </w:r>
      <w:r>
        <w:rPr>
          <w:b/>
          <w:bCs/>
          <w:kern w:val="0"/>
          <w:sz w:val="28"/>
          <w:lang w:eastAsia="zh-Hans"/>
        </w:rPr>
        <w:t>）引导公众形成绿色生活习惯</w:t>
      </w:r>
    </w:p>
    <w:p>
      <w:pPr>
        <w:ind w:firstLine="480"/>
        <w:rPr>
          <w:shd w:val="clear" w:color="auto" w:fill="FFFFFF"/>
        </w:rPr>
      </w:pPr>
      <w:r>
        <w:t>积极引导机关、企业及广大群众从生活的点滴做起，争做低碳环保生活的倡导者和践行者。推进</w:t>
      </w:r>
      <w:r>
        <w:rPr>
          <w:rFonts w:asciiTheme="minorEastAsia" w:hAnsiTheme="minorEastAsia" w:eastAsiaTheme="minorEastAsia"/>
        </w:rPr>
        <w:t>“</w:t>
      </w:r>
      <w:r>
        <w:t>文明餐桌行动</w:t>
      </w:r>
      <w:r>
        <w:rPr>
          <w:rFonts w:asciiTheme="minorEastAsia" w:hAnsiTheme="minorEastAsia" w:eastAsiaTheme="minorEastAsia"/>
        </w:rPr>
        <w:t>”</w:t>
      </w:r>
      <w:r>
        <w:t>，倡导健康文明节俭的餐饮消费方式，使公众自觉践行</w:t>
      </w:r>
      <w:r>
        <w:rPr>
          <w:rFonts w:asciiTheme="minorEastAsia" w:hAnsiTheme="minorEastAsia" w:eastAsiaTheme="minorEastAsia"/>
        </w:rPr>
        <w:t>“</w:t>
      </w:r>
      <w:r>
        <w:t>光盘行动</w:t>
      </w:r>
      <w:r>
        <w:rPr>
          <w:rFonts w:asciiTheme="minorEastAsia" w:hAnsiTheme="minorEastAsia" w:eastAsiaTheme="minorEastAsia"/>
        </w:rPr>
        <w:t>”</w:t>
      </w:r>
      <w:r>
        <w:t>。鼓励餐饮行业减少一次性餐具使用，更多提供可降解打包盒。提倡低碳着装，拒绝购买使用珍稀野生动物皮毛制成的服装、物品。积极倡导群众使用节能节水器具，养成节能节水的生活习惯，减少洗涤剂和一次性产品的使用。围绕普及垃圾分类知识、树立低碳环保理念，通过</w:t>
      </w:r>
      <w:r>
        <w:rPr>
          <w:rFonts w:asciiTheme="minorEastAsia" w:hAnsiTheme="minorEastAsia" w:eastAsiaTheme="minorEastAsia"/>
        </w:rPr>
        <w:t>“</w:t>
      </w:r>
      <w:r>
        <w:t>积分兑换</w:t>
      </w:r>
      <w:r>
        <w:rPr>
          <w:rFonts w:asciiTheme="minorEastAsia" w:hAnsiTheme="minorEastAsia" w:eastAsiaTheme="minorEastAsia"/>
        </w:rPr>
        <w:t>”“</w:t>
      </w:r>
      <w:r>
        <w:t>绿色账户</w:t>
      </w:r>
      <w:r>
        <w:rPr>
          <w:rFonts w:asciiTheme="minorEastAsia" w:hAnsiTheme="minorEastAsia" w:eastAsiaTheme="minorEastAsia"/>
        </w:rPr>
        <w:t>”</w:t>
      </w:r>
      <w:r>
        <w:t>，精神文明建设评比、荣誉奖励等激励形式建立激励引导机制，引导公众养成生活垃圾分类习惯</w:t>
      </w:r>
      <w:r>
        <w:rPr>
          <w:shd w:val="clear" w:color="auto" w:fill="FFFFFF"/>
        </w:rPr>
        <w:t>。</w:t>
      </w:r>
    </w:p>
    <w:p>
      <w:pPr>
        <w:widowControl/>
        <w:ind w:firstLine="562"/>
        <w:jc w:val="left"/>
        <w:outlineLvl w:val="2"/>
        <w:rPr>
          <w:b/>
          <w:bCs/>
          <w:kern w:val="0"/>
          <w:sz w:val="28"/>
          <w:lang w:eastAsia="zh-Hans"/>
        </w:rPr>
      </w:pPr>
      <w:r>
        <w:rPr>
          <w:b/>
          <w:bCs/>
          <w:kern w:val="0"/>
          <w:sz w:val="28"/>
          <w:lang w:eastAsia="zh-Hans"/>
        </w:rPr>
        <w:t>（</w:t>
      </w:r>
      <w:r>
        <w:rPr>
          <w:rFonts w:hint="eastAsia"/>
          <w:b/>
          <w:bCs/>
          <w:kern w:val="0"/>
          <w:sz w:val="28"/>
          <w:lang w:eastAsia="zh-Hans"/>
        </w:rPr>
        <w:t>四</w:t>
      </w:r>
      <w:r>
        <w:rPr>
          <w:b/>
          <w:bCs/>
          <w:kern w:val="0"/>
          <w:sz w:val="28"/>
          <w:lang w:eastAsia="zh-Hans"/>
        </w:rPr>
        <w:t>）积极倡导绿色殡葬</w:t>
      </w:r>
    </w:p>
    <w:p>
      <w:pPr>
        <w:ind w:firstLine="480"/>
      </w:pPr>
      <w:r>
        <w:t>积极鼓励不占地、少占地的骨灰处理方式，推进殡葬基础设施和殡仪服务中心项目建设。加强宣传，大力弘扬移风易俗、厚养薄葬的先进殡葬理念，积极营造文明节俭办丧的良好氛围，引导公众选择海葬、树葬、花坛葬、可降解骨灰盒葬、壁葬等生态葬方式，逐步提高生态葬奖补标准。</w:t>
      </w:r>
    </w:p>
    <w:p>
      <w:pPr>
        <w:pStyle w:val="2"/>
        <w:ind w:left="480" w:firstLine="480"/>
      </w:pPr>
    </w:p>
    <w:p>
      <w:pPr>
        <w:ind w:firstLine="480"/>
        <w:rPr>
          <w:shd w:val="clear" w:color="auto" w:fill="FFFFFF"/>
        </w:rPr>
      </w:pPr>
    </w:p>
    <w:p>
      <w:pPr>
        <w:autoSpaceDE w:val="0"/>
        <w:autoSpaceDN w:val="0"/>
        <w:adjustRightInd w:val="0"/>
        <w:ind w:firstLine="560"/>
        <w:rPr>
          <w:sz w:val="28"/>
          <w:szCs w:val="28"/>
        </w:rPr>
        <w:sectPr>
          <w:pgSz w:w="11906" w:h="16838"/>
          <w:pgMar w:top="1440" w:right="1797" w:bottom="1440" w:left="1797" w:header="851" w:footer="992" w:gutter="0"/>
          <w:cols w:space="720" w:num="1"/>
          <w:docGrid w:type="lines" w:linePitch="326" w:charSpace="0"/>
        </w:sectPr>
      </w:pPr>
    </w:p>
    <w:p>
      <w:pPr>
        <w:keepNext/>
        <w:keepLines/>
        <w:spacing w:before="326" w:beforeLines="100" w:after="326" w:afterLines="100"/>
        <w:ind w:firstLine="0" w:firstLineChars="0"/>
        <w:jc w:val="center"/>
        <w:outlineLvl w:val="0"/>
        <w:rPr>
          <w:rFonts w:eastAsia="黑体"/>
          <w:b/>
          <w:kern w:val="0"/>
          <w:sz w:val="36"/>
          <w:szCs w:val="36"/>
        </w:rPr>
      </w:pPr>
      <w:bookmarkStart w:id="226" w:name="_Toc20806"/>
      <w:bookmarkStart w:id="227" w:name="_Toc7186"/>
      <w:r>
        <w:rPr>
          <w:rFonts w:eastAsia="黑体"/>
          <w:b/>
          <w:kern w:val="0"/>
          <w:sz w:val="36"/>
          <w:szCs w:val="36"/>
        </w:rPr>
        <w:t xml:space="preserve">第八章 </w:t>
      </w:r>
      <w:bookmarkStart w:id="228" w:name="_Toc104208693"/>
      <w:r>
        <w:rPr>
          <w:rFonts w:eastAsia="黑体"/>
          <w:b/>
          <w:kern w:val="0"/>
          <w:sz w:val="36"/>
          <w:szCs w:val="36"/>
        </w:rPr>
        <w:t>培育和谐文明的生态文化体系</w:t>
      </w:r>
      <w:bookmarkEnd w:id="226"/>
      <w:bookmarkEnd w:id="227"/>
      <w:bookmarkEnd w:id="228"/>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29" w:name="_Toc11973"/>
      <w:bookmarkStart w:id="230" w:name="_Toc139894384"/>
      <w:bookmarkStart w:id="231" w:name="_Toc30604"/>
      <w:bookmarkStart w:id="232" w:name="_Toc139894300"/>
      <w:bookmarkStart w:id="233" w:name="_Toc139894256"/>
      <w:r>
        <w:rPr>
          <w:rFonts w:eastAsia="黑体"/>
          <w:bCs/>
          <w:snapToGrid w:val="0"/>
          <w:kern w:val="0"/>
          <w:sz w:val="32"/>
          <w:szCs w:val="32"/>
        </w:rPr>
        <w:t>一、打造特色生态文化载体</w:t>
      </w:r>
      <w:bookmarkEnd w:id="229"/>
      <w:bookmarkEnd w:id="230"/>
      <w:bookmarkEnd w:id="231"/>
      <w:bookmarkEnd w:id="232"/>
      <w:bookmarkEnd w:id="233"/>
    </w:p>
    <w:p>
      <w:pPr>
        <w:pStyle w:val="147"/>
        <w:snapToGrid/>
        <w:spacing w:line="360" w:lineRule="auto"/>
        <w:ind w:firstLine="0" w:firstLineChars="0"/>
        <w:rPr>
          <w:rFonts w:ascii="Times New Roman" w:hAnsi="Times New Roman" w:eastAsia="宋体" w:cs="Times New Roman"/>
          <w:color w:val="auto"/>
          <w:kern w:val="0"/>
          <w:sz w:val="28"/>
        </w:rPr>
      </w:pPr>
      <w:bookmarkStart w:id="234" w:name="_Toc80647543"/>
      <w:r>
        <w:rPr>
          <w:rFonts w:ascii="Times New Roman" w:hAnsi="Times New Roman" w:eastAsia="宋体" w:cs="Times New Roman"/>
          <w:color w:val="auto"/>
          <w:kern w:val="0"/>
          <w:sz w:val="28"/>
        </w:rPr>
        <w:t>（一）加强历史文化遗产保护</w:t>
      </w:r>
    </w:p>
    <w:p>
      <w:pPr>
        <w:ind w:firstLine="480"/>
        <w:rPr>
          <w:szCs w:val="22"/>
        </w:rPr>
      </w:pPr>
      <w:r>
        <w:t>大力弘扬墨子创新精神、鲁班工匠精神，提升</w:t>
      </w:r>
      <w:r>
        <w:rPr>
          <w:rFonts w:asciiTheme="minorEastAsia" w:hAnsiTheme="minorEastAsia" w:eastAsiaTheme="minorEastAsia"/>
        </w:rPr>
        <w:t>“</w:t>
      </w:r>
      <w:r>
        <w:t>一塔六馆</w:t>
      </w:r>
      <w:r>
        <w:rPr>
          <w:rFonts w:asciiTheme="minorEastAsia" w:hAnsiTheme="minorEastAsia" w:eastAsiaTheme="minorEastAsia"/>
        </w:rPr>
        <w:t>”</w:t>
      </w:r>
      <w:r>
        <w:t>历史文化展现力，做好</w:t>
      </w:r>
      <w:r>
        <w:rPr>
          <w:rFonts w:asciiTheme="minorEastAsia" w:hAnsiTheme="minorEastAsia" w:eastAsiaTheme="minorEastAsia"/>
        </w:rPr>
        <w:t>“</w:t>
      </w:r>
      <w:r>
        <w:t>北辛遗址</w:t>
      </w:r>
      <w:r>
        <w:rPr>
          <w:rFonts w:asciiTheme="minorEastAsia" w:hAnsiTheme="minorEastAsia" w:eastAsiaTheme="minorEastAsia"/>
        </w:rPr>
        <w:t>”“</w:t>
      </w:r>
      <w:r>
        <w:t>岗上遗址</w:t>
      </w:r>
      <w:r>
        <w:rPr>
          <w:rFonts w:asciiTheme="minorEastAsia" w:hAnsiTheme="minorEastAsia" w:eastAsiaTheme="minorEastAsia"/>
        </w:rPr>
        <w:t>”“</w:t>
      </w:r>
      <w:r>
        <w:t>滕国故城</w:t>
      </w:r>
      <w:r>
        <w:rPr>
          <w:rFonts w:asciiTheme="minorEastAsia" w:hAnsiTheme="minorEastAsia" w:eastAsiaTheme="minorEastAsia"/>
        </w:rPr>
        <w:t>”“</w:t>
      </w:r>
      <w:r>
        <w:t>薛国故城</w:t>
      </w:r>
      <w:r>
        <w:rPr>
          <w:rFonts w:asciiTheme="minorEastAsia" w:hAnsiTheme="minorEastAsia" w:eastAsiaTheme="minorEastAsia"/>
        </w:rPr>
        <w:t>”</w:t>
      </w:r>
      <w:r>
        <w:t>发掘和保护工作，推动非物质文化遗产传承创新，提升优秀传统文化影响力。建立一批非遗特色村居，如王楼木版年画村、河崖柳编村、前辛章草编村等，鼓励村民都来学习、生产，结合美丽乡村建设，在乡村美化中加入非遗元素，发展村居特设非遗产业、特色旅游业，通过非遗文化产业带动村民致富脱贫。将滕州市非遗项目录入数字化信息库，建设网上非遗，开设快手、抖音账户，把非遗项目资料与举办的活动进行同步直播，加大传承范围，并和滕州融媒体中心合作，继续推出优秀传承人和非遗项目进行多元宣传报道。</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（二）加快传统文化产业转型升级</w:t>
      </w:r>
    </w:p>
    <w:p>
      <w:pPr>
        <w:ind w:firstLine="480"/>
        <w:rPr>
          <w:bCs/>
          <w:kern w:val="0"/>
          <w:szCs w:val="28"/>
        </w:rPr>
      </w:pPr>
      <w:r>
        <w:t>实施文化产业培育工程，争创国家、省文化示范园区，培育壮大红鹦鹉公司、九伍传媒、鲁班天工木艺、智业集团、巧林榫卯积木等龙头骨干文化企业，做大做强墨子鲁班文创产品及木制品智能制造、盛凯文玺文创产业园、红鹦鹉直播电商基地等文化产业项目，持续开展文化惠民消费季，办好红荷节、墨子鲁班文化节、滕州书展、温泉文化旅游节等品牌节会，深入扩大文化消费，争创省级文化消费示范市。发挥文化馆、博物馆、美术馆和汉画像石馆等文化场馆的馆藏优势，利用现有的滕州独特文化元素，积极与旅游产品开发公司合作，研发一批文化旅游创意产品，搞好市场营销，促进文化创意产业发展</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（三）完善生态文化基础设施</w:t>
      </w:r>
    </w:p>
    <w:p>
      <w:pPr>
        <w:ind w:firstLine="480"/>
        <w:rPr>
          <w:bCs/>
          <w:kern w:val="0"/>
          <w:szCs w:val="28"/>
        </w:rPr>
      </w:pPr>
      <w:r>
        <w:t>加快建设市公共服务设施综合馆配套设施，全面打造柳琴戏传承体验示范广场。继续推进</w:t>
      </w:r>
      <w:r>
        <w:rPr>
          <w:rFonts w:asciiTheme="minorEastAsia" w:hAnsiTheme="minorEastAsia" w:eastAsiaTheme="minorEastAsia"/>
        </w:rPr>
        <w:t>“</w:t>
      </w:r>
      <w:r>
        <w:t>孔子学堂与农家书屋</w:t>
      </w:r>
      <w:r>
        <w:rPr>
          <w:rFonts w:asciiTheme="minorEastAsia" w:hAnsiTheme="minorEastAsia" w:eastAsiaTheme="minorEastAsia"/>
        </w:rPr>
        <w:t>”</w:t>
      </w:r>
      <w:r>
        <w:t>共建，实施农家书屋补充更新出版物工作，提升农家书屋服务效能，进一步丰富完善基层村居综合性文化服务中心内涵。深入实施文化馆、图书馆总分馆建设，加快实现各镇街文化馆、图书馆分馆、社区书吧全覆盖。加快墨子文化城建设，实施龙泉广场整体区域改造提升，打造多种文化元素融合发展的城市文化会客厅。挖掘镇村文化资源，统筹利用公共基础设施，建设别具特色、适度规模的乡村记忆馆，打造一批</w:t>
      </w:r>
      <w:r>
        <w:rPr>
          <w:rFonts w:asciiTheme="minorEastAsia" w:hAnsiTheme="minorEastAsia" w:eastAsiaTheme="minorEastAsia"/>
        </w:rPr>
        <w:t>“</w:t>
      </w:r>
      <w:r>
        <w:t>历史文化展示工程示范点</w:t>
      </w:r>
      <w:r>
        <w:rPr>
          <w:rFonts w:asciiTheme="minorEastAsia" w:hAnsiTheme="minorEastAsia" w:eastAsiaTheme="minorEastAsia"/>
        </w:rPr>
        <w:t>”</w:t>
      </w:r>
      <w: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35" w:name="_Toc21003"/>
      <w:bookmarkStart w:id="236" w:name="_Toc139894257"/>
      <w:bookmarkStart w:id="237" w:name="_Toc139894385"/>
      <w:bookmarkStart w:id="238" w:name="_Toc1398"/>
      <w:bookmarkStart w:id="239" w:name="_Toc139894301"/>
      <w:r>
        <w:rPr>
          <w:rFonts w:eastAsia="黑体"/>
          <w:bCs/>
          <w:snapToGrid w:val="0"/>
          <w:kern w:val="0"/>
          <w:sz w:val="32"/>
          <w:szCs w:val="32"/>
        </w:rPr>
        <w:t>二、推进生态文明宣传教育</w:t>
      </w:r>
      <w:bookmarkEnd w:id="235"/>
      <w:bookmarkEnd w:id="236"/>
      <w:bookmarkEnd w:id="237"/>
      <w:bookmarkEnd w:id="238"/>
      <w:bookmarkEnd w:id="239"/>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（一）开展多元化生态文明宣传教育</w:t>
      </w:r>
    </w:p>
    <w:p>
      <w:pPr>
        <w:ind w:firstLine="480"/>
        <w:rPr>
          <w:bCs/>
          <w:kern w:val="0"/>
          <w:szCs w:val="28"/>
        </w:rPr>
      </w:pPr>
      <w:r>
        <w:rPr>
          <w:lang w:bidi="ar"/>
        </w:rPr>
        <w:t>进一步加强与《滕州新闻》《滕州日报》《民生新闻》的合作，主动回应社会关注的热点问题，提升舆论引导，放大滕州生态环境建设工作的影响力。坚持主动曝光和正面宣传有机融合、一体推进，持续用好滕州主媒体主动曝光突出环境问题并做好整改进展报道，解决群众反映强烈的环境问题。创新和发挥各类新媒体的作用，巩固新媒体阵地，着力提升环保微博、微信公众号等新媒体传播平台影响力。利用现有展览馆、环保科普基地等设施，结合展览馆、社区宣传栏、公交站点宣传栏等方式，更多地开展以低碳生活、节能减排等为主题的参观学习活动。鼓励有条件的社区、学校、机关等设置</w:t>
      </w:r>
      <w:r>
        <w:rPr>
          <w:rFonts w:asciiTheme="minorEastAsia" w:hAnsiTheme="minorEastAsia" w:eastAsiaTheme="minorEastAsia"/>
          <w:lang w:bidi="ar"/>
        </w:rPr>
        <w:t>“</w:t>
      </w:r>
      <w:r>
        <w:rPr>
          <w:lang w:bidi="ar"/>
        </w:rPr>
        <w:t>环保展馆</w:t>
      </w:r>
      <w:r>
        <w:rPr>
          <w:rFonts w:asciiTheme="minorEastAsia" w:hAnsiTheme="minorEastAsia" w:eastAsiaTheme="minorEastAsia"/>
          <w:lang w:bidi="ar"/>
        </w:rPr>
        <w:t>”</w:t>
      </w:r>
      <w:r>
        <w:rPr>
          <w:lang w:bidi="ar"/>
        </w:rPr>
        <w:t>，不断拓展宣教方式和传播渠道，推动环境宣教工作向纵深发展</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（二）扩大党政机关生态文明宣传教育</w:t>
      </w:r>
    </w:p>
    <w:p>
      <w:pPr>
        <w:ind w:firstLine="480"/>
        <w:rPr>
          <w:bCs/>
          <w:kern w:val="0"/>
          <w:szCs w:val="28"/>
        </w:rPr>
      </w:pPr>
      <w:r>
        <w:rPr>
          <w:bCs/>
          <w:kern w:val="0"/>
          <w:szCs w:val="28"/>
        </w:rPr>
        <w:t>依托理论学习中心组、党校等学习载体，将生态文明教育内容纳入党校培训课程并逐步提升该项内容所占课程比重；创新培训模式，不断加大干部培训</w:t>
      </w:r>
      <w:r>
        <w:rPr>
          <w:rFonts w:asciiTheme="minorEastAsia" w:hAnsiTheme="minorEastAsia" w:eastAsiaTheme="minorEastAsia"/>
          <w:bCs/>
          <w:kern w:val="0"/>
          <w:szCs w:val="28"/>
        </w:rPr>
        <w:t>“</w:t>
      </w:r>
      <w:r>
        <w:rPr>
          <w:bCs/>
          <w:kern w:val="0"/>
          <w:szCs w:val="28"/>
        </w:rPr>
        <w:t>请进来，走出去</w:t>
      </w:r>
      <w:r>
        <w:rPr>
          <w:rFonts w:asciiTheme="minorEastAsia" w:hAnsiTheme="minorEastAsia" w:eastAsiaTheme="minorEastAsia"/>
          <w:bCs/>
          <w:kern w:val="0"/>
          <w:szCs w:val="28"/>
        </w:rPr>
        <w:t>”</w:t>
      </w:r>
      <w:r>
        <w:rPr>
          <w:bCs/>
          <w:kern w:val="0"/>
          <w:szCs w:val="28"/>
        </w:rPr>
        <w:t>的力度，积极开展</w:t>
      </w:r>
      <w:r>
        <w:rPr>
          <w:rFonts w:asciiTheme="minorEastAsia" w:hAnsiTheme="minorEastAsia" w:eastAsiaTheme="minorEastAsia"/>
          <w:bCs/>
          <w:kern w:val="0"/>
          <w:szCs w:val="28"/>
        </w:rPr>
        <w:t>“</w:t>
      </w:r>
      <w:r>
        <w:rPr>
          <w:bCs/>
          <w:kern w:val="0"/>
          <w:szCs w:val="28"/>
        </w:rPr>
        <w:t>机关学习日</w:t>
      </w:r>
      <w:r>
        <w:rPr>
          <w:rFonts w:asciiTheme="minorEastAsia" w:hAnsiTheme="minorEastAsia" w:eastAsiaTheme="minorEastAsia"/>
          <w:bCs/>
          <w:kern w:val="0"/>
          <w:szCs w:val="28"/>
        </w:rPr>
        <w:t>”</w:t>
      </w:r>
      <w:r>
        <w:rPr>
          <w:bCs/>
          <w:kern w:val="0"/>
          <w:szCs w:val="28"/>
        </w:rPr>
        <w:t>活动，加强对行政人员的生态文明培训；开展生态文明教育进党校、团校、干校等一系列活动，普及生态文明知识；加强对生态文明意识薄弱的领导干部的培训，通过现场教学，网络授课等多种形式的培训教育，逐步扩大生态文明教育覆盖范围，全面提升党员干部的生态文明素养，确保滕州市党政领导干部参加生态文明培训的人数比例始终保持100%。</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（三）推进校园生态文明宣传教育</w:t>
      </w:r>
    </w:p>
    <w:p>
      <w:pPr>
        <w:ind w:firstLine="480"/>
        <w:rPr>
          <w:bCs/>
          <w:kern w:val="0"/>
          <w:szCs w:val="28"/>
        </w:rPr>
      </w:pPr>
      <w:r>
        <w:rPr>
          <w:bCs/>
          <w:kern w:val="0"/>
          <w:szCs w:val="28"/>
        </w:rPr>
        <w:t>进一步突出环保教育在素质教育中的重要作用，精心组织开展环保教育，并将其纳入到学校教育教学工作总体规划。鼓励学校师生积极参加与生态文明有关的纪念活动，如</w:t>
      </w:r>
      <w:r>
        <w:rPr>
          <w:rFonts w:asciiTheme="minorEastAsia" w:hAnsiTheme="minorEastAsia" w:eastAsiaTheme="minorEastAsia"/>
          <w:bCs/>
          <w:kern w:val="0"/>
          <w:szCs w:val="28"/>
        </w:rPr>
        <w:t>“</w:t>
      </w:r>
      <w:r>
        <w:rPr>
          <w:bCs/>
          <w:kern w:val="0"/>
          <w:szCs w:val="28"/>
        </w:rPr>
        <w:t>6.5世界环境日</w:t>
      </w:r>
      <w:r>
        <w:rPr>
          <w:rFonts w:asciiTheme="minorEastAsia" w:hAnsiTheme="minorEastAsia" w:eastAsiaTheme="minorEastAsia"/>
          <w:bCs/>
          <w:kern w:val="0"/>
          <w:szCs w:val="28"/>
        </w:rPr>
        <w:t>”</w:t>
      </w:r>
      <w:r>
        <w:rPr>
          <w:bCs/>
          <w:kern w:val="0"/>
          <w:szCs w:val="28"/>
        </w:rPr>
        <w:t>，同时改善校园生态环境质量，将生态文明渗透到学生的学习和生活。建立广泛联系社区、企业及环保、水利、林业、科协等部门的工作机制，为中小学生搭建参与实践体验的广阔平台，共享环保教育资源，丰富环保教育的内容和手段。继续开展</w:t>
      </w:r>
      <w:r>
        <w:rPr>
          <w:rFonts w:asciiTheme="minorEastAsia" w:hAnsiTheme="minorEastAsia" w:eastAsiaTheme="minorEastAsia"/>
          <w:bCs/>
          <w:kern w:val="0"/>
          <w:szCs w:val="28"/>
        </w:rPr>
        <w:t>“</w:t>
      </w:r>
      <w:r>
        <w:rPr>
          <w:bCs/>
          <w:kern w:val="0"/>
          <w:szCs w:val="28"/>
        </w:rPr>
        <w:t>环保小卫士</w:t>
      </w:r>
      <w:r>
        <w:rPr>
          <w:rFonts w:asciiTheme="minorEastAsia" w:hAnsiTheme="minorEastAsia" w:eastAsiaTheme="minorEastAsia"/>
          <w:bCs/>
          <w:kern w:val="0"/>
          <w:szCs w:val="28"/>
        </w:rPr>
        <w:t>”</w:t>
      </w:r>
      <w:r>
        <w:rPr>
          <w:bCs/>
          <w:kern w:val="0"/>
          <w:szCs w:val="28"/>
        </w:rPr>
        <w:t>评选表彰活动，开展好绿色学校、环保教育示范学校、垃圾分类示范学校的创建评选活动，营造浓厚的学校环保教育氛围。</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（四）加强企业生态文明宣传教育</w:t>
      </w:r>
    </w:p>
    <w:p>
      <w:pPr>
        <w:ind w:firstLine="480"/>
        <w:rPr>
          <w:bCs/>
          <w:kern w:val="0"/>
          <w:szCs w:val="28"/>
        </w:rPr>
      </w:pPr>
      <w:r>
        <w:rPr>
          <w:bCs/>
          <w:kern w:val="0"/>
          <w:szCs w:val="28"/>
        </w:rPr>
        <w:t>强化企业生态文明建设的社会责任，重视企业文化建设中的生态文明理念培训。定期组织企业领导和员工参加循环经济、低碳环保等生态文明知识培训。强化企业环境主体责任意识，排污企业应依法向社会公开污染物排放相关信息、环境年报和企业社会责任报告。鼓励排污企业在确保安全的前提下，通过设立企业环保设施开放日、开设环保课堂等形式，参与生态文明宣传教育，向公众提供生态文明宣传教育服务。</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（五）加强社区生态文明宣传教育</w:t>
      </w:r>
    </w:p>
    <w:p>
      <w:pPr>
        <w:ind w:firstLine="480"/>
        <w:rPr>
          <w:bCs/>
          <w:kern w:val="0"/>
          <w:szCs w:val="28"/>
        </w:rPr>
      </w:pPr>
      <w:r>
        <w:rPr>
          <w:lang w:bidi="ar"/>
        </w:rPr>
        <w:t>构建推进滕州市生态文明建设全民行动体系，全面提升公民的道德素质、文明意识。制定相应的文明社区、绿色社区创建规划，邀请社区居民对文明社区创建建言献策。采用发放环保手册、开辟报纸专栏、举办社区生态文化展览、环保知识讲座和主题宣传活动等多种形式，强化社区生态文明教育。向居民派发节水小用具、节能节水小窍门手册、环保手袋等，增强社区居民生态文明建设参与能力</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（六）加强农村生态文明宣传教育</w:t>
      </w:r>
    </w:p>
    <w:p>
      <w:pPr>
        <w:ind w:firstLine="480"/>
        <w:rPr>
          <w:bCs/>
          <w:kern w:val="0"/>
          <w:szCs w:val="28"/>
        </w:rPr>
      </w:pPr>
      <w:r>
        <w:rPr>
          <w:lang w:bidi="ar"/>
        </w:rPr>
        <w:t>推动乡村生态文明宣传教育融入组织生活、融入群众生活、融入村规民约。在村委会建立生态文明宣教室，定期组织党员干部、群众代表集中学习生态文明理论知识与实践经验。同时，调动村民代表参与乡村生态文化宣传教育的积极性，发挥</w:t>
      </w:r>
      <w:r>
        <w:rPr>
          <w:rFonts w:asciiTheme="minorEastAsia" w:hAnsiTheme="minorEastAsia" w:eastAsiaTheme="minorEastAsia"/>
          <w:lang w:bidi="ar"/>
        </w:rPr>
        <w:t>“</w:t>
      </w:r>
      <w:r>
        <w:rPr>
          <w:lang w:bidi="ar"/>
        </w:rPr>
        <w:t>村民选我当代表、我当代表为村民</w:t>
      </w:r>
      <w:r>
        <w:rPr>
          <w:rFonts w:asciiTheme="minorEastAsia" w:hAnsiTheme="minorEastAsia" w:eastAsiaTheme="minorEastAsia"/>
          <w:lang w:bidi="ar"/>
        </w:rPr>
        <w:t>”</w:t>
      </w:r>
      <w:r>
        <w:rPr>
          <w:lang w:bidi="ar"/>
        </w:rPr>
        <w:t>的群众基础优势，为探索符合村庄发展实际的生态文明宣传教育模式积极建言献策。通过将生态文明宣传教育与</w:t>
      </w:r>
      <w:r>
        <w:rPr>
          <w:rFonts w:asciiTheme="minorEastAsia" w:hAnsiTheme="minorEastAsia" w:eastAsiaTheme="minorEastAsia"/>
          <w:lang w:bidi="ar"/>
        </w:rPr>
        <w:t>“</w:t>
      </w:r>
      <w:r>
        <w:rPr>
          <w:lang w:bidi="ar"/>
        </w:rPr>
        <w:t>送文化下乡</w:t>
      </w:r>
      <w:r>
        <w:rPr>
          <w:rFonts w:asciiTheme="minorEastAsia" w:hAnsiTheme="minorEastAsia" w:eastAsiaTheme="minorEastAsia"/>
          <w:lang w:bidi="ar"/>
        </w:rPr>
        <w:t>”“</w:t>
      </w:r>
      <w:r>
        <w:rPr>
          <w:lang w:bidi="ar"/>
        </w:rPr>
        <w:t>乡村大舞台</w:t>
      </w:r>
      <w:r>
        <w:rPr>
          <w:rFonts w:asciiTheme="minorEastAsia" w:hAnsiTheme="minorEastAsia" w:eastAsiaTheme="minorEastAsia"/>
          <w:lang w:bidi="ar"/>
        </w:rPr>
        <w:t>”</w:t>
      </w:r>
      <w:r>
        <w:rPr>
          <w:lang w:bidi="ar"/>
        </w:rPr>
        <w:t>等活动相结合，搭建多元融合的文化服务平台。将</w:t>
      </w:r>
      <w:r>
        <w:rPr>
          <w:rFonts w:asciiTheme="minorEastAsia" w:hAnsiTheme="minorEastAsia" w:eastAsiaTheme="minorEastAsia"/>
          <w:lang w:bidi="ar"/>
        </w:rPr>
        <w:t>“</w:t>
      </w:r>
      <w:r>
        <w:rPr>
          <w:lang w:bidi="ar"/>
        </w:rPr>
        <w:t>低碳行、循环用、保青山、护绿水、分垃圾、全纳管、重环保、严治污、禁农药、减施肥、控焚烧、禁燃放、停猎捕、圈养物</w:t>
      </w:r>
      <w:r>
        <w:rPr>
          <w:rFonts w:asciiTheme="minorEastAsia" w:hAnsiTheme="minorEastAsia" w:eastAsiaTheme="minorEastAsia"/>
          <w:lang w:bidi="ar"/>
        </w:rPr>
        <w:t>”</w:t>
      </w:r>
      <w:r>
        <w:rPr>
          <w:lang w:bidi="ar"/>
        </w:rPr>
        <w:t>等生态文明理念规范纳入村规民约，言简意赅，易于传播的同时，也有助于广大村民深植大脑，自觉遵守</w:t>
      </w:r>
      <w:r>
        <w:rPr>
          <w:bCs/>
          <w:kern w:val="0"/>
          <w:szCs w:val="28"/>
        </w:rPr>
        <w:t>。</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40" w:name="_Toc8007"/>
      <w:bookmarkStart w:id="241" w:name="_Toc18164"/>
      <w:bookmarkStart w:id="242" w:name="_Toc139894302"/>
      <w:bookmarkStart w:id="243" w:name="_Toc139894258"/>
      <w:bookmarkStart w:id="244" w:name="_Toc139894386"/>
      <w:r>
        <w:rPr>
          <w:rFonts w:eastAsia="黑体"/>
          <w:bCs/>
          <w:snapToGrid w:val="0"/>
          <w:kern w:val="0"/>
          <w:sz w:val="32"/>
          <w:szCs w:val="32"/>
        </w:rPr>
        <w:t>三、</w:t>
      </w:r>
      <w:bookmarkStart w:id="245" w:name="_Toc99032894"/>
      <w:r>
        <w:rPr>
          <w:rFonts w:eastAsia="黑体"/>
          <w:bCs/>
          <w:snapToGrid w:val="0"/>
          <w:kern w:val="0"/>
          <w:sz w:val="32"/>
          <w:szCs w:val="32"/>
        </w:rPr>
        <w:t>推动生态文明共建共享</w:t>
      </w:r>
      <w:bookmarkEnd w:id="240"/>
      <w:bookmarkEnd w:id="241"/>
      <w:bookmarkEnd w:id="242"/>
      <w:bookmarkEnd w:id="243"/>
      <w:bookmarkEnd w:id="244"/>
      <w:bookmarkEnd w:id="245"/>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（一）强化环境信息公开</w:t>
      </w:r>
    </w:p>
    <w:p>
      <w:pPr>
        <w:ind w:firstLine="480"/>
        <w:rPr>
          <w:bCs/>
          <w:kern w:val="0"/>
          <w:szCs w:val="28"/>
        </w:rPr>
      </w:pPr>
      <w:r>
        <w:rPr>
          <w:lang w:bidi="ar"/>
        </w:rPr>
        <w:t>依法扩大政府环境信息主动公开的范围，规范和畅通信息公开的渠道，保障公众的知情权、参与权和监督权。完善环境保护信息网站，设置专门的污染源环境监管信息公开栏。积极推进优化环保新闻发布工作，健全环境新闻发言人制度，主动回应社会关注的热点问题。逐月公布人民群众和新闻媒体反映的环境案件处理情况，及时准确披露各类环境信息，扩大公开范围，保障公众知情权，维护公众环境权益。通过公开听证、网络征集等形式，充分听取公众对重大决策和建设项目的意见。</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（二）营造全社会参与氛围</w:t>
      </w:r>
    </w:p>
    <w:p>
      <w:pPr>
        <w:ind w:firstLine="480"/>
        <w:rPr>
          <w:bCs/>
          <w:kern w:val="0"/>
          <w:szCs w:val="28"/>
        </w:rPr>
      </w:pPr>
      <w:r>
        <w:rPr>
          <w:lang w:bidi="ar"/>
        </w:rPr>
        <w:t>做好</w:t>
      </w:r>
      <w:r>
        <w:rPr>
          <w:rFonts w:asciiTheme="minorEastAsia" w:hAnsiTheme="minorEastAsia" w:eastAsiaTheme="minorEastAsia"/>
          <w:lang w:bidi="ar"/>
        </w:rPr>
        <w:t>“</w:t>
      </w:r>
      <w:r>
        <w:rPr>
          <w:lang w:bidi="ar"/>
        </w:rPr>
        <w:t>六五环境日</w:t>
      </w:r>
      <w:r>
        <w:rPr>
          <w:rFonts w:asciiTheme="minorEastAsia" w:hAnsiTheme="minorEastAsia" w:eastAsiaTheme="minorEastAsia"/>
          <w:lang w:bidi="ar"/>
        </w:rPr>
        <w:t>”</w:t>
      </w:r>
      <w:r>
        <w:rPr>
          <w:lang w:bidi="ar"/>
        </w:rPr>
        <w:t>宣传工作，推出有声势、有影响、有特色的六五环境日系列宣传活动，出版一本刊物、拍摄一批短视频、举办一台文艺演出、打造一批样板工程、创新一批文创宣传产品，强化政府部门主导，充分调动环保系统内外参与生态环保的积极性，动员和支持企业、社区、学校、民间环保组织、环保志愿服务队伍、广大群众代表等广泛参与，积极营造全社会参与氛围。联合文联、妇联、团委、教育局、文广新局等部门，企业，各级媒体广泛开展各类活动，全面推动城乡居民生态文明理念的提升。同时让广大民众切身体会滕州市生态文明建设过程中所取得的成效和带来的切身好处，提升公众参与投身生态文明建设的热情和积极性，有效提升公众生态文明建设参与度和满意度</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（三）推动构建全民行动体系</w:t>
      </w:r>
    </w:p>
    <w:p>
      <w:pPr>
        <w:ind w:firstLine="480"/>
        <w:rPr>
          <w:bCs/>
          <w:kern w:val="0"/>
          <w:szCs w:val="28"/>
        </w:rPr>
      </w:pPr>
      <w:r>
        <w:rPr>
          <w:lang w:bidi="ar"/>
        </w:rPr>
        <w:t>积极打造滕州市社会环保志愿品牌，壮大环保志愿者队伍，持续加大政策、资金、人员、舆论等方面的支持，为环保志愿者参与环保公益事业提供更广阔的活动舞台和稳固保障，推动环保志愿服务开展更加规范有序。积极培养树立环保志愿者领头人，引导更多的群众参与环境保护的社会化行动；加强对志愿服务队伍的培育管理，进一步引导公众参与</w:t>
      </w:r>
      <w:r>
        <w:rPr>
          <w:rFonts w:asciiTheme="minorEastAsia" w:hAnsiTheme="minorEastAsia" w:eastAsiaTheme="minorEastAsia"/>
          <w:lang w:bidi="ar"/>
        </w:rPr>
        <w:t>“</w:t>
      </w:r>
      <w:r>
        <w:rPr>
          <w:lang w:bidi="ar"/>
        </w:rPr>
        <w:t>环境守护者</w:t>
      </w:r>
      <w:r>
        <w:rPr>
          <w:rFonts w:asciiTheme="minorEastAsia" w:hAnsiTheme="minorEastAsia" w:eastAsiaTheme="minorEastAsia"/>
          <w:lang w:bidi="ar"/>
        </w:rPr>
        <w:t>”</w:t>
      </w:r>
      <w:r>
        <w:rPr>
          <w:lang w:bidi="ar"/>
        </w:rPr>
        <w:t>等志愿服务活动。积极开展环保设施向公众开放活动，把环境教育课堂搬到现场的生动实践，提高全社会生态环保意识。进一步推动滕州市环保设施公众开放的制度化、规范化和长效化，不断凝聚共识，汇集力量，为打好污染防治攻坚战、持续改善生态环境质量营造更加良好的社会氛围</w:t>
      </w:r>
      <w:r>
        <w:rPr>
          <w:bCs/>
          <w:kern w:val="0"/>
          <w:szCs w:val="28"/>
        </w:rPr>
        <w:t>。</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（四）完善生态环境社会监督举报机制</w:t>
      </w:r>
    </w:p>
    <w:p>
      <w:pPr>
        <w:ind w:firstLine="480"/>
        <w:rPr>
          <w:bCs/>
          <w:kern w:val="0"/>
          <w:szCs w:val="28"/>
        </w:rPr>
      </w:pPr>
      <w:r>
        <w:rPr>
          <w:lang w:bidi="ar"/>
        </w:rPr>
        <w:t>健全举报制度，鼓励公民、法人和其他社会组织就生态环境问题进行举报。丰富生态环境公众监督形式，建立公众参与的环境后督察和后评估机制。建立环境公益诉讼制度，对污染环境、破坏生态的行为，有关组织可提起公益诉讼。完善环境信访制度，建立环境信访预警机制和隐患排查制度，完善信访查处制度和积案化解制度。同时，设立投诉举报信箱、领导信箱，完善24小时12369环保投诉举报电话，畅通群众举报投诉渠道，及时回应群众关切，有效提升公众满意度。生态环境宣教部门建立</w:t>
      </w:r>
      <w:r>
        <w:rPr>
          <w:rFonts w:asciiTheme="minorEastAsia" w:hAnsiTheme="minorEastAsia" w:eastAsiaTheme="minorEastAsia"/>
          <w:lang w:bidi="ar"/>
        </w:rPr>
        <w:t>“</w:t>
      </w:r>
      <w:r>
        <w:rPr>
          <w:lang w:bidi="ar"/>
        </w:rPr>
        <w:t>新闻发言人</w:t>
      </w:r>
      <w:r>
        <w:rPr>
          <w:rFonts w:asciiTheme="minorEastAsia" w:hAnsiTheme="minorEastAsia" w:eastAsiaTheme="minorEastAsia"/>
          <w:lang w:bidi="ar"/>
        </w:rPr>
        <w:t>”</w:t>
      </w:r>
      <w:r>
        <w:rPr>
          <w:lang w:bidi="ar"/>
        </w:rPr>
        <w:t>机制，并具备充分运用环保宣教渠道的能力。</w:t>
      </w:r>
    </w:p>
    <w:p>
      <w:pPr>
        <w:pStyle w:val="147"/>
        <w:snapToGrid/>
        <w:spacing w:line="360" w:lineRule="auto"/>
        <w:ind w:firstLine="0" w:firstLineChars="0"/>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（五）持续推进示范创建</w:t>
      </w:r>
    </w:p>
    <w:p>
      <w:pPr>
        <w:ind w:firstLine="480"/>
        <w:rPr>
          <w:bCs/>
          <w:kern w:val="0"/>
          <w:szCs w:val="28"/>
        </w:rPr>
      </w:pPr>
      <w:r>
        <w:rPr>
          <w:lang w:bidi="ar"/>
        </w:rPr>
        <w:t>积极打造绿色家庭、绿色学校、绿色企业、绿色商场、绿色社区等绿色生活示范和节约型机关、环保示范性企业、示范村等特色品牌。选择市内环保成效明显、管理规范有序、基础设施健全、教育功能突出的场所，积极开展全省生态文明教育实践基地申报和建设，在市内选择街道、学校、社区或休闲街区等场所，建设一批长期固定、群众获得感强并具辐射性的生态文化宣传示范点</w:t>
      </w:r>
      <w:r>
        <w:rPr>
          <w:bCs/>
          <w:kern w:val="0"/>
          <w:szCs w:val="28"/>
        </w:rPr>
        <w:t>。</w:t>
      </w:r>
    </w:p>
    <w:p>
      <w:pPr>
        <w:keepNext/>
        <w:keepLines/>
        <w:spacing w:before="326" w:beforeLines="100" w:after="326" w:afterLines="100"/>
        <w:ind w:firstLine="0" w:firstLineChars="0"/>
        <w:jc w:val="center"/>
        <w:outlineLvl w:val="0"/>
        <w:rPr>
          <w:rFonts w:eastAsia="黑体"/>
          <w:b/>
          <w:kern w:val="0"/>
          <w:sz w:val="36"/>
          <w:szCs w:val="36"/>
        </w:rPr>
      </w:pPr>
      <w:r>
        <w:rPr>
          <w:rFonts w:eastAsia="黑体"/>
          <w:b/>
          <w:kern w:val="0"/>
          <w:sz w:val="36"/>
          <w:szCs w:val="36"/>
        </w:rPr>
        <w:br w:type="page"/>
      </w:r>
      <w:bookmarkStart w:id="246" w:name="_Toc14459"/>
      <w:bookmarkStart w:id="247" w:name="_Toc30426"/>
      <w:r>
        <w:rPr>
          <w:rFonts w:eastAsia="黑体"/>
          <w:b/>
          <w:kern w:val="0"/>
          <w:sz w:val="36"/>
          <w:szCs w:val="36"/>
        </w:rPr>
        <w:t>第九章 重点工程</w:t>
      </w:r>
      <w:bookmarkEnd w:id="234"/>
      <w:r>
        <w:rPr>
          <w:rFonts w:eastAsia="黑体"/>
          <w:b/>
          <w:kern w:val="0"/>
          <w:sz w:val="36"/>
          <w:szCs w:val="36"/>
        </w:rPr>
        <w:t>与效益分析</w:t>
      </w:r>
      <w:bookmarkEnd w:id="246"/>
      <w:bookmarkEnd w:id="247"/>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48" w:name="_Toc59568979"/>
      <w:bookmarkStart w:id="249" w:name="_Toc80647544"/>
      <w:bookmarkStart w:id="250" w:name="_Toc17666"/>
      <w:bookmarkStart w:id="251" w:name="_Toc139894387"/>
      <w:bookmarkStart w:id="252" w:name="_Toc139894259"/>
      <w:bookmarkStart w:id="253" w:name="_Toc139894303"/>
      <w:bookmarkStart w:id="254" w:name="_Toc6866"/>
      <w:r>
        <w:rPr>
          <w:rFonts w:eastAsia="黑体"/>
          <w:bCs/>
          <w:snapToGrid w:val="0"/>
          <w:kern w:val="0"/>
          <w:sz w:val="32"/>
          <w:szCs w:val="32"/>
        </w:rPr>
        <w:t>一、工程</w:t>
      </w:r>
      <w:bookmarkEnd w:id="248"/>
      <w:bookmarkEnd w:id="249"/>
      <w:r>
        <w:rPr>
          <w:rFonts w:eastAsia="黑体"/>
          <w:bCs/>
          <w:snapToGrid w:val="0"/>
          <w:kern w:val="0"/>
          <w:sz w:val="32"/>
          <w:szCs w:val="32"/>
        </w:rPr>
        <w:t>内容与投资估算</w:t>
      </w:r>
      <w:bookmarkEnd w:id="250"/>
      <w:bookmarkEnd w:id="251"/>
      <w:bookmarkEnd w:id="252"/>
      <w:bookmarkEnd w:id="253"/>
      <w:bookmarkEnd w:id="254"/>
    </w:p>
    <w:p>
      <w:pPr>
        <w:ind w:firstLine="480"/>
        <w:rPr>
          <w:szCs w:val="28"/>
        </w:rPr>
      </w:pPr>
      <w:r>
        <w:rPr>
          <w:rFonts w:hint="eastAsia"/>
          <w:szCs w:val="28"/>
        </w:rPr>
        <w:t>围绕滕州市生态文明建设指标体系框架、规划目标和重点领域建设任务，结合滕州市“</w:t>
      </w:r>
      <w:r>
        <w:rPr>
          <w:rFonts w:hint="eastAsia"/>
          <w:szCs w:val="28"/>
          <w:lang w:eastAsia="zh-CN"/>
        </w:rPr>
        <w:t>“十四五”</w:t>
      </w:r>
      <w:r>
        <w:rPr>
          <w:rFonts w:hint="eastAsia"/>
          <w:szCs w:val="28"/>
        </w:rPr>
        <w:t>”时期规划实施的重大项目，分类提出滕州市生态文明建设的六大体系重点工程。</w:t>
      </w:r>
      <w:bookmarkStart w:id="255" w:name="_Hlk149143772"/>
      <w:r>
        <w:rPr>
          <w:rFonts w:hint="eastAsia"/>
          <w:szCs w:val="28"/>
        </w:rPr>
        <w:t>在202</w:t>
      </w:r>
      <w:r>
        <w:rPr>
          <w:szCs w:val="28"/>
        </w:rPr>
        <w:t>3</w:t>
      </w:r>
      <w:r>
        <w:rPr>
          <w:rFonts w:hint="eastAsia"/>
          <w:szCs w:val="28"/>
        </w:rPr>
        <w:t>-2030年规划期内，共实施生态文明建设重点工程项目</w:t>
      </w:r>
      <w:r>
        <w:rPr>
          <w:szCs w:val="28"/>
        </w:rPr>
        <w:t>54</w:t>
      </w:r>
      <w:r>
        <w:rPr>
          <w:rFonts w:hint="eastAsia"/>
          <w:szCs w:val="28"/>
        </w:rPr>
        <w:t>项，预计总投资</w:t>
      </w:r>
      <w:r>
        <w:rPr>
          <w:szCs w:val="28"/>
        </w:rPr>
        <w:t>144.77</w:t>
      </w:r>
      <w:r>
        <w:rPr>
          <w:rFonts w:hint="eastAsia"/>
          <w:szCs w:val="28"/>
        </w:rPr>
        <w:t>亿元，其中至规划近期截止年2025年完成</w:t>
      </w:r>
      <w:r>
        <w:rPr>
          <w:szCs w:val="28"/>
        </w:rPr>
        <w:t>3</w:t>
      </w:r>
      <w:r>
        <w:rPr>
          <w:rFonts w:hint="eastAsia"/>
          <w:szCs w:val="28"/>
        </w:rPr>
        <w:t>7项，至规划期截止年2030年完成其余</w:t>
      </w:r>
      <w:r>
        <w:rPr>
          <w:szCs w:val="28"/>
        </w:rPr>
        <w:t>17</w:t>
      </w:r>
      <w:r>
        <w:rPr>
          <w:rFonts w:hint="eastAsia"/>
          <w:szCs w:val="28"/>
        </w:rPr>
        <w:t>项。六大体系中生态经济体系、生态安全体系和生态生活体系建设项目数较多，分别为</w:t>
      </w:r>
      <w:r>
        <w:rPr>
          <w:szCs w:val="28"/>
        </w:rPr>
        <w:t>13</w:t>
      </w:r>
      <w:r>
        <w:rPr>
          <w:rFonts w:hint="eastAsia"/>
          <w:szCs w:val="28"/>
        </w:rPr>
        <w:t>项、1</w:t>
      </w:r>
      <w:r>
        <w:rPr>
          <w:szCs w:val="28"/>
        </w:rPr>
        <w:t>1</w:t>
      </w:r>
      <w:r>
        <w:rPr>
          <w:rFonts w:hint="eastAsia"/>
          <w:szCs w:val="28"/>
        </w:rPr>
        <w:t>项和</w:t>
      </w:r>
      <w:r>
        <w:rPr>
          <w:szCs w:val="28"/>
        </w:rPr>
        <w:t>10</w:t>
      </w:r>
      <w:r>
        <w:rPr>
          <w:rFonts w:hint="eastAsia"/>
          <w:szCs w:val="28"/>
        </w:rPr>
        <w:t>项，生态经济体系建设投资额较高，为</w:t>
      </w:r>
      <w:r>
        <w:rPr>
          <w:szCs w:val="28"/>
        </w:rPr>
        <w:t>67.56</w:t>
      </w:r>
      <w:r>
        <w:rPr>
          <w:rFonts w:hint="eastAsia"/>
          <w:szCs w:val="28"/>
        </w:rPr>
        <w:t>亿元</w:t>
      </w:r>
      <w:bookmarkEnd w:id="255"/>
      <w:r>
        <w:rPr>
          <w:szCs w:val="28"/>
        </w:rPr>
        <w:t>，详见附表。</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56" w:name="_Toc139894304"/>
      <w:bookmarkStart w:id="257" w:name="_Toc1082"/>
      <w:bookmarkStart w:id="258" w:name="_Toc80647546"/>
      <w:bookmarkStart w:id="259" w:name="_Toc139894260"/>
      <w:bookmarkStart w:id="260" w:name="_Toc25557"/>
      <w:bookmarkStart w:id="261" w:name="_Toc139894388"/>
      <w:r>
        <w:rPr>
          <w:rFonts w:eastAsia="黑体"/>
          <w:bCs/>
          <w:snapToGrid w:val="0"/>
          <w:kern w:val="0"/>
          <w:sz w:val="32"/>
          <w:szCs w:val="32"/>
        </w:rPr>
        <w:t>二、效益分析</w:t>
      </w:r>
      <w:bookmarkEnd w:id="256"/>
      <w:bookmarkEnd w:id="257"/>
      <w:bookmarkEnd w:id="258"/>
      <w:bookmarkEnd w:id="259"/>
      <w:bookmarkEnd w:id="260"/>
      <w:bookmarkEnd w:id="261"/>
    </w:p>
    <w:p>
      <w:pPr>
        <w:pStyle w:val="147"/>
        <w:snapToGrid/>
        <w:spacing w:line="360" w:lineRule="auto"/>
        <w:ind w:firstLine="562"/>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（一）生态环境效益分析</w:t>
      </w:r>
    </w:p>
    <w:p>
      <w:pPr>
        <w:ind w:firstLine="482"/>
      </w:pPr>
      <w:r>
        <w:rPr>
          <w:b/>
        </w:rPr>
        <w:t>有效改善城乡生态环境。</w:t>
      </w:r>
      <w:r>
        <w:t>通过整治滕州市大气、水、土壤及重点区域生态环境，完善城乡基础设施，加大农村环境综合整治，强化生态保护建设，形成绿色空间布局和绿色生产生活方式，资源与能源的利用效率明显提高，生态环境污染、生态系统退化问题进一步得到解决，区域内森林覆盖率得到提升，公园绿地面积相应增加，全市生态环境质量进一步提升，人居环境得到明显改善。届时滕州市天蓝、地绿、水清，城乡环境宜居、宜业、宜游。</w:t>
      </w:r>
    </w:p>
    <w:p>
      <w:pPr>
        <w:ind w:firstLine="482"/>
        <w:rPr>
          <w:szCs w:val="28"/>
        </w:rPr>
      </w:pPr>
      <w:r>
        <w:rPr>
          <w:b/>
          <w:bCs/>
        </w:rPr>
        <w:t>提升生态产品价值。</w:t>
      </w:r>
      <w:r>
        <w:t>通过整合生态资源，形成生态网络，构筑整体生态系统，促进森林资源、土地资源、水资源的持续发展，有利于提高滕州市水源涵养、水土保持、大气调节、调蓄洪水、维护生物多样性等生态系统服务功能的能力，有效提升生态产品价值</w:t>
      </w:r>
      <w:r>
        <w:rPr>
          <w:szCs w:val="28"/>
        </w:rPr>
        <w:t>。</w:t>
      </w:r>
    </w:p>
    <w:p>
      <w:pPr>
        <w:pStyle w:val="147"/>
        <w:snapToGrid/>
        <w:spacing w:line="360" w:lineRule="auto"/>
        <w:ind w:firstLine="562"/>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（二）经济效益分析</w:t>
      </w:r>
    </w:p>
    <w:p>
      <w:pPr>
        <w:ind w:firstLine="482"/>
      </w:pPr>
      <w:r>
        <w:rPr>
          <w:b/>
        </w:rPr>
        <w:t>经济发展质量显著提高。</w:t>
      </w:r>
      <w:r>
        <w:t>规划的实施通过优化和调整滕州市产业结构与产业布局，大力发展循环经济和生态经济，培育生态产业，补强三产短板，创造更多优质生态产品，全力推动产业生态化和生态产业化，推进绿色高质量发展，生态经济模式基本形成，三产结构趋于协调，经济组分之间的有序化程度提高，经济发展质量显著提高，经济效益显著。</w:t>
      </w:r>
    </w:p>
    <w:p>
      <w:pPr>
        <w:ind w:firstLine="482"/>
        <w:rPr>
          <w:szCs w:val="28"/>
        </w:rPr>
      </w:pPr>
      <w:r>
        <w:rPr>
          <w:b/>
        </w:rPr>
        <w:t>居民收入显著提高。</w:t>
      </w:r>
      <w:r>
        <w:t>规划的实施使滕州市优势特色的生态农业产业稳定发展，持续提升生态农业产业化水平，提高农业生产效率，增加农民收入。进一步推动全市产业深度融合发展，带动辐射一批生态农业、生态工业、生态旅游周边市场发展，增加就业机会，扩大居民收入的途径，从而增加当地居民的收入</w:t>
      </w:r>
      <w:r>
        <w:rPr>
          <w:szCs w:val="28"/>
        </w:rPr>
        <w:t>。</w:t>
      </w:r>
    </w:p>
    <w:p>
      <w:pPr>
        <w:pStyle w:val="147"/>
        <w:snapToGrid/>
        <w:spacing w:line="360" w:lineRule="auto"/>
        <w:ind w:firstLine="562"/>
        <w:rPr>
          <w:rFonts w:ascii="Times New Roman" w:hAnsi="Times New Roman" w:eastAsia="宋体" w:cs="Times New Roman"/>
          <w:color w:val="auto"/>
          <w:kern w:val="0"/>
          <w:sz w:val="28"/>
        </w:rPr>
      </w:pPr>
      <w:r>
        <w:rPr>
          <w:rFonts w:ascii="Times New Roman" w:hAnsi="Times New Roman" w:eastAsia="宋体" w:cs="Times New Roman"/>
          <w:color w:val="auto"/>
          <w:kern w:val="0"/>
          <w:sz w:val="28"/>
        </w:rPr>
        <w:t>（三）社会效益分析</w:t>
      </w:r>
    </w:p>
    <w:p>
      <w:pPr>
        <w:ind w:firstLine="482"/>
      </w:pPr>
      <w:r>
        <w:rPr>
          <w:b/>
        </w:rPr>
        <w:t>提高居民生活质量。</w:t>
      </w:r>
      <w:r>
        <w:t>通过城乡基础设施建设和环境综合整治，生态环境面貌将得到进一步改善，城乡绿化、美化将为居民生活增添更多生气与活力，使居民的居住环境更为舒适与优美，增加群众生态获得感和幸福感。各乡镇基本生存条件和景观得到较大程度改善，优美的人居环境吸引城市居民到来，为进一步发展生态旅游提供了物质基础，为周边居民提供了生态红利。</w:t>
      </w:r>
    </w:p>
    <w:p>
      <w:pPr>
        <w:ind w:firstLine="482"/>
      </w:pPr>
      <w:r>
        <w:rPr>
          <w:b/>
        </w:rPr>
        <w:t>增强民众生态文明意识，提高人口综合素质。</w:t>
      </w:r>
      <w:r>
        <w:t>在国家生态文明建设示范区创建过程中，通过培育生态文化意识，大力培育生态文化品牌，加大文艺作品、博物馆等生态文化载体建设，加强生态文明的宣教力度，弘扬传统文化、民族文化和红色文化，使群众形成绿色、文明、高效的生活和生产方式，使人民对生态文明的认知不断加强，有助于提高人民综合素质，全面提升滕州市整体社会形象。</w:t>
      </w:r>
    </w:p>
    <w:p>
      <w:pPr>
        <w:keepNext/>
        <w:keepLines/>
        <w:spacing w:before="326" w:beforeLines="100" w:after="326" w:afterLines="100"/>
        <w:ind w:firstLine="0" w:firstLineChars="0"/>
        <w:jc w:val="center"/>
        <w:outlineLvl w:val="0"/>
        <w:rPr>
          <w:rFonts w:eastAsia="黑体"/>
          <w:b/>
          <w:kern w:val="0"/>
          <w:sz w:val="36"/>
          <w:szCs w:val="36"/>
        </w:rPr>
      </w:pPr>
      <w:r>
        <w:rPr>
          <w:rFonts w:eastAsia="黑体"/>
          <w:b/>
          <w:kern w:val="0"/>
          <w:sz w:val="36"/>
          <w:szCs w:val="36"/>
        </w:rPr>
        <w:br w:type="page"/>
      </w:r>
      <w:bookmarkStart w:id="262" w:name="_Toc14122"/>
      <w:bookmarkStart w:id="263" w:name="_Toc5031"/>
      <w:r>
        <w:rPr>
          <w:rFonts w:eastAsia="黑体"/>
          <w:b/>
          <w:kern w:val="0"/>
          <w:sz w:val="36"/>
          <w:szCs w:val="36"/>
        </w:rPr>
        <w:t>第十章 保障措施</w:t>
      </w:r>
      <w:bookmarkEnd w:id="262"/>
      <w:bookmarkEnd w:id="263"/>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64" w:name="_Toc9919"/>
      <w:bookmarkStart w:id="265" w:name="_Toc139894305"/>
      <w:bookmarkStart w:id="266" w:name="_Toc139894389"/>
      <w:bookmarkStart w:id="267" w:name="_Toc12178"/>
      <w:bookmarkStart w:id="268" w:name="_Toc139894261"/>
      <w:r>
        <w:rPr>
          <w:rFonts w:eastAsia="黑体"/>
          <w:bCs/>
          <w:snapToGrid w:val="0"/>
          <w:kern w:val="0"/>
          <w:sz w:val="32"/>
          <w:szCs w:val="32"/>
        </w:rPr>
        <w:t>一、加强组织领导</w:t>
      </w:r>
      <w:bookmarkEnd w:id="264"/>
      <w:bookmarkEnd w:id="265"/>
      <w:bookmarkEnd w:id="266"/>
      <w:bookmarkEnd w:id="267"/>
      <w:bookmarkEnd w:id="268"/>
    </w:p>
    <w:p>
      <w:pPr>
        <w:ind w:firstLine="480"/>
      </w:pPr>
      <w:r>
        <w:t>由市委、市政府主要领导任组长的滕州市国家生态文明建设示范市建设领导小组，统筹部署滕州市国家生态文明建设示范市建设的各项工作，研究制定相关政策及其他重大事项决定。各级各部门要按照职责分工，各司其职，加强协作，形成工作合力，确保按期完成相应的生态文明建设任务。</w:t>
      </w:r>
    </w:p>
    <w:p>
      <w:pPr>
        <w:ind w:firstLine="480"/>
        <w:rPr>
          <w:szCs w:val="28"/>
        </w:rPr>
      </w:pPr>
      <w:r>
        <w:rPr>
          <w:szCs w:val="28"/>
        </w:rPr>
        <w:t>加强生态文明建设规划与相关行业规划的协调衔接，在国民经济和社会发展规划、国土空间规划、文物保护、林地与耕地保护、综合交通、水资源、文化与生态旅游资源、社会事业规划等各类规划中充分体现生态文明建设要求，推动规划目标、指标和任务的全面转化和落实。</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69" w:name="_Toc139894390"/>
      <w:bookmarkStart w:id="270" w:name="_Toc139894262"/>
      <w:bookmarkStart w:id="271" w:name="_Toc139894306"/>
      <w:bookmarkStart w:id="272" w:name="_Toc28538"/>
      <w:bookmarkStart w:id="273" w:name="_Toc13985"/>
      <w:r>
        <w:rPr>
          <w:rFonts w:eastAsia="黑体"/>
          <w:bCs/>
          <w:snapToGrid w:val="0"/>
          <w:kern w:val="0"/>
          <w:sz w:val="32"/>
          <w:szCs w:val="32"/>
        </w:rPr>
        <w:t>二、强化监督考核</w:t>
      </w:r>
      <w:bookmarkEnd w:id="269"/>
      <w:bookmarkEnd w:id="270"/>
      <w:bookmarkEnd w:id="271"/>
      <w:bookmarkEnd w:id="272"/>
      <w:bookmarkEnd w:id="273"/>
    </w:p>
    <w:p>
      <w:pPr>
        <w:spacing w:before="163" w:beforeLines="50"/>
        <w:ind w:firstLine="480"/>
        <w:rPr>
          <w:szCs w:val="28"/>
        </w:rPr>
      </w:pPr>
      <w:r>
        <w:rPr>
          <w:szCs w:val="28"/>
        </w:rPr>
        <w:t>完善评估制度，由市政府及生态环境局组织相关专家学者、部门对规划的实施情况进行核查和监督，评估规划实施情况及效益，提出有针对性的调整对策和方案。建立定期检查制度，对规划各项对策措施、实施方案的具体内容落实情况进行评估考核，对不符合规划要求的限期整改。健全重要工作责任报告制度，责任单位和责任人要定期报告目标任务完成情况。健全社会各界参与的监督机制，通过政府公众信息网、电视、报纸等向社会公布重大工作进展及任务完成情况。</w:t>
      </w:r>
    </w:p>
    <w:p>
      <w:pPr>
        <w:ind w:firstLine="480"/>
        <w:rPr>
          <w:szCs w:val="28"/>
        </w:rPr>
      </w:pPr>
      <w:r>
        <w:rPr>
          <w:szCs w:val="28"/>
        </w:rPr>
        <w:t>强化考核结果应用，将生态文明建设工作纳入各级各部门年度绩效考核体系。加强对规划的组织落实。将在生态文明建设工作中的履职情况作为领导干部考核的重要内容之一，对在生态文明建设工作中有突出贡献的干部优先选拔重用。</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74" w:name="_Toc139894263"/>
      <w:bookmarkStart w:id="275" w:name="_Toc9421"/>
      <w:bookmarkStart w:id="276" w:name="_Toc139894307"/>
      <w:bookmarkStart w:id="277" w:name="_Toc139894391"/>
      <w:bookmarkStart w:id="278" w:name="_Toc4654"/>
      <w:r>
        <w:rPr>
          <w:rFonts w:eastAsia="黑体"/>
          <w:bCs/>
          <w:snapToGrid w:val="0"/>
          <w:kern w:val="0"/>
          <w:sz w:val="32"/>
          <w:szCs w:val="32"/>
        </w:rPr>
        <w:t>三、加大资金投入</w:t>
      </w:r>
      <w:bookmarkEnd w:id="274"/>
      <w:bookmarkEnd w:id="275"/>
      <w:bookmarkEnd w:id="276"/>
      <w:bookmarkEnd w:id="277"/>
      <w:bookmarkEnd w:id="278"/>
    </w:p>
    <w:p>
      <w:pPr>
        <w:spacing w:before="163" w:beforeLines="50"/>
        <w:ind w:firstLine="480"/>
        <w:rPr>
          <w:szCs w:val="28"/>
        </w:rPr>
      </w:pPr>
      <w:r>
        <w:rPr>
          <w:szCs w:val="28"/>
        </w:rPr>
        <w:t xml:space="preserve">各级政府要切实加大生态文明建设的资金投入力度。将生态文明建设资金投入作为基础性、战略性投入予以重点保障，充分发挥公共财政在生态文明建设方面的引导作用。积极争取国家和省设立的涉及生态保护与建设的财政专项资金，大力支持生态产业项目、生态环境保护基础设施项目、生态文明建设技术研究等。坚持计划和市场相结合，积极引导多元化投入，鼓励社会资金参与生态文明建设，逐步建立政府主导、企业与社会共担、投入与效益共享的资金筹措与融合的渠道。 </w:t>
      </w:r>
    </w:p>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79" w:name="_Toc139894392"/>
      <w:bookmarkStart w:id="280" w:name="_Toc27288"/>
      <w:bookmarkStart w:id="281" w:name="_Toc5036"/>
      <w:bookmarkStart w:id="282" w:name="_Toc139894308"/>
      <w:bookmarkStart w:id="283" w:name="_Toc139894264"/>
      <w:r>
        <w:rPr>
          <w:rFonts w:eastAsia="黑体"/>
          <w:bCs/>
          <w:snapToGrid w:val="0"/>
          <w:kern w:val="0"/>
          <w:sz w:val="32"/>
          <w:szCs w:val="32"/>
        </w:rPr>
        <w:t>四、促进科技创新</w:t>
      </w:r>
      <w:bookmarkEnd w:id="279"/>
      <w:bookmarkEnd w:id="280"/>
      <w:bookmarkEnd w:id="281"/>
      <w:bookmarkEnd w:id="282"/>
      <w:bookmarkEnd w:id="283"/>
    </w:p>
    <w:p>
      <w:pPr>
        <w:spacing w:before="163" w:beforeLines="50"/>
        <w:ind w:firstLine="480"/>
        <w:rPr>
          <w:szCs w:val="28"/>
        </w:rPr>
      </w:pPr>
      <w:r>
        <w:rPr>
          <w:szCs w:val="28"/>
        </w:rPr>
        <w:t>加强产、学、研一体化，大力支持环境综合管理、生态保护与修复、清洁生产、资源综合利用与废弃物资源化利用、生态产业等生态环境领域的科学基础研究、高新科技研发等工作。开展重大科技项目的示范，加速科研成果的生产力转化。逐年提高科技支出在地方财政的比重，引导科研投入向生态文明建设重点领域倾斜。建立完善的激励机制，促进科技人员的技术创新。</w:t>
      </w:r>
    </w:p>
    <w:p>
      <w:pPr>
        <w:ind w:firstLine="410" w:firstLineChars="171"/>
        <w:rPr>
          <w:szCs w:val="28"/>
        </w:rPr>
      </w:pPr>
      <w:r>
        <w:rPr>
          <w:szCs w:val="28"/>
        </w:rPr>
        <w:t>统筹推进人才队伍建设，培养中青年生态文明建设领军人才和科技带头人。积极与高等院校、科研机构建立合作关系，建立生态文明重点建设领域的专家库，组建环境建设的专家咨询队伍，为生态文明建设出谋划策。</w:t>
      </w:r>
    </w:p>
    <w:p>
      <w:pPr>
        <w:ind w:firstLine="410" w:firstLineChars="171"/>
        <w:rPr>
          <w:szCs w:val="28"/>
        </w:rPr>
      </w:pPr>
      <w:r>
        <w:rPr>
          <w:szCs w:val="28"/>
        </w:rPr>
        <w:t>加强国内外相关部门及企业之间的交流与学习，充分借鉴示范园区、示范企业的成功经验和做法，积极引进新技术、新工艺、新材料、新产品，建立和完善科技推广服务体系。引导和鼓励经济开发区管理委员会及企业自身与国内外高等院校、科研机构以多种方式建立合作关系，拓展合作领域，促进科技成果的应用和生态产业的发展。</w:t>
      </w:r>
    </w:p>
    <w:bookmarkEnd w:id="84"/>
    <w:bookmarkEnd w:id="91"/>
    <w:p>
      <w:pPr>
        <w:keepNext/>
        <w:keepLines/>
        <w:autoSpaceDE w:val="0"/>
        <w:autoSpaceDN w:val="0"/>
        <w:spacing w:before="163" w:beforeLines="50" w:after="163" w:afterLines="50"/>
        <w:ind w:firstLine="0" w:firstLineChars="0"/>
        <w:outlineLvl w:val="1"/>
        <w:rPr>
          <w:rFonts w:eastAsia="黑体"/>
          <w:bCs/>
          <w:snapToGrid w:val="0"/>
          <w:kern w:val="0"/>
          <w:sz w:val="32"/>
          <w:szCs w:val="32"/>
        </w:rPr>
      </w:pPr>
      <w:bookmarkStart w:id="284" w:name="_Toc139894309"/>
      <w:bookmarkStart w:id="285" w:name="_Toc4251"/>
      <w:bookmarkStart w:id="286" w:name="_Toc139894265"/>
      <w:bookmarkStart w:id="287" w:name="_Toc139894393"/>
      <w:bookmarkStart w:id="288" w:name="_Toc14910"/>
      <w:bookmarkStart w:id="289" w:name="_Toc104208707"/>
      <w:bookmarkStart w:id="290" w:name="_Toc12623"/>
      <w:bookmarkStart w:id="291" w:name="_Toc7196"/>
      <w:r>
        <w:rPr>
          <w:rFonts w:eastAsia="黑体"/>
          <w:bCs/>
          <w:snapToGrid w:val="0"/>
          <w:kern w:val="0"/>
          <w:sz w:val="32"/>
          <w:szCs w:val="32"/>
        </w:rPr>
        <w:t>五、推动社会参与</w:t>
      </w:r>
      <w:bookmarkEnd w:id="284"/>
      <w:bookmarkEnd w:id="285"/>
      <w:bookmarkEnd w:id="286"/>
      <w:bookmarkEnd w:id="287"/>
      <w:bookmarkEnd w:id="288"/>
    </w:p>
    <w:p>
      <w:pPr>
        <w:spacing w:before="163" w:beforeLines="50"/>
        <w:ind w:firstLine="480"/>
        <w:rPr>
          <w:szCs w:val="28"/>
        </w:rPr>
      </w:pPr>
      <w:r>
        <w:rPr>
          <w:rFonts w:hint="eastAsia"/>
          <w:szCs w:val="28"/>
        </w:rPr>
        <w:t>强化信息公开制度，推进环境信息公开化、透明化。定期向社会公布建设项目审批程序、排污收费制度以及环境类信访案件处理进展等政务信息，规范和管控企业环境行为，维护广大公众和社会各界的环境知情权、表达权、参与权和监督权。定期邀请社会各界人士对生态文明建设提出意见和建议，对涉及环境权益的重大社会问题、民生问题、环境问题，要履行听证会、论证会程序</w:t>
      </w:r>
      <w:r>
        <w:rPr>
          <w:szCs w:val="28"/>
        </w:rPr>
        <w:t>。</w:t>
      </w:r>
    </w:p>
    <w:p>
      <w:pPr>
        <w:ind w:firstLine="410" w:firstLineChars="171"/>
        <w:rPr>
          <w:szCs w:val="28"/>
        </w:rPr>
      </w:pPr>
      <w:r>
        <w:rPr>
          <w:szCs w:val="28"/>
        </w:rPr>
        <w:t>健全公众参与和监督机制，逐步形成以公民监督举报、听证、新闻舆论监督、公益诉讼等为主要形式的公众监督制度，保障公众全过程参与生态文明建设规划、决策、实施、监督和评估。建立健全公众听证制度，定期公布环境状况和环保工作信息。定期开展公众对环境满意度和生态文明建设意见与建议的问卷调查工作，完善群众信访办理制度，支持各类环保组织开展生态保护活动，充分发挥电视、广播、报纸和网络等新闻媒介的舆论导向作用。</w:t>
      </w:r>
    </w:p>
    <w:p>
      <w:pPr>
        <w:ind w:firstLine="410" w:firstLineChars="171"/>
        <w:rPr>
          <w:szCs w:val="28"/>
        </w:rPr>
      </w:pPr>
      <w:r>
        <w:rPr>
          <w:szCs w:val="28"/>
        </w:rPr>
        <w:t>多渠道、多层次、多形式地开展全市生态文明建设的新闻宣传和科普宣传教育，使生态文明理念家喻户晓，深入人心。大力推行适度消费、绿色消费观念，形成</w:t>
      </w:r>
      <w:r>
        <w:rPr>
          <w:rFonts w:asciiTheme="minorEastAsia" w:hAnsiTheme="minorEastAsia" w:eastAsiaTheme="minorEastAsia"/>
          <w:szCs w:val="28"/>
        </w:rPr>
        <w:t>“</w:t>
      </w:r>
      <w:r>
        <w:rPr>
          <w:szCs w:val="28"/>
        </w:rPr>
        <w:t>节约环保光荣、浪费资源可耻</w:t>
      </w:r>
      <w:r>
        <w:rPr>
          <w:rFonts w:asciiTheme="minorEastAsia" w:hAnsiTheme="minorEastAsia" w:eastAsiaTheme="minorEastAsia"/>
          <w:szCs w:val="28"/>
        </w:rPr>
        <w:t>”</w:t>
      </w:r>
      <w:r>
        <w:rPr>
          <w:szCs w:val="28"/>
        </w:rPr>
        <w:t>的社会风尚，促进全社会生产方式、生活方式和消费观念的转变，营造全民投入生态文明建设的良好社会氛围。</w:t>
      </w:r>
    </w:p>
    <w:p>
      <w:pPr>
        <w:autoSpaceDE w:val="0"/>
        <w:autoSpaceDN w:val="0"/>
        <w:adjustRightInd w:val="0"/>
        <w:ind w:firstLine="480"/>
        <w:rPr>
          <w:szCs w:val="28"/>
        </w:rPr>
        <w:sectPr>
          <w:headerReference r:id="rId27" w:type="first"/>
          <w:footerReference r:id="rId30" w:type="first"/>
          <w:headerReference r:id="rId25" w:type="default"/>
          <w:footerReference r:id="rId28" w:type="default"/>
          <w:headerReference r:id="rId26" w:type="even"/>
          <w:footerReference r:id="rId29" w:type="even"/>
          <w:pgSz w:w="11906" w:h="16838"/>
          <w:pgMar w:top="1440" w:right="1797" w:bottom="1440" w:left="1797" w:header="851" w:footer="992" w:gutter="0"/>
          <w:cols w:space="720" w:num="1"/>
          <w:docGrid w:type="lines" w:linePitch="326" w:charSpace="0"/>
        </w:sectPr>
      </w:pPr>
    </w:p>
    <w:p>
      <w:pPr>
        <w:widowControl/>
        <w:spacing w:before="163" w:beforeLines="50"/>
        <w:ind w:firstLine="0" w:firstLineChars="0"/>
        <w:jc w:val="left"/>
        <w:outlineLvl w:val="0"/>
        <w:rPr>
          <w:b/>
        </w:rPr>
      </w:pPr>
      <w:r>
        <w:rPr>
          <w:b/>
        </w:rPr>
        <w:t>附表：滕州市生态文明建设重点工程一览表</w:t>
      </w:r>
      <w:bookmarkEnd w:id="289"/>
      <w:bookmarkEnd w:id="290"/>
      <w:bookmarkEnd w:id="291"/>
    </w:p>
    <w:tbl>
      <w:tblPr>
        <w:tblStyle w:val="59"/>
        <w:tblW w:w="14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621"/>
        <w:gridCol w:w="1801"/>
        <w:gridCol w:w="5886"/>
        <w:gridCol w:w="1965"/>
        <w:gridCol w:w="1295"/>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领域</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序号</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项目名称</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项目内容</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起止年限</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预计投资额</w:t>
            </w:r>
          </w:p>
          <w:p>
            <w:pPr>
              <w:spacing w:line="273" w:lineRule="auto"/>
              <w:ind w:firstLine="0" w:firstLineChars="0"/>
              <w:jc w:val="center"/>
              <w:rPr>
                <w:b/>
                <w:sz w:val="21"/>
                <w:szCs w:val="21"/>
              </w:rPr>
            </w:pPr>
            <w:r>
              <w:rPr>
                <w:rFonts w:ascii="宋体" w:hAnsi="宋体"/>
                <w:b/>
                <w:sz w:val="21"/>
                <w:szCs w:val="21"/>
              </w:rPr>
              <w:t>（万元）</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b/>
                <w:sz w:val="21"/>
                <w:szCs w:val="21"/>
              </w:rPr>
            </w:pPr>
            <w:r>
              <w:rPr>
                <w:rFonts w:ascii="宋体" w:hAnsi="宋体"/>
                <w:b/>
                <w:sz w:val="21"/>
                <w:szCs w:val="21"/>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生态制度</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建立和完善地方环保制度</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协助枣庄市建立和完善包括环境质量监管制度、资源环境承载能力监测预警制度、生态环境空间管控制度、环境准入负面清单制度、生态补偿制度、区域联防联控制度等在内的系列地方环保制度。</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__</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枣庄市生态环境局滕州分局、市自然资源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推进绿色金融政策</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推动银行与生态环境部门共同深化绿色信贷政策，实现环保信用信息共享，创新绿色信贷产品，推广碳排放权、排污权质抵押款，推行差别化信贷政策，加大对长效型绿色制造、生态化企业的贷款扶持力度；开展环境污染责任保险试点，扩大保险范围；加大对绿色企业上市的辅导服务力度，推动符合条件的绿色企业加快上市进程，支持已上市绿色企业通过增发、并购等方式进一步做大做强。</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人民银行滕州支行、市地方金融监督管理局、枣庄市生态环境局滕州分局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生态环境执法能力建设</w:t>
            </w:r>
          </w:p>
        </w:tc>
        <w:tc>
          <w:tcPr>
            <w:tcW w:w="5886" w:type="dxa"/>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273" w:lineRule="auto"/>
              <w:ind w:firstLine="200" w:firstLineChars="0"/>
              <w:rPr>
                <w:sz w:val="21"/>
                <w:szCs w:val="21"/>
              </w:rPr>
            </w:pPr>
            <w:r>
              <w:rPr>
                <w:rFonts w:ascii="宋体" w:hAnsi="宋体"/>
                <w:sz w:val="21"/>
                <w:szCs w:val="21"/>
              </w:rPr>
              <w:t>加强污染源监管，加大科技手段应用，通过排污单位的在线监控、用电监控、视频监控等监测数据的运用，实时掌握排污单位排污情况，着力提高远程执法，有效提升生态环境部门</w:t>
            </w:r>
            <w:r>
              <w:rPr>
                <w:rFonts w:hint="eastAsia" w:ascii="宋体" w:hAnsi="宋体"/>
                <w:sz w:val="21"/>
                <w:szCs w:val="21"/>
              </w:rPr>
              <w:t>“</w:t>
            </w:r>
            <w:r>
              <w:rPr>
                <w:rFonts w:ascii="宋体" w:hAnsi="宋体"/>
                <w:sz w:val="21"/>
                <w:szCs w:val="21"/>
              </w:rPr>
              <w:t>非现场</w:t>
            </w:r>
            <w:r>
              <w:rPr>
                <w:rFonts w:hint="eastAsia" w:ascii="宋体" w:hAnsi="宋体"/>
                <w:sz w:val="21"/>
                <w:szCs w:val="21"/>
              </w:rPr>
              <w:t>”</w:t>
            </w:r>
            <w:r>
              <w:rPr>
                <w:rFonts w:ascii="宋体" w:hAnsi="宋体"/>
                <w:sz w:val="21"/>
                <w:szCs w:val="21"/>
              </w:rPr>
              <w:t>监管能力。</w:t>
            </w:r>
          </w:p>
          <w:p>
            <w:pPr>
              <w:numPr>
                <w:ilvl w:val="0"/>
                <w:numId w:val="2"/>
              </w:numPr>
              <w:spacing w:line="273" w:lineRule="auto"/>
              <w:ind w:firstLine="200" w:firstLineChars="0"/>
              <w:rPr>
                <w:sz w:val="21"/>
                <w:szCs w:val="21"/>
              </w:rPr>
            </w:pPr>
            <w:r>
              <w:rPr>
                <w:rFonts w:ascii="宋体" w:hAnsi="宋体"/>
                <w:sz w:val="21"/>
                <w:szCs w:val="21"/>
              </w:rPr>
              <w:t>完善环境执法基础能力建设，提高环境执法水平。为确保执法装备能够满足执法工作需要，加大生态环境保护执法装备建设。根据生态环境部印发的《生态环境保护综合行政执法装备标准化建设指导标准（</w:t>
            </w:r>
            <w:r>
              <w:rPr>
                <w:sz w:val="21"/>
                <w:szCs w:val="21"/>
              </w:rPr>
              <w:t>2020</w:t>
            </w:r>
            <w:r>
              <w:rPr>
                <w:rFonts w:ascii="宋体" w:hAnsi="宋体"/>
                <w:sz w:val="21"/>
                <w:szCs w:val="21"/>
              </w:rPr>
              <w:t>年版）》等要求，购置专用执法设备，包括无人机（载气体检测设备）、小型无人机、红外热成像气体泄露检测仪、便携式</w:t>
            </w:r>
            <w:r>
              <w:rPr>
                <w:sz w:val="21"/>
                <w:szCs w:val="21"/>
              </w:rPr>
              <w:t>x/γ/</w:t>
            </w:r>
            <w:r>
              <w:rPr>
                <w:rFonts w:ascii="宋体" w:hAnsi="宋体"/>
                <w:sz w:val="21"/>
                <w:szCs w:val="21"/>
              </w:rPr>
              <w:t>辐射剂量率仪、携式</w:t>
            </w:r>
            <w:r>
              <w:rPr>
                <w:sz w:val="21"/>
                <w:szCs w:val="21"/>
              </w:rPr>
              <w:t>α</w:t>
            </w:r>
            <w:r>
              <w:rPr>
                <w:rFonts w:ascii="宋体" w:hAnsi="宋体"/>
                <w:sz w:val="21"/>
                <w:szCs w:val="21"/>
              </w:rPr>
              <w:t>、</w:t>
            </w:r>
            <w:r>
              <w:rPr>
                <w:sz w:val="21"/>
                <w:szCs w:val="21"/>
              </w:rPr>
              <w:t>β</w:t>
            </w:r>
            <w:r>
              <w:rPr>
                <w:rFonts w:ascii="宋体" w:hAnsi="宋体"/>
                <w:sz w:val="21"/>
                <w:szCs w:val="21"/>
              </w:rPr>
              <w:t>表面污染测量仪、各种快速测定仪等装备，或通过购买第三方服务等方式为现场执法工作提供污染源监测、暗管探测等技术支持。加强执法装备使用的培训、维护，提高执法装备的使用效率，建立执法装备报废、补充和更新制度，有效保障执法工作的正常开展。</w:t>
            </w:r>
          </w:p>
          <w:p>
            <w:pPr>
              <w:spacing w:line="273" w:lineRule="auto"/>
              <w:ind w:firstLine="0" w:firstLineChars="0"/>
              <w:rPr>
                <w:sz w:val="21"/>
                <w:szCs w:val="21"/>
              </w:rPr>
            </w:pPr>
            <w:r>
              <w:rPr>
                <w:sz w:val="21"/>
                <w:szCs w:val="21"/>
              </w:rPr>
              <w:t>3</w:t>
            </w:r>
            <w:r>
              <w:rPr>
                <w:rFonts w:ascii="宋体" w:hAnsi="宋体"/>
                <w:sz w:val="21"/>
                <w:szCs w:val="21"/>
              </w:rPr>
              <w:t>、推进环境监管网格化。充分发挥乡镇（街道）环保网格作用，全面摸排网格内污染源，做到应排尽排，实现网格内污染一张图，完善考核考评制度，实现长效化管理。</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完善司法联动工作机制</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进一步加强行政执法与刑事司法衔接，落实联动执法联席会议、常设联络员和重大案件会商督办等制度，完善案件移送、联合调查、信息共享和奖惩机制，构建环境污染违法犯罪情报信息共享平台，坚决克服有案不移、有案难移、以罚代刑现象，实现行政处罚和刑事处罚无缝衔接。公安机关加强环境污染犯罪侦查机构建设，明确专门机构和人员负责查处环境犯罪案件，有条件的地方可以在环保部门设立环保警务室。公安、生态环境部门联合开展专项行动，重点打击非法排放、倾倒、处置危险废物，通过暗管、渗坑、灌注等方式偷排，故意不正常运行治污设施，篡改伪造监测数据或干扰自动监测设施、未批先建拒不停止建设、未取得排污许可证拒不停止排污、阻扰环境监管检查等违法犯罪行为。</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完善环境公益诉讼机制</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大力推进生态环境公益诉讼，支持建立环保公益基金，积极开展生态环境损害赔偿磋商，组织督促生态环境修复、严惩污染环境、破坏生态等行为，对涉及破坏生态环境违法行为侵害国家利益、社会公共利益的案件提起民事诉讼、检察机关依法支持起诉或提起诉讼。</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市人民检察院、枣庄市生态环境局滕州分局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环境违法行为定期公开曝光制度建设</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做好环境违法行为公开曝光工作。公开环境违法案件查处情况，主动接受群众监督。定期公布典型环境违法案件，扩大执法效果，形成震慑作用。深入基层，宣传报道环境执法中的先进典型和好的做法经验，曝光重大环境违法案件。</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市委宣传部、枣庄市生态环境局滕州分局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符合生态文明建设要求的干部政绩考核制度建设</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开展经济发展与生态环境保护并重的政绩考核体制研究，制定体现生态文明建设要求的干部政绩考核制度。</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widowControl/>
              <w:spacing w:line="273" w:lineRule="auto"/>
              <w:ind w:firstLine="0" w:firstLineChars="0"/>
              <w:rPr>
                <w:sz w:val="21"/>
                <w:szCs w:val="21"/>
              </w:rPr>
            </w:pPr>
            <w:r>
              <w:rPr>
                <w:rFonts w:ascii="宋体" w:hAnsi="宋体"/>
                <w:kern w:val="0"/>
                <w:sz w:val="21"/>
                <w:szCs w:val="21"/>
              </w:rPr>
              <w:t>滕州市生态产品价值实现机制建设（生态产品价值核算）</w:t>
            </w:r>
          </w:p>
        </w:tc>
        <w:tc>
          <w:tcPr>
            <w:tcW w:w="5886" w:type="dxa"/>
            <w:tcBorders>
              <w:top w:val="single" w:color="auto" w:sz="4" w:space="0"/>
              <w:left w:val="single" w:color="auto" w:sz="4" w:space="0"/>
              <w:bottom w:val="single" w:color="auto" w:sz="4" w:space="0"/>
              <w:right w:val="single" w:color="auto" w:sz="4" w:space="0"/>
            </w:tcBorders>
            <w:noWrap/>
            <w:vAlign w:val="center"/>
          </w:tcPr>
          <w:p>
            <w:pPr>
              <w:widowControl/>
              <w:spacing w:line="273" w:lineRule="auto"/>
              <w:ind w:firstLine="0" w:firstLineChars="0"/>
              <w:rPr>
                <w:sz w:val="21"/>
                <w:szCs w:val="21"/>
              </w:rPr>
            </w:pPr>
            <w:r>
              <w:rPr>
                <w:rFonts w:ascii="宋体" w:hAnsi="宋体"/>
                <w:kern w:val="0"/>
                <w:sz w:val="21"/>
                <w:szCs w:val="21"/>
              </w:rPr>
              <w:t>创新滕州市生态产品价值转化实现体制机制，构建滕州市生态产品价值核算方法体系；编制滕州市生态产品价值调查、核算技术导则。明确生态产品类型和数量，量化其直接、间接价值，完成滕州市基准年生态产品价值核算。探索建立生态产品保护补偿机制。</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3</w:t>
            </w:r>
            <w:r>
              <w:rPr>
                <w:rFonts w:hint="eastAsia" w:ascii="宋体" w:hAnsi="宋体"/>
                <w:sz w:val="21"/>
                <w:szCs w:val="21"/>
              </w:rPr>
              <w:t>—</w:t>
            </w:r>
            <w:r>
              <w:rPr>
                <w:sz w:val="21"/>
                <w:szCs w:val="21"/>
              </w:rPr>
              <w:t>20</w:t>
            </w:r>
            <w:r>
              <w:rPr>
                <w:rFonts w:hint="eastAsia"/>
                <w:sz w:val="21"/>
                <w:szCs w:val="21"/>
              </w:rPr>
              <w:t>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市发改委、市自然资源局、枣庄市生态环境局滕州分局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生态安全</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山东联华印刷包装有限公司有机废气深度治理项目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原</w:t>
            </w:r>
            <w:r>
              <w:rPr>
                <w:rFonts w:hint="eastAsia"/>
                <w:sz w:val="21"/>
                <w:szCs w:val="21"/>
              </w:rPr>
              <w:t>UV</w:t>
            </w:r>
            <w:r>
              <w:rPr>
                <w:rFonts w:hint="eastAsia" w:ascii="宋体" w:hAnsi="宋体"/>
                <w:sz w:val="21"/>
                <w:szCs w:val="21"/>
              </w:rPr>
              <w:t>光氧</w:t>
            </w:r>
            <w:r>
              <w:rPr>
                <w:rFonts w:hint="eastAsia"/>
                <w:sz w:val="21"/>
                <w:szCs w:val="21"/>
              </w:rPr>
              <w:t>+</w:t>
            </w:r>
            <w:r>
              <w:rPr>
                <w:rFonts w:hint="eastAsia" w:ascii="宋体" w:hAnsi="宋体"/>
                <w:sz w:val="21"/>
                <w:szCs w:val="21"/>
              </w:rPr>
              <w:t>活性炭废气处理方式全面升级为减风增浓</w:t>
            </w:r>
            <w:r>
              <w:rPr>
                <w:rFonts w:hint="eastAsia"/>
                <w:sz w:val="21"/>
                <w:szCs w:val="21"/>
              </w:rPr>
              <w:t>+RTO</w:t>
            </w:r>
            <w:r>
              <w:rPr>
                <w:rFonts w:hint="eastAsia" w:ascii="宋体" w:hAnsi="宋体"/>
                <w:sz w:val="21"/>
                <w:szCs w:val="21"/>
              </w:rPr>
              <w:t>，项目完成后，</w:t>
            </w:r>
            <w:r>
              <w:rPr>
                <w:rFonts w:hint="eastAsia"/>
                <w:sz w:val="21"/>
                <w:szCs w:val="21"/>
              </w:rPr>
              <w:t>VOCs</w:t>
            </w:r>
            <w:r>
              <w:rPr>
                <w:rFonts w:hint="eastAsia" w:ascii="宋体" w:hAnsi="宋体"/>
                <w:sz w:val="21"/>
                <w:szCs w:val="21"/>
              </w:rPr>
              <w:t>废气处理效率将比山东省地方标准（</w:t>
            </w:r>
            <w:r>
              <w:rPr>
                <w:rFonts w:hint="eastAsia"/>
                <w:sz w:val="21"/>
                <w:szCs w:val="21"/>
              </w:rPr>
              <w:t>DB37/2801.4-2017</w:t>
            </w:r>
            <w:r>
              <w:rPr>
                <w:rFonts w:hint="eastAsia" w:ascii="宋体" w:hAnsi="宋体"/>
                <w:sz w:val="21"/>
                <w:szCs w:val="21"/>
              </w:rPr>
              <w:t>挥发性有机物排放标准第四部分：印刷业）排放限值</w:t>
            </w:r>
            <w:r>
              <w:rPr>
                <w:rFonts w:hint="eastAsia"/>
                <w:sz w:val="21"/>
                <w:szCs w:val="21"/>
              </w:rPr>
              <w:t>50</w:t>
            </w:r>
            <w:r>
              <w:rPr>
                <w:rFonts w:hint="eastAsia" w:ascii="宋体" w:hAnsi="宋体"/>
                <w:sz w:val="21"/>
                <w:szCs w:val="21"/>
              </w:rPr>
              <w:t>毫克</w:t>
            </w:r>
            <w:r>
              <w:rPr>
                <w:rFonts w:hint="eastAsia"/>
                <w:sz w:val="21"/>
                <w:szCs w:val="21"/>
              </w:rPr>
              <w:t>/</w:t>
            </w:r>
            <w:r>
              <w:rPr>
                <w:rFonts w:hint="eastAsia" w:ascii="宋体" w:hAnsi="宋体"/>
                <w:sz w:val="21"/>
                <w:szCs w:val="21"/>
              </w:rPr>
              <w:t>立方米提升</w:t>
            </w:r>
            <w:r>
              <w:rPr>
                <w:rFonts w:hint="eastAsia"/>
                <w:sz w:val="21"/>
                <w:szCs w:val="21"/>
              </w:rPr>
              <w:t>80%</w:t>
            </w:r>
            <w:r>
              <w:rPr>
                <w:rFonts w:hint="eastAsia" w:ascii="宋体" w:hAnsi="宋体"/>
                <w:sz w:val="21"/>
                <w:szCs w:val="21"/>
              </w:rPr>
              <w:t>，达到</w:t>
            </w:r>
            <w:r>
              <w:rPr>
                <w:rFonts w:hint="eastAsia"/>
                <w:sz w:val="21"/>
                <w:szCs w:val="21"/>
              </w:rPr>
              <w:t>10</w:t>
            </w:r>
            <w:r>
              <w:rPr>
                <w:rFonts w:hint="eastAsia" w:ascii="宋体" w:hAnsi="宋体"/>
                <w:sz w:val="21"/>
                <w:szCs w:val="21"/>
              </w:rPr>
              <w:t>毫克</w:t>
            </w:r>
            <w:r>
              <w:rPr>
                <w:rFonts w:hint="eastAsia"/>
                <w:sz w:val="21"/>
                <w:szCs w:val="21"/>
              </w:rPr>
              <w:t>/</w:t>
            </w:r>
            <w:r>
              <w:rPr>
                <w:rFonts w:hint="eastAsia" w:ascii="宋体" w:hAnsi="宋体"/>
                <w:sz w:val="21"/>
                <w:szCs w:val="21"/>
              </w:rPr>
              <w:t>立方米以内，提升公司挥发性有机物治理水平，减少厂区有组织</w:t>
            </w:r>
            <w:r>
              <w:rPr>
                <w:rFonts w:hint="eastAsia"/>
                <w:sz w:val="21"/>
                <w:szCs w:val="21"/>
              </w:rPr>
              <w:t>VOCs</w:t>
            </w:r>
            <w:r>
              <w:rPr>
                <w:rFonts w:hint="eastAsia" w:ascii="宋体" w:hAnsi="宋体"/>
                <w:sz w:val="21"/>
                <w:szCs w:val="21"/>
              </w:rPr>
              <w:t>排放</w:t>
            </w:r>
            <w:r>
              <w:rPr>
                <w:rFonts w:hint="eastAsia"/>
                <w:sz w:val="21"/>
                <w:szCs w:val="21"/>
              </w:rPr>
              <w:t>5.21</w:t>
            </w:r>
            <w:r>
              <w:rPr>
                <w:rFonts w:hint="eastAsia" w:ascii="宋体" w:hAnsi="宋体"/>
                <w:sz w:val="21"/>
                <w:szCs w:val="21"/>
              </w:rPr>
              <w:t>吨</w:t>
            </w:r>
            <w:r>
              <w:rPr>
                <w:rFonts w:hint="eastAsia"/>
                <w:sz w:val="21"/>
                <w:szCs w:val="21"/>
              </w:rPr>
              <w:t>/</w:t>
            </w:r>
            <w:r>
              <w:rPr>
                <w:rFonts w:hint="eastAsia" w:ascii="宋体" w:hAnsi="宋体"/>
                <w:sz w:val="21"/>
                <w:szCs w:val="21"/>
              </w:rPr>
              <w:t>年，显著改善周边环境。</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660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山东联华印刷包装有限公司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墨子湖环境治理工程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实施墨子湖区域湖区底泥清淤，护岸修复、面源治理、能力建设、医疗康养等施舍配置、休闲商业、田园野趣、湖岸生态丛林、文化楼文化设施等建设</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385000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经济开发区</w:t>
            </w:r>
            <w:r>
              <w:rPr>
                <w:rFonts w:ascii="宋体" w:hAnsi="宋体"/>
                <w:sz w:val="21"/>
                <w:szCs w:val="21"/>
              </w:rPr>
              <w:t>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滕州市水生态保护与修复工程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北沙河上游段、郭河</w:t>
            </w:r>
            <w:r>
              <w:rPr>
                <w:rFonts w:hint="eastAsia" w:ascii="宋体" w:hAnsi="宋体"/>
                <w:sz w:val="21"/>
                <w:szCs w:val="21"/>
              </w:rPr>
              <w:t>中游段</w:t>
            </w:r>
            <w:r>
              <w:rPr>
                <w:rFonts w:ascii="宋体" w:hAnsi="宋体"/>
                <w:sz w:val="21"/>
                <w:szCs w:val="21"/>
              </w:rPr>
              <w:t>、郭河</w:t>
            </w:r>
            <w:r>
              <w:rPr>
                <w:rFonts w:hint="eastAsia" w:ascii="宋体" w:hAnsi="宋体"/>
                <w:sz w:val="21"/>
                <w:szCs w:val="21"/>
              </w:rPr>
              <w:t>上游段</w:t>
            </w:r>
            <w:r>
              <w:rPr>
                <w:rFonts w:ascii="宋体" w:hAnsi="宋体"/>
                <w:sz w:val="21"/>
                <w:szCs w:val="21"/>
              </w:rPr>
              <w:t>、</w:t>
            </w:r>
            <w:r>
              <w:rPr>
                <w:rFonts w:hint="eastAsia" w:ascii="宋体" w:hAnsi="宋体"/>
                <w:sz w:val="21"/>
                <w:szCs w:val="21"/>
              </w:rPr>
              <w:t>葫芦套</w:t>
            </w:r>
            <w:r>
              <w:rPr>
                <w:rFonts w:ascii="宋体" w:hAnsi="宋体"/>
                <w:sz w:val="21"/>
                <w:szCs w:val="21"/>
              </w:rPr>
              <w:t>小流域综合治理工程</w:t>
            </w:r>
            <w:r>
              <w:rPr>
                <w:rFonts w:hint="eastAsia" w:ascii="宋体" w:hAnsi="宋体"/>
                <w:sz w:val="21"/>
                <w:szCs w:val="21"/>
              </w:rPr>
              <w:t>。开挖疏竣河道</w:t>
            </w:r>
            <w:r>
              <w:rPr>
                <w:rFonts w:hint="eastAsia"/>
                <w:sz w:val="21"/>
                <w:szCs w:val="21"/>
              </w:rPr>
              <w:t>26.5</w:t>
            </w:r>
            <w:r>
              <w:rPr>
                <w:rFonts w:hint="eastAsia" w:ascii="宋体" w:hAnsi="宋体"/>
                <w:sz w:val="21"/>
                <w:szCs w:val="21"/>
              </w:rPr>
              <w:t>公里，</w:t>
            </w:r>
            <w:r>
              <w:rPr>
                <w:rFonts w:ascii="宋体" w:hAnsi="宋体"/>
                <w:sz w:val="21"/>
                <w:szCs w:val="21"/>
              </w:rPr>
              <w:t>小流域治理</w:t>
            </w:r>
            <w:r>
              <w:rPr>
                <w:rFonts w:hint="eastAsia" w:ascii="宋体" w:hAnsi="宋体"/>
                <w:sz w:val="21"/>
                <w:szCs w:val="21"/>
              </w:rPr>
              <w:t>面积</w:t>
            </w:r>
            <w:r>
              <w:rPr>
                <w:rFonts w:hint="eastAsia"/>
                <w:sz w:val="21"/>
                <w:szCs w:val="21"/>
              </w:rPr>
              <w:t>10</w:t>
            </w:r>
            <w:r>
              <w:rPr>
                <w:rFonts w:hint="eastAsia" w:ascii="宋体" w:hAnsi="宋体"/>
                <w:sz w:val="21"/>
                <w:szCs w:val="21"/>
              </w:rPr>
              <w:t>平方公里。</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2024</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28000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滕州市城河下游人工湿地水质净化和生态修复工程一期</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一期工程位于滕州市级索镇城河河道内，主要工程内容包括河道走廊湿地工程、生态疏浚工程、土方调整工程、生态护坡工程及配套设施建设等。</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2024</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518</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级索镇人民政府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滕州市新薛河下游生态修复工程项目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本项目利用</w:t>
            </w:r>
            <w:r>
              <w:rPr>
                <w:rFonts w:hint="eastAsia" w:ascii="宋体" w:hAnsi="宋体"/>
                <w:sz w:val="21"/>
                <w:szCs w:val="21"/>
              </w:rPr>
              <w:t>新薛河下游（张汪镇段）</w:t>
            </w:r>
            <w:r>
              <w:rPr>
                <w:rFonts w:ascii="宋体" w:hAnsi="宋体"/>
                <w:sz w:val="21"/>
                <w:szCs w:val="21"/>
              </w:rPr>
              <w:t>约</w:t>
            </w:r>
            <w:r>
              <w:rPr>
                <w:rFonts w:hint="eastAsia"/>
                <w:sz w:val="21"/>
                <w:szCs w:val="21"/>
              </w:rPr>
              <w:t>0.96k</w:t>
            </w:r>
            <w:r>
              <w:rPr>
                <w:sz w:val="21"/>
                <w:szCs w:val="21"/>
              </w:rPr>
              <w:t>m</w:t>
            </w:r>
            <w:r>
              <w:rPr>
                <w:rFonts w:ascii="宋体" w:hAnsi="宋体"/>
                <w:sz w:val="21"/>
                <w:szCs w:val="21"/>
              </w:rPr>
              <w:t>河道，形成生态表流湿地约</w:t>
            </w:r>
            <w:r>
              <w:rPr>
                <w:rFonts w:hint="eastAsia"/>
                <w:sz w:val="21"/>
                <w:szCs w:val="21"/>
              </w:rPr>
              <w:t>9.13</w:t>
            </w:r>
            <w:r>
              <w:rPr>
                <w:sz w:val="21"/>
                <w:szCs w:val="21"/>
              </w:rPr>
              <w:t>hm</w:t>
            </w:r>
            <w:r>
              <w:rPr>
                <w:sz w:val="21"/>
                <w:szCs w:val="21"/>
                <w:vertAlign w:val="superscript"/>
              </w:rPr>
              <w:t>2</w:t>
            </w:r>
            <w:r>
              <w:rPr>
                <w:rFonts w:hint="eastAsia" w:ascii="宋体" w:hAnsi="宋体"/>
                <w:sz w:val="21"/>
                <w:szCs w:val="21"/>
              </w:rPr>
              <w:t>（约合</w:t>
            </w:r>
            <w:r>
              <w:rPr>
                <w:rFonts w:hint="eastAsia"/>
                <w:sz w:val="21"/>
                <w:szCs w:val="21"/>
              </w:rPr>
              <w:t>137</w:t>
            </w:r>
            <w:r>
              <w:rPr>
                <w:rFonts w:hint="eastAsia" w:ascii="宋体" w:hAnsi="宋体"/>
                <w:sz w:val="21"/>
                <w:szCs w:val="21"/>
              </w:rPr>
              <w:t>亩）</w:t>
            </w:r>
            <w:r>
              <w:rPr>
                <w:rFonts w:ascii="宋体" w:hAnsi="宋体"/>
                <w:sz w:val="21"/>
                <w:szCs w:val="21"/>
              </w:rPr>
              <w:t>。在新薛河下游段建设蓄水闸坝一处，进行河道治理和生态修复等</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2024</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618</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张汪镇政府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滕州市城区（北部、中部）初期雨水收集处置工程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在入王林水库上游小清河和小冯河段各建设闸坝一处，对河道进行生态疏浚、土方调整、生态护坡工程及配套设施建设等。主要是利用王林水库对城区北部（中部）初期雨水进行收集、存蓄，引进城区第三污水处理厂处理后排放，通过对小清河、小冯河开挖导流渠，将后期的雨水导流至下游河道。</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2024</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760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滕州市小龙河流域（大坞段）生态修复工程一期</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河道走廊湿地工程、垃圾清运工程、生态疏浚工程、土方调整工程、生态护坡工程、生态植被修复工程、原位强化修复措施及配套设施建设等。</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2024</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大坞镇人民政府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滕州市小苏河、小魏河张汪镇段生态修复工程项目一期</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一期项目主要为治理张汪镇小魏河，依托河道构建河道型生态表流湿地。</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2024</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400</w:t>
            </w:r>
          </w:p>
        </w:tc>
        <w:tc>
          <w:tcPr>
            <w:tcW w:w="2222"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ascii="宋体" w:hAnsi="宋体"/>
                <w:kern w:val="0"/>
                <w:sz w:val="22"/>
                <w:szCs w:val="22"/>
              </w:rPr>
            </w:pPr>
            <w:r>
              <w:rPr>
                <w:rFonts w:hint="eastAsia" w:ascii="宋体" w:hAnsi="宋体"/>
                <w:kern w:val="0"/>
                <w:sz w:val="22"/>
                <w:szCs w:val="22"/>
              </w:rPr>
              <w:t>张汪镇政府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9</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滕州市古薛河、小魏河（柴胡店镇段）生态修复工程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hint="eastAsia"/>
                <w:sz w:val="21"/>
                <w:szCs w:val="21"/>
              </w:rPr>
              <w:t>实施范围为滕州市柴胡店镇古薛河张庄至沙庄段及小魏河高桥村至王官庄村段，主要保护治理对象是古薛河及小魏河水环境质量与水生态功能，确保其水量和水质安全。</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r>
              <w:rPr>
                <w:sz w:val="21"/>
                <w:szCs w:val="21"/>
              </w:rPr>
              <w:t>024-2026</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rFonts w:ascii="宋体" w:hAnsi="宋体"/>
                <w:sz w:val="21"/>
                <w:szCs w:val="21"/>
              </w:rPr>
            </w:pPr>
            <w:r>
              <w:rPr>
                <w:rFonts w:hint="eastAsia" w:ascii="宋体" w:hAnsi="宋体"/>
                <w:sz w:val="21"/>
                <w:szCs w:val="21"/>
              </w:rPr>
              <w:t>柴胡店镇人民政府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大坞镇瓦渣沟治理项目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hint="eastAsia"/>
                <w:sz w:val="21"/>
                <w:szCs w:val="21"/>
              </w:rPr>
              <w:t>疏浚河床、岸线绿化2.0公里，水质生态处理。此项工程已完工，清淤总长2617米，清淤方量8985立方米，铺设污水管道1467米，石砌护坡338.5平方米，河道护坡20936平方米，建设污水处理站2座。</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大坞镇人民政府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洪山林破损山体治理项目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洪山林破损山体治理项目。</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21000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官桥镇人民政府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73" w:lineRule="auto"/>
              <w:ind w:firstLine="0" w:firstLineChars="0"/>
              <w:jc w:val="center"/>
              <w:rPr>
                <w:rFonts w:eastAsia="等线"/>
                <w:kern w:val="0"/>
                <w:sz w:val="21"/>
                <w:szCs w:val="21"/>
              </w:rPr>
            </w:pPr>
            <w:r>
              <w:rPr>
                <w:rFonts w:hint="eastAsia" w:eastAsia="等线"/>
                <w:kern w:val="0"/>
                <w:sz w:val="21"/>
                <w:szCs w:val="21"/>
              </w:rPr>
              <w:t>43</w:t>
            </w:r>
            <w:r>
              <w:rPr>
                <w:rFonts w:eastAsia="等线"/>
                <w:kern w:val="0"/>
                <w:sz w:val="21"/>
                <w:szCs w:val="21"/>
              </w:rPr>
              <w:t>8</w:t>
            </w:r>
            <w:r>
              <w:rPr>
                <w:rFonts w:hint="eastAsia" w:eastAsia="等线"/>
                <w:kern w:val="0"/>
                <w:sz w:val="21"/>
                <w:szCs w:val="21"/>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生态空间</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高铁新区水系综合治理工程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漷河、小洪河高铁新区段流域共</w:t>
            </w:r>
            <w:r>
              <w:rPr>
                <w:rFonts w:hint="eastAsia"/>
                <w:sz w:val="21"/>
                <w:szCs w:val="21"/>
              </w:rPr>
              <w:t>16km</w:t>
            </w:r>
            <w:r>
              <w:rPr>
                <w:rFonts w:hint="eastAsia" w:ascii="宋体" w:hAnsi="宋体"/>
                <w:sz w:val="21"/>
                <w:szCs w:val="21"/>
              </w:rPr>
              <w:t>河道节能型综合治理，主要建设：</w:t>
            </w:r>
            <w:r>
              <w:rPr>
                <w:rFonts w:hint="eastAsia"/>
                <w:sz w:val="21"/>
                <w:szCs w:val="21"/>
              </w:rPr>
              <w:t>1</w:t>
            </w:r>
            <w:r>
              <w:rPr>
                <w:rFonts w:hint="eastAsia" w:ascii="宋体" w:hAnsi="宋体"/>
                <w:sz w:val="21"/>
                <w:szCs w:val="21"/>
              </w:rPr>
              <w:t>、河道治理工程，对治理河段进行河道清淤</w:t>
            </w:r>
            <w:r>
              <w:rPr>
                <w:rFonts w:hint="eastAsia"/>
                <w:sz w:val="21"/>
                <w:szCs w:val="21"/>
              </w:rPr>
              <w:t>265.2</w:t>
            </w:r>
            <w:r>
              <w:rPr>
                <w:rFonts w:hint="eastAsia" w:ascii="宋体" w:hAnsi="宋体"/>
                <w:sz w:val="21"/>
                <w:szCs w:val="21"/>
              </w:rPr>
              <w:t>平方米，河底防渗</w:t>
            </w:r>
            <w:r>
              <w:rPr>
                <w:rFonts w:hint="eastAsia"/>
                <w:sz w:val="21"/>
                <w:szCs w:val="21"/>
              </w:rPr>
              <w:t>156</w:t>
            </w:r>
            <w:r>
              <w:rPr>
                <w:rFonts w:hint="eastAsia" w:ascii="宋体" w:hAnsi="宋体"/>
                <w:sz w:val="21"/>
                <w:szCs w:val="21"/>
              </w:rPr>
              <w:t>平方米，堤防加固</w:t>
            </w:r>
            <w:r>
              <w:rPr>
                <w:rFonts w:hint="eastAsia"/>
                <w:sz w:val="21"/>
                <w:szCs w:val="21"/>
              </w:rPr>
              <w:t>7.8</w:t>
            </w:r>
            <w:r>
              <w:rPr>
                <w:rFonts w:hint="eastAsia" w:ascii="宋体" w:hAnsi="宋体"/>
                <w:sz w:val="21"/>
                <w:szCs w:val="21"/>
              </w:rPr>
              <w:t>平方米。</w:t>
            </w:r>
            <w:r>
              <w:rPr>
                <w:rFonts w:hint="eastAsia"/>
                <w:sz w:val="21"/>
                <w:szCs w:val="21"/>
              </w:rPr>
              <w:t>2</w:t>
            </w:r>
            <w:r>
              <w:rPr>
                <w:rFonts w:hint="eastAsia" w:ascii="宋体" w:hAnsi="宋体"/>
                <w:sz w:val="21"/>
                <w:szCs w:val="21"/>
              </w:rPr>
              <w:t>、防汛道路工程，对治理河段防汛道路共</w:t>
            </w:r>
            <w:r>
              <w:rPr>
                <w:rFonts w:hint="eastAsia"/>
                <w:sz w:val="21"/>
                <w:szCs w:val="21"/>
              </w:rPr>
              <w:t>16</w:t>
            </w:r>
            <w:r>
              <w:rPr>
                <w:rFonts w:hint="eastAsia" w:ascii="宋体" w:hAnsi="宋体"/>
                <w:sz w:val="21"/>
                <w:szCs w:val="21"/>
              </w:rPr>
              <w:t>公里进行翻建，并配建照明、排水等设施。</w:t>
            </w:r>
            <w:r>
              <w:rPr>
                <w:rFonts w:hint="eastAsia"/>
                <w:sz w:val="21"/>
                <w:szCs w:val="21"/>
              </w:rPr>
              <w:t>3</w:t>
            </w:r>
            <w:r>
              <w:rPr>
                <w:rFonts w:hint="eastAsia" w:ascii="宋体" w:hAnsi="宋体"/>
                <w:sz w:val="21"/>
                <w:szCs w:val="21"/>
              </w:rPr>
              <w:t>、桥涵工程，对现有小洪河七座桥及漷河两座桥进行翻修维护。</w:t>
            </w:r>
            <w:r>
              <w:rPr>
                <w:rFonts w:hint="eastAsia"/>
                <w:sz w:val="21"/>
                <w:szCs w:val="21"/>
              </w:rPr>
              <w:t>4</w:t>
            </w:r>
            <w:r>
              <w:rPr>
                <w:rFonts w:hint="eastAsia" w:ascii="宋体" w:hAnsi="宋体"/>
                <w:sz w:val="21"/>
                <w:szCs w:val="21"/>
              </w:rPr>
              <w:t>、拦河坝工程，在治理河段修建橡胶拦河坝</w:t>
            </w:r>
            <w:r>
              <w:rPr>
                <w:rFonts w:hint="eastAsia"/>
                <w:sz w:val="21"/>
                <w:szCs w:val="21"/>
              </w:rPr>
              <w:t>6</w:t>
            </w:r>
            <w:r>
              <w:rPr>
                <w:rFonts w:hint="eastAsia" w:ascii="宋体" w:hAnsi="宋体"/>
                <w:sz w:val="21"/>
                <w:szCs w:val="21"/>
              </w:rPr>
              <w:t>座。</w:t>
            </w:r>
            <w:r>
              <w:rPr>
                <w:rFonts w:hint="eastAsia"/>
                <w:sz w:val="21"/>
                <w:szCs w:val="21"/>
              </w:rPr>
              <w:t>5</w:t>
            </w:r>
            <w:r>
              <w:rPr>
                <w:rFonts w:hint="eastAsia" w:ascii="宋体" w:hAnsi="宋体"/>
                <w:sz w:val="21"/>
                <w:szCs w:val="21"/>
              </w:rPr>
              <w:t>、生态防护工程，在治理河道两侧进行防护绿化</w:t>
            </w:r>
            <w:r>
              <w:rPr>
                <w:rFonts w:hint="eastAsia"/>
                <w:sz w:val="21"/>
                <w:szCs w:val="21"/>
              </w:rPr>
              <w:t>12.8</w:t>
            </w:r>
            <w:r>
              <w:rPr>
                <w:rFonts w:hint="eastAsia" w:ascii="宋体" w:hAnsi="宋体"/>
                <w:sz w:val="21"/>
                <w:szCs w:val="21"/>
              </w:rPr>
              <w:t>万平方米。</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58093</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经济开发区管委会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北沙河生态湿地治理项目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湿地治理、种植相关植被。</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界河镇人民政府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九龙湾湿地公园</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修复利用现有沉陷区及湿地水域，建设特色水上及陆上植物园休闲观光基地，建设游乐园及辅助设施，打造休闲旅游、观光娱乐的综合性文旅生态基地</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15000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界河生态绿廊建设</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对界河及其堤坝两侧</w:t>
            </w:r>
            <w:r>
              <w:rPr>
                <w:rFonts w:hint="eastAsia"/>
                <w:sz w:val="21"/>
                <w:szCs w:val="21"/>
              </w:rPr>
              <w:t>5</w:t>
            </w:r>
            <w:r>
              <w:rPr>
                <w:rFonts w:hint="eastAsia" w:ascii="宋体" w:hAnsi="宋体"/>
                <w:sz w:val="21"/>
                <w:szCs w:val="21"/>
              </w:rPr>
              <w:t>米范围内绿道、绿化景观进行建设</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21178</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市林业和绿化局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95271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生态经济</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滕州市</w:t>
            </w:r>
            <w:r>
              <w:rPr>
                <w:rFonts w:hint="eastAsia"/>
                <w:sz w:val="21"/>
                <w:szCs w:val="21"/>
              </w:rPr>
              <w:t>8</w:t>
            </w:r>
            <w:r>
              <w:rPr>
                <w:rFonts w:ascii="宋体" w:hAnsi="宋体"/>
                <w:sz w:val="21"/>
                <w:szCs w:val="21"/>
              </w:rPr>
              <w:t>万亩高标准农田建设项目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项目区土地总面积</w:t>
            </w:r>
            <w:r>
              <w:rPr>
                <w:rFonts w:hint="eastAsia"/>
                <w:sz w:val="21"/>
                <w:szCs w:val="21"/>
              </w:rPr>
              <w:t>9.3</w:t>
            </w:r>
            <w:r>
              <w:rPr>
                <w:rFonts w:ascii="宋体" w:hAnsi="宋体"/>
                <w:sz w:val="21"/>
                <w:szCs w:val="21"/>
              </w:rPr>
              <w:t>万亩。新打、修复机井</w:t>
            </w:r>
            <w:r>
              <w:rPr>
                <w:rFonts w:hint="eastAsia"/>
                <w:sz w:val="21"/>
                <w:szCs w:val="21"/>
              </w:rPr>
              <w:t>855</w:t>
            </w:r>
            <w:r>
              <w:rPr>
                <w:rFonts w:ascii="宋体" w:hAnsi="宋体"/>
                <w:sz w:val="21"/>
                <w:szCs w:val="21"/>
              </w:rPr>
              <w:t>眼、埋设低压输电线路</w:t>
            </w:r>
            <w:r>
              <w:rPr>
                <w:rFonts w:hint="eastAsia"/>
                <w:sz w:val="21"/>
                <w:szCs w:val="21"/>
              </w:rPr>
              <w:t>158</w:t>
            </w:r>
            <w:r>
              <w:rPr>
                <w:rFonts w:ascii="宋体" w:hAnsi="宋体"/>
                <w:sz w:val="21"/>
                <w:szCs w:val="21"/>
              </w:rPr>
              <w:t>公里、购置安装变压器</w:t>
            </w:r>
            <w:r>
              <w:rPr>
                <w:rFonts w:hint="eastAsia"/>
                <w:sz w:val="21"/>
                <w:szCs w:val="21"/>
              </w:rPr>
              <w:t>21</w:t>
            </w:r>
            <w:r>
              <w:rPr>
                <w:rFonts w:ascii="宋体" w:hAnsi="宋体"/>
                <w:sz w:val="21"/>
                <w:szCs w:val="21"/>
              </w:rPr>
              <w:t>台套、架设高压线</w:t>
            </w:r>
            <w:r>
              <w:rPr>
                <w:rFonts w:hint="eastAsia"/>
                <w:sz w:val="21"/>
                <w:szCs w:val="21"/>
              </w:rPr>
              <w:t>13.8</w:t>
            </w:r>
            <w:r>
              <w:rPr>
                <w:rFonts w:ascii="宋体" w:hAnsi="宋体"/>
                <w:sz w:val="21"/>
                <w:szCs w:val="21"/>
              </w:rPr>
              <w:t>公里、埋设管道</w:t>
            </w:r>
            <w:r>
              <w:rPr>
                <w:rFonts w:hint="eastAsia"/>
                <w:sz w:val="21"/>
                <w:szCs w:val="21"/>
              </w:rPr>
              <w:t>535.6</w:t>
            </w:r>
            <w:r>
              <w:rPr>
                <w:rFonts w:ascii="宋体" w:hAnsi="宋体"/>
                <w:sz w:val="21"/>
                <w:szCs w:val="21"/>
              </w:rPr>
              <w:t>公里、开挖排水沟</w:t>
            </w:r>
            <w:r>
              <w:rPr>
                <w:rFonts w:hint="eastAsia"/>
                <w:sz w:val="21"/>
                <w:szCs w:val="21"/>
              </w:rPr>
              <w:t>153.5</w:t>
            </w:r>
            <w:r>
              <w:rPr>
                <w:rFonts w:ascii="宋体" w:hAnsi="宋体"/>
                <w:sz w:val="21"/>
                <w:szCs w:val="21"/>
              </w:rPr>
              <w:t>公里、建管涵</w:t>
            </w:r>
            <w:r>
              <w:rPr>
                <w:rFonts w:hint="eastAsia"/>
                <w:sz w:val="21"/>
                <w:szCs w:val="21"/>
              </w:rPr>
              <w:t>739</w:t>
            </w:r>
            <w:r>
              <w:rPr>
                <w:rFonts w:ascii="宋体" w:hAnsi="宋体"/>
                <w:sz w:val="21"/>
                <w:szCs w:val="21"/>
              </w:rPr>
              <w:t>座、整修混凝土路</w:t>
            </w:r>
            <w:r>
              <w:rPr>
                <w:rFonts w:hint="eastAsia"/>
                <w:sz w:val="21"/>
                <w:szCs w:val="21"/>
              </w:rPr>
              <w:t>57.7</w:t>
            </w:r>
            <w:r>
              <w:rPr>
                <w:rFonts w:ascii="宋体" w:hAnsi="宋体"/>
                <w:sz w:val="21"/>
                <w:szCs w:val="21"/>
              </w:rPr>
              <w:t>公里、整修砂石路</w:t>
            </w:r>
            <w:r>
              <w:rPr>
                <w:rFonts w:hint="eastAsia"/>
                <w:sz w:val="21"/>
                <w:szCs w:val="21"/>
              </w:rPr>
              <w:t>10.2</w:t>
            </w:r>
            <w:r>
              <w:rPr>
                <w:rFonts w:ascii="宋体" w:hAnsi="宋体"/>
                <w:sz w:val="21"/>
                <w:szCs w:val="21"/>
              </w:rPr>
              <w:t>公里、植树</w:t>
            </w:r>
            <w:r>
              <w:rPr>
                <w:rFonts w:hint="eastAsia"/>
                <w:sz w:val="21"/>
                <w:szCs w:val="21"/>
              </w:rPr>
              <w:t>31.2</w:t>
            </w:r>
            <w:r>
              <w:rPr>
                <w:rFonts w:ascii="宋体" w:hAnsi="宋体"/>
                <w:sz w:val="21"/>
                <w:szCs w:val="21"/>
              </w:rPr>
              <w:t>万株。</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14725</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己内酰胺产业链配套节能减碳一体化工程项目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项目占地</w:t>
            </w:r>
            <w:r>
              <w:rPr>
                <w:sz w:val="21"/>
                <w:szCs w:val="21"/>
              </w:rPr>
              <w:t>331</w:t>
            </w:r>
            <w:r>
              <w:rPr>
                <w:rFonts w:ascii="宋体" w:hAnsi="宋体"/>
                <w:sz w:val="21"/>
                <w:szCs w:val="21"/>
              </w:rPr>
              <w:t>亩，围绕己内酰胺产业链的相关环节，开展</w:t>
            </w:r>
            <w:r>
              <w:rPr>
                <w:sz w:val="21"/>
                <w:szCs w:val="21"/>
              </w:rPr>
              <w:t>3000</w:t>
            </w:r>
            <w:r>
              <w:rPr>
                <w:rFonts w:ascii="宋体" w:hAnsi="宋体"/>
                <w:sz w:val="21"/>
                <w:szCs w:val="21"/>
              </w:rPr>
              <w:t>吨</w:t>
            </w:r>
            <w:r>
              <w:rPr>
                <w:sz w:val="21"/>
                <w:szCs w:val="21"/>
              </w:rPr>
              <w:t>/</w:t>
            </w:r>
            <w:r>
              <w:rPr>
                <w:rFonts w:ascii="宋体" w:hAnsi="宋体"/>
                <w:sz w:val="21"/>
                <w:szCs w:val="21"/>
              </w:rPr>
              <w:t>日</w:t>
            </w:r>
            <w:r>
              <w:rPr>
                <w:sz w:val="21"/>
                <w:szCs w:val="21"/>
              </w:rPr>
              <w:t>OMB</w:t>
            </w:r>
            <w:r>
              <w:rPr>
                <w:rFonts w:ascii="宋体" w:hAnsi="宋体"/>
                <w:sz w:val="21"/>
                <w:szCs w:val="21"/>
              </w:rPr>
              <w:t>新型粉煤气化研发，配套建设变换、气体净化、合成、废气湿法制酸、液体二氧化碳等装置，为现有己内酰胺装置提供原材料，同时对己内酰胺装置进行扩产改造，将产能提升到</w:t>
            </w:r>
            <w:r>
              <w:rPr>
                <w:sz w:val="21"/>
                <w:szCs w:val="21"/>
              </w:rPr>
              <w:t>40</w:t>
            </w:r>
            <w:r>
              <w:rPr>
                <w:rFonts w:ascii="宋体" w:hAnsi="宋体"/>
                <w:sz w:val="21"/>
                <w:szCs w:val="21"/>
              </w:rPr>
              <w:t>万吨</w:t>
            </w:r>
            <w:r>
              <w:rPr>
                <w:sz w:val="21"/>
                <w:szCs w:val="21"/>
              </w:rPr>
              <w:t>/</w:t>
            </w:r>
            <w:r>
              <w:rPr>
                <w:rFonts w:ascii="宋体" w:hAnsi="宋体"/>
                <w:sz w:val="21"/>
                <w:szCs w:val="21"/>
              </w:rPr>
              <w:t>年。</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267073</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木石镇人民政府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利用窑炉余热和太阳能年处置污泥干化生产新兴建材项目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新建厂房</w:t>
            </w:r>
            <w:r>
              <w:rPr>
                <w:sz w:val="21"/>
                <w:szCs w:val="21"/>
              </w:rPr>
              <w:t>51522.5</w:t>
            </w:r>
            <w:r>
              <w:rPr>
                <w:rFonts w:ascii="宋体" w:hAnsi="宋体"/>
                <w:sz w:val="21"/>
                <w:szCs w:val="21"/>
              </w:rPr>
              <w:t>平方米，新购入设备</w:t>
            </w:r>
            <w:r>
              <w:rPr>
                <w:sz w:val="21"/>
                <w:szCs w:val="21"/>
              </w:rPr>
              <w:t>120</w:t>
            </w:r>
            <w:r>
              <w:rPr>
                <w:rFonts w:ascii="宋体" w:hAnsi="宋体"/>
                <w:sz w:val="21"/>
                <w:szCs w:val="21"/>
              </w:rPr>
              <w:t>余套，新建三条污泥处置生产线，一条</w:t>
            </w:r>
            <w:r>
              <w:rPr>
                <w:sz w:val="21"/>
                <w:szCs w:val="21"/>
              </w:rPr>
              <w:t>9.4</w:t>
            </w:r>
            <w:r>
              <w:rPr>
                <w:rFonts w:ascii="宋体" w:hAnsi="宋体"/>
                <w:sz w:val="21"/>
                <w:szCs w:val="21"/>
              </w:rPr>
              <w:t>米窑炉新建厂房</w:t>
            </w:r>
            <w:r>
              <w:rPr>
                <w:sz w:val="21"/>
                <w:szCs w:val="21"/>
              </w:rPr>
              <w:t>51522.5</w:t>
            </w:r>
            <w:r>
              <w:rPr>
                <w:rFonts w:ascii="宋体" w:hAnsi="宋体"/>
                <w:sz w:val="21"/>
                <w:szCs w:val="21"/>
              </w:rPr>
              <w:t>平方</w:t>
            </w:r>
            <w:r>
              <w:rPr>
                <w:rFonts w:hint="eastAsia" w:ascii="宋体" w:hAnsi="宋体"/>
                <w:sz w:val="21"/>
                <w:szCs w:val="21"/>
              </w:rPr>
              <w:t>米</w:t>
            </w:r>
            <w:r>
              <w:rPr>
                <w:rFonts w:ascii="宋体" w:hAnsi="宋体"/>
                <w:sz w:val="21"/>
                <w:szCs w:val="21"/>
              </w:rPr>
              <w:t>，新购入设备</w:t>
            </w:r>
            <w:r>
              <w:rPr>
                <w:sz w:val="21"/>
                <w:szCs w:val="21"/>
              </w:rPr>
              <w:t>120</w:t>
            </w:r>
            <w:r>
              <w:rPr>
                <w:rFonts w:ascii="宋体" w:hAnsi="宋体"/>
                <w:sz w:val="21"/>
                <w:szCs w:val="21"/>
              </w:rPr>
              <w:t>余套，新建三条污泥处置生产线，一条</w:t>
            </w:r>
            <w:r>
              <w:rPr>
                <w:sz w:val="21"/>
                <w:szCs w:val="21"/>
              </w:rPr>
              <w:t>9.4</w:t>
            </w:r>
            <w:r>
              <w:rPr>
                <w:rFonts w:ascii="宋体" w:hAnsi="宋体"/>
                <w:sz w:val="21"/>
                <w:szCs w:val="21"/>
              </w:rPr>
              <w:t>米窑炉。</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15000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中科博联智能环保产业园有机固废资源化利用示范中心项目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项目占地</w:t>
            </w:r>
            <w:r>
              <w:rPr>
                <w:sz w:val="21"/>
                <w:szCs w:val="21"/>
              </w:rPr>
              <w:t>101</w:t>
            </w:r>
            <w:r>
              <w:rPr>
                <w:rFonts w:ascii="宋体" w:hAnsi="宋体"/>
                <w:sz w:val="21"/>
                <w:szCs w:val="21"/>
              </w:rPr>
              <w:t>亩，总处理规模</w:t>
            </w:r>
            <w:r>
              <w:rPr>
                <w:sz w:val="21"/>
                <w:szCs w:val="21"/>
              </w:rPr>
              <w:t>1000</w:t>
            </w:r>
            <w:r>
              <w:rPr>
                <w:rFonts w:ascii="宋体" w:hAnsi="宋体"/>
                <w:sz w:val="21"/>
                <w:szCs w:val="21"/>
              </w:rPr>
              <w:t>吨</w:t>
            </w:r>
            <w:r>
              <w:rPr>
                <w:sz w:val="21"/>
                <w:szCs w:val="21"/>
              </w:rPr>
              <w:t>/</w:t>
            </w:r>
            <w:r>
              <w:rPr>
                <w:rFonts w:ascii="宋体" w:hAnsi="宋体"/>
                <w:sz w:val="21"/>
                <w:szCs w:val="21"/>
              </w:rPr>
              <w:t>日，分三期建设，一期处理规模</w:t>
            </w:r>
            <w:r>
              <w:rPr>
                <w:sz w:val="21"/>
                <w:szCs w:val="21"/>
              </w:rPr>
              <w:t>200</w:t>
            </w:r>
            <w:r>
              <w:rPr>
                <w:rFonts w:ascii="宋体" w:hAnsi="宋体"/>
                <w:sz w:val="21"/>
                <w:szCs w:val="21"/>
              </w:rPr>
              <w:t>吨</w:t>
            </w:r>
            <w:r>
              <w:rPr>
                <w:sz w:val="21"/>
                <w:szCs w:val="21"/>
              </w:rPr>
              <w:t>/</w:t>
            </w:r>
            <w:r>
              <w:rPr>
                <w:rFonts w:ascii="宋体" w:hAnsi="宋体"/>
                <w:sz w:val="21"/>
                <w:szCs w:val="21"/>
              </w:rPr>
              <w:t>日，二期处理规模</w:t>
            </w:r>
            <w:r>
              <w:rPr>
                <w:sz w:val="21"/>
                <w:szCs w:val="21"/>
              </w:rPr>
              <w:t>150</w:t>
            </w:r>
            <w:r>
              <w:rPr>
                <w:rFonts w:ascii="宋体" w:hAnsi="宋体"/>
                <w:sz w:val="21"/>
                <w:szCs w:val="21"/>
              </w:rPr>
              <w:t>吨</w:t>
            </w:r>
            <w:r>
              <w:rPr>
                <w:sz w:val="21"/>
                <w:szCs w:val="21"/>
              </w:rPr>
              <w:t>/</w:t>
            </w:r>
            <w:r>
              <w:rPr>
                <w:rFonts w:ascii="宋体" w:hAnsi="宋体"/>
                <w:sz w:val="21"/>
                <w:szCs w:val="21"/>
              </w:rPr>
              <w:t>日，三期处理规模</w:t>
            </w:r>
            <w:r>
              <w:rPr>
                <w:sz w:val="21"/>
                <w:szCs w:val="21"/>
              </w:rPr>
              <w:t>650</w:t>
            </w:r>
            <w:r>
              <w:rPr>
                <w:rFonts w:ascii="宋体" w:hAnsi="宋体"/>
                <w:sz w:val="21"/>
                <w:szCs w:val="21"/>
              </w:rPr>
              <w:t>吨</w:t>
            </w:r>
            <w:r>
              <w:rPr>
                <w:sz w:val="21"/>
                <w:szCs w:val="21"/>
              </w:rPr>
              <w:t>/</w:t>
            </w:r>
            <w:r>
              <w:rPr>
                <w:rFonts w:ascii="宋体" w:hAnsi="宋体"/>
                <w:sz w:val="21"/>
                <w:szCs w:val="21"/>
              </w:rPr>
              <w:t>日。</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37000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洪绪镇人民政府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富利森污泥综合利用项目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年产</w:t>
            </w:r>
            <w:r>
              <w:rPr>
                <w:sz w:val="21"/>
                <w:szCs w:val="21"/>
              </w:rPr>
              <w:t>30</w:t>
            </w:r>
            <w:r>
              <w:rPr>
                <w:rFonts w:ascii="宋体" w:hAnsi="宋体"/>
                <w:sz w:val="21"/>
                <w:szCs w:val="21"/>
              </w:rPr>
              <w:t>万立方烧结空心砖，年处置市政污泥</w:t>
            </w:r>
            <w:r>
              <w:rPr>
                <w:sz w:val="21"/>
                <w:szCs w:val="21"/>
              </w:rPr>
              <w:t>20</w:t>
            </w:r>
            <w:r>
              <w:rPr>
                <w:rFonts w:ascii="宋体" w:hAnsi="宋体"/>
                <w:sz w:val="21"/>
                <w:szCs w:val="21"/>
              </w:rPr>
              <w:t>万吨，一般固废</w:t>
            </w:r>
            <w:r>
              <w:rPr>
                <w:sz w:val="21"/>
                <w:szCs w:val="21"/>
              </w:rPr>
              <w:t>60</w:t>
            </w:r>
            <w:r>
              <w:rPr>
                <w:rFonts w:ascii="宋体" w:hAnsi="宋体"/>
                <w:sz w:val="21"/>
                <w:szCs w:val="21"/>
              </w:rPr>
              <w:t>万吨。</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18800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年处理</w:t>
            </w:r>
            <w:r>
              <w:rPr>
                <w:sz w:val="21"/>
                <w:szCs w:val="21"/>
              </w:rPr>
              <w:t>200</w:t>
            </w:r>
            <w:r>
              <w:rPr>
                <w:rFonts w:ascii="宋体" w:hAnsi="宋体"/>
                <w:sz w:val="21"/>
                <w:szCs w:val="21"/>
              </w:rPr>
              <w:t>万吨一般固废节能降碳综合利用项目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总用地面积</w:t>
            </w:r>
            <w:r>
              <w:rPr>
                <w:sz w:val="21"/>
                <w:szCs w:val="21"/>
              </w:rPr>
              <w:t>60</w:t>
            </w:r>
            <w:r>
              <w:rPr>
                <w:rFonts w:ascii="宋体" w:hAnsi="宋体"/>
                <w:sz w:val="21"/>
                <w:szCs w:val="21"/>
              </w:rPr>
              <w:t>亩，建筑面积</w:t>
            </w:r>
            <w:r>
              <w:rPr>
                <w:sz w:val="21"/>
                <w:szCs w:val="21"/>
              </w:rPr>
              <w:t>8</w:t>
            </w:r>
            <w:r>
              <w:rPr>
                <w:rFonts w:ascii="宋体" w:hAnsi="宋体"/>
                <w:sz w:val="21"/>
                <w:szCs w:val="21"/>
              </w:rPr>
              <w:t>万平方米。项目建设</w:t>
            </w:r>
            <w:r>
              <w:rPr>
                <w:sz w:val="21"/>
                <w:szCs w:val="21"/>
              </w:rPr>
              <w:t>4</w:t>
            </w:r>
            <w:r>
              <w:rPr>
                <w:rFonts w:ascii="宋体" w:hAnsi="宋体"/>
                <w:sz w:val="21"/>
                <w:szCs w:val="21"/>
              </w:rPr>
              <w:t>条</w:t>
            </w:r>
            <w:r>
              <w:rPr>
                <w:sz w:val="21"/>
                <w:szCs w:val="21"/>
              </w:rPr>
              <w:t>5.6</w:t>
            </w:r>
            <w:r>
              <w:rPr>
                <w:rFonts w:hint="eastAsia" w:ascii="宋体" w:hAnsi="宋体"/>
                <w:sz w:val="21"/>
                <w:szCs w:val="21"/>
              </w:rPr>
              <w:t>米</w:t>
            </w:r>
            <w:r>
              <w:rPr>
                <w:rFonts w:ascii="宋体" w:hAnsi="宋体"/>
                <w:sz w:val="21"/>
                <w:szCs w:val="21"/>
              </w:rPr>
              <w:t>全自动联合生产线，</w:t>
            </w:r>
            <w:r>
              <w:rPr>
                <w:sz w:val="21"/>
                <w:szCs w:val="21"/>
              </w:rPr>
              <w:t>2</w:t>
            </w:r>
            <w:r>
              <w:rPr>
                <w:rFonts w:ascii="宋体" w:hAnsi="宋体"/>
                <w:sz w:val="21"/>
                <w:szCs w:val="21"/>
              </w:rPr>
              <w:t>套太阳能温室系统，</w:t>
            </w:r>
            <w:r>
              <w:rPr>
                <w:sz w:val="21"/>
                <w:szCs w:val="21"/>
              </w:rPr>
              <w:t>2</w:t>
            </w:r>
            <w:r>
              <w:rPr>
                <w:rFonts w:ascii="宋体" w:hAnsi="宋体"/>
                <w:sz w:val="21"/>
                <w:szCs w:val="21"/>
              </w:rPr>
              <w:t>套钢板床余热加热系统及配套除臭系统。建成后，年生产新型建材</w:t>
            </w:r>
            <w:r>
              <w:rPr>
                <w:sz w:val="21"/>
                <w:szCs w:val="21"/>
              </w:rPr>
              <w:t>80</w:t>
            </w:r>
            <w:r>
              <w:rPr>
                <w:rFonts w:ascii="宋体" w:hAnsi="宋体"/>
                <w:sz w:val="21"/>
                <w:szCs w:val="21"/>
              </w:rPr>
              <w:t>万立方，年处理固废</w:t>
            </w:r>
            <w:r>
              <w:rPr>
                <w:sz w:val="21"/>
                <w:szCs w:val="21"/>
              </w:rPr>
              <w:t>120</w:t>
            </w:r>
            <w:r>
              <w:rPr>
                <w:rFonts w:ascii="宋体" w:hAnsi="宋体"/>
                <w:sz w:val="21"/>
                <w:szCs w:val="21"/>
              </w:rPr>
              <w:t>万吨。</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50000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日产</w:t>
            </w:r>
            <w:r>
              <w:rPr>
                <w:sz w:val="21"/>
                <w:szCs w:val="21"/>
              </w:rPr>
              <w:t>4000</w:t>
            </w:r>
            <w:r>
              <w:rPr>
                <w:rFonts w:hint="eastAsia" w:ascii="宋体" w:hAnsi="宋体"/>
                <w:sz w:val="21"/>
                <w:szCs w:val="21"/>
              </w:rPr>
              <w:t>吨新型干法水泥熟料生产线暨协同处置污染土技改项目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项目利用原有的两条日产</w:t>
            </w:r>
            <w:r>
              <w:rPr>
                <w:sz w:val="21"/>
                <w:szCs w:val="21"/>
              </w:rPr>
              <w:t>2500</w:t>
            </w:r>
            <w:r>
              <w:rPr>
                <w:rFonts w:hint="eastAsia" w:ascii="宋体" w:hAnsi="宋体"/>
                <w:sz w:val="21"/>
                <w:szCs w:val="21"/>
              </w:rPr>
              <w:t>吨水泥熟料生产线场地和厂区部分附属设施，建设一条日产熟料</w:t>
            </w:r>
            <w:r>
              <w:rPr>
                <w:sz w:val="21"/>
                <w:szCs w:val="21"/>
              </w:rPr>
              <w:t>4000</w:t>
            </w:r>
            <w:r>
              <w:rPr>
                <w:rFonts w:hint="eastAsia" w:ascii="宋体" w:hAnsi="宋体"/>
                <w:sz w:val="21"/>
                <w:szCs w:val="21"/>
              </w:rPr>
              <w:t>吨、采用六级运行的旋风预热器带在线喷腾式分解炉的新型干法水泥熟料生产线。同步配套建设</w:t>
            </w:r>
            <w:r>
              <w:rPr>
                <w:sz w:val="21"/>
                <w:szCs w:val="21"/>
              </w:rPr>
              <w:t>7.5</w:t>
            </w:r>
            <w:r>
              <w:rPr>
                <w:rFonts w:hint="eastAsia" w:ascii="宋体" w:hAnsi="宋体"/>
                <w:sz w:val="21"/>
                <w:szCs w:val="21"/>
              </w:rPr>
              <w:t>兆瓦低温余热发电系统、脱硝工程、脱硫工程以及协同处置污染土壤等一般固体废物系统。建成后，日产</w:t>
            </w:r>
            <w:r>
              <w:rPr>
                <w:sz w:val="21"/>
                <w:szCs w:val="21"/>
              </w:rPr>
              <w:t>4000</w:t>
            </w:r>
            <w:r>
              <w:rPr>
                <w:rFonts w:hint="eastAsia" w:ascii="宋体" w:hAnsi="宋体"/>
                <w:sz w:val="21"/>
                <w:szCs w:val="21"/>
              </w:rPr>
              <w:t>吨水泥熟料。</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2023</w:t>
            </w:r>
            <w:r>
              <w:rPr>
                <w:rFonts w:hint="eastAsia" w:ascii="宋体" w:hAnsi="宋体"/>
                <w:sz w:val="21"/>
                <w:szCs w:val="21"/>
              </w:rPr>
              <w:t>—</w:t>
            </w:r>
            <w:r>
              <w:rPr>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77713</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界河镇人民政府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固体碱化料排放热量余热回收</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固体碱在化料滚筒中经蒸汽加热熔化，液体碱在排放至缓冲罐中有大量的二次闪蒸汽产生，缓冲罐内加入换热盘管及对设备罐体保温，换热盘管通入自来水，出来换热后热水又补充到化料滚筒中，既减少滚筒内物料加热时间，有减少产品消耗。预计建成后，每天节约热量相当于蒸汽</w:t>
            </w:r>
            <w:r>
              <w:rPr>
                <w:sz w:val="21"/>
                <w:szCs w:val="21"/>
              </w:rPr>
              <w:t>22</w:t>
            </w:r>
            <w:r>
              <w:rPr>
                <w:rFonts w:hint="eastAsia" w:ascii="宋体" w:hAnsi="宋体"/>
                <w:sz w:val="21"/>
                <w:szCs w:val="21"/>
              </w:rPr>
              <w:t>吨</w:t>
            </w:r>
            <w:r>
              <w:rPr>
                <w:rFonts w:ascii="宋体" w:hAnsi="宋体"/>
                <w:sz w:val="21"/>
                <w:szCs w:val="21"/>
              </w:rPr>
              <w:t>。</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东郭镇人民政府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9</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滕州亿达华闻煤电化有限公司</w:t>
            </w:r>
            <w:r>
              <w:rPr>
                <w:sz w:val="21"/>
                <w:szCs w:val="21"/>
              </w:rPr>
              <w:t>1*B12</w:t>
            </w:r>
            <w:r>
              <w:rPr>
                <w:rFonts w:ascii="宋体" w:hAnsi="宋体"/>
                <w:sz w:val="21"/>
                <w:szCs w:val="21"/>
              </w:rPr>
              <w:t>热电联产改扩建项目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新上</w:t>
            </w:r>
            <w:r>
              <w:rPr>
                <w:sz w:val="21"/>
                <w:szCs w:val="21"/>
              </w:rPr>
              <w:t>1*240</w:t>
            </w:r>
            <w:r>
              <w:rPr>
                <w:rFonts w:ascii="宋体" w:hAnsi="宋体"/>
                <w:sz w:val="21"/>
                <w:szCs w:val="21"/>
              </w:rPr>
              <w:t>吨</w:t>
            </w:r>
            <w:r>
              <w:rPr>
                <w:sz w:val="21"/>
                <w:szCs w:val="21"/>
              </w:rPr>
              <w:t>/</w:t>
            </w:r>
            <w:r>
              <w:rPr>
                <w:rFonts w:ascii="宋体" w:hAnsi="宋体"/>
                <w:sz w:val="21"/>
                <w:szCs w:val="21"/>
              </w:rPr>
              <w:t>小时循环流化床锅炉</w:t>
            </w:r>
            <w:r>
              <w:rPr>
                <w:sz w:val="21"/>
                <w:szCs w:val="21"/>
              </w:rPr>
              <w:t>+1*B12MW</w:t>
            </w:r>
            <w:r>
              <w:rPr>
                <w:rFonts w:ascii="宋体" w:hAnsi="宋体"/>
                <w:sz w:val="21"/>
                <w:szCs w:val="21"/>
              </w:rPr>
              <w:t>背压式汽轮机组</w:t>
            </w:r>
            <w:r>
              <w:rPr>
                <w:sz w:val="21"/>
                <w:szCs w:val="21"/>
              </w:rPr>
              <w:t>+QF6</w:t>
            </w:r>
            <w:r>
              <w:rPr>
                <w:rFonts w:ascii="宋体" w:hAnsi="宋体"/>
                <w:sz w:val="21"/>
                <w:szCs w:val="21"/>
              </w:rPr>
              <w:t>发电机及配套设施。</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8830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级索镇人民政府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10</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年处理</w:t>
            </w:r>
            <w:r>
              <w:rPr>
                <w:sz w:val="21"/>
                <w:szCs w:val="21"/>
              </w:rPr>
              <w:t>10</w:t>
            </w:r>
            <w:r>
              <w:rPr>
                <w:rFonts w:ascii="宋体" w:hAnsi="宋体"/>
                <w:sz w:val="21"/>
                <w:szCs w:val="21"/>
              </w:rPr>
              <w:t>万吨危险废物无害化和再生材料项目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以二次焚烧残渣、含重金属废弃物等需要以填埋形式处理的废物为目标，建立一套</w:t>
            </w:r>
            <w:r>
              <w:rPr>
                <w:sz w:val="21"/>
                <w:szCs w:val="21"/>
              </w:rPr>
              <w:t>10</w:t>
            </w:r>
            <w:r>
              <w:rPr>
                <w:rFonts w:ascii="宋体" w:hAnsi="宋体"/>
                <w:sz w:val="21"/>
                <w:szCs w:val="21"/>
              </w:rPr>
              <w:t>万吨</w:t>
            </w:r>
            <w:r>
              <w:rPr>
                <w:sz w:val="21"/>
                <w:szCs w:val="21"/>
              </w:rPr>
              <w:t>/</w:t>
            </w:r>
            <w:r>
              <w:rPr>
                <w:rFonts w:ascii="宋体" w:hAnsi="宋体"/>
                <w:sz w:val="21"/>
                <w:szCs w:val="21"/>
              </w:rPr>
              <w:t>年的危险废物无害化和再生材料工厂。</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103000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大坞镇人民政府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w:t>
            </w: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年产</w:t>
            </w:r>
            <w:r>
              <w:rPr>
                <w:sz w:val="21"/>
                <w:szCs w:val="21"/>
              </w:rPr>
              <w:t>6</w:t>
            </w:r>
            <w:r>
              <w:rPr>
                <w:rFonts w:ascii="宋体" w:hAnsi="宋体"/>
                <w:sz w:val="21"/>
                <w:szCs w:val="21"/>
              </w:rPr>
              <w:t>亿件全降解植物纤维环保餐饮具建设项目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建筑面积</w:t>
            </w:r>
            <w:r>
              <w:rPr>
                <w:sz w:val="21"/>
                <w:szCs w:val="21"/>
              </w:rPr>
              <w:t>12000</w:t>
            </w:r>
            <w:r>
              <w:rPr>
                <w:rFonts w:ascii="宋体" w:hAnsi="宋体"/>
                <w:sz w:val="21"/>
                <w:szCs w:val="21"/>
              </w:rPr>
              <w:t>平方米。项目主要建设内容为：植物纤维全降解环保餐具、餐饮用具等产品生产车间及配套设施，采购成定型一体机、</w:t>
            </w:r>
            <w:r>
              <w:rPr>
                <w:sz w:val="21"/>
                <w:szCs w:val="21"/>
              </w:rPr>
              <w:t>SA18</w:t>
            </w:r>
            <w:r>
              <w:rPr>
                <w:rFonts w:ascii="宋体" w:hAnsi="宋体"/>
                <w:sz w:val="21"/>
                <w:szCs w:val="21"/>
              </w:rPr>
              <w:t>螺旋空压机等设备</w:t>
            </w:r>
            <w:r>
              <w:rPr>
                <w:sz w:val="21"/>
                <w:szCs w:val="21"/>
              </w:rPr>
              <w:t>158</w:t>
            </w:r>
            <w:r>
              <w:rPr>
                <w:rFonts w:ascii="宋体" w:hAnsi="宋体"/>
                <w:sz w:val="21"/>
                <w:szCs w:val="21"/>
              </w:rPr>
              <w:t>台套，项目建成后可年产</w:t>
            </w:r>
            <w:r>
              <w:rPr>
                <w:sz w:val="21"/>
                <w:szCs w:val="21"/>
              </w:rPr>
              <w:t>6</w:t>
            </w:r>
            <w:r>
              <w:rPr>
                <w:rFonts w:ascii="宋体" w:hAnsi="宋体"/>
                <w:sz w:val="21"/>
                <w:szCs w:val="21"/>
              </w:rPr>
              <w:t>亿件全降解植物纤维环保餐具。</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12000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明阳新能源滕州</w:t>
            </w:r>
            <w:r>
              <w:rPr>
                <w:sz w:val="21"/>
                <w:szCs w:val="21"/>
              </w:rPr>
              <w:t>200MW</w:t>
            </w:r>
            <w:r>
              <w:rPr>
                <w:rFonts w:ascii="宋体" w:hAnsi="宋体"/>
                <w:sz w:val="21"/>
                <w:szCs w:val="21"/>
              </w:rPr>
              <w:t>渔光互补项目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利用塌陷地、一般农用地，投资建设</w:t>
            </w:r>
            <w:r>
              <w:rPr>
                <w:sz w:val="21"/>
                <w:szCs w:val="21"/>
              </w:rPr>
              <w:t>200</w:t>
            </w:r>
            <w:r>
              <w:rPr>
                <w:rFonts w:ascii="宋体" w:hAnsi="宋体"/>
                <w:sz w:val="21"/>
                <w:szCs w:val="21"/>
              </w:rPr>
              <w:t>兆瓦集现代农业、渔业、新能源光伏发电于一体的复合型光伏项目。</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70000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屋顶分布式光伏项目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共建设分布式光伏</w:t>
            </w:r>
            <w:r>
              <w:rPr>
                <w:rFonts w:hint="eastAsia"/>
                <w:sz w:val="21"/>
                <w:szCs w:val="21"/>
              </w:rPr>
              <w:t>6000</w:t>
            </w:r>
            <w:r>
              <w:rPr>
                <w:rFonts w:hint="eastAsia" w:ascii="宋体" w:hAnsi="宋体"/>
                <w:sz w:val="21"/>
                <w:szCs w:val="21"/>
              </w:rPr>
              <w:t>平方米。</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480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大坞镇人民政府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675621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生态生活</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山东省滕州市重点采煤沉陷区西岗镇东湖生态治理及雨污分离管线改造项目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西岗镇东湖进行污水排水渠主干渠开挖、旧沟渠疏浚及配套水利工程建设。</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2020</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12000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西岗镇人民政府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东郭污水处理厂</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日处理能力</w:t>
            </w:r>
            <w:r>
              <w:rPr>
                <w:rFonts w:hint="eastAsia" w:ascii="宋体" w:hAnsi="宋体"/>
                <w:sz w:val="21"/>
                <w:szCs w:val="21"/>
              </w:rPr>
              <w:t>2</w:t>
            </w:r>
            <w:r>
              <w:rPr>
                <w:rFonts w:ascii="宋体" w:hAnsi="宋体"/>
                <w:sz w:val="21"/>
                <w:szCs w:val="21"/>
              </w:rPr>
              <w:t>万立方米。</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2023</w:t>
            </w:r>
            <w:r>
              <w:rPr>
                <w:rFonts w:hint="eastAsia" w:ascii="宋体" w:hAnsi="宋体"/>
                <w:sz w:val="21"/>
                <w:szCs w:val="21"/>
              </w:rPr>
              <w:t>—</w:t>
            </w:r>
            <w:r>
              <w:rPr>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12000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东郭镇人民政府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滕州市深水深滕污水处理厂技术改造项目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项目建设主要内容是优化厂区平面布置，增加水力停留时间，对现状</w:t>
            </w:r>
            <w:r>
              <w:rPr>
                <w:sz w:val="21"/>
                <w:szCs w:val="21"/>
              </w:rPr>
              <w:t>AAO</w:t>
            </w:r>
            <w:r>
              <w:rPr>
                <w:rFonts w:ascii="宋体" w:hAnsi="宋体"/>
                <w:sz w:val="21"/>
                <w:szCs w:val="21"/>
              </w:rPr>
              <w:t xml:space="preserve">模式的氧化沟进行改造，新建一组串联 </w:t>
            </w:r>
            <w:r>
              <w:rPr>
                <w:sz w:val="21"/>
                <w:szCs w:val="21"/>
              </w:rPr>
              <w:t xml:space="preserve">AO </w:t>
            </w:r>
            <w:r>
              <w:rPr>
                <w:rFonts w:ascii="宋体" w:hAnsi="宋体"/>
                <w:sz w:val="21"/>
                <w:szCs w:val="21"/>
              </w:rPr>
              <w:t>生物池，组成</w:t>
            </w:r>
            <w:r>
              <w:rPr>
                <w:sz w:val="21"/>
                <w:szCs w:val="21"/>
              </w:rPr>
              <w:t>AAOAO</w:t>
            </w:r>
            <w:r>
              <w:rPr>
                <w:rFonts w:ascii="宋体" w:hAnsi="宋体"/>
                <w:sz w:val="21"/>
                <w:szCs w:val="21"/>
              </w:rPr>
              <w:t>生化工艺，同时将污泥脱水由带式改造为板框脱水。建成后，进水氨氮指标由</w:t>
            </w:r>
            <w:r>
              <w:rPr>
                <w:sz w:val="21"/>
                <w:szCs w:val="21"/>
              </w:rPr>
              <w:t>35</w:t>
            </w:r>
            <w:r>
              <w:rPr>
                <w:rFonts w:ascii="宋体" w:hAnsi="宋体"/>
                <w:sz w:val="21"/>
                <w:szCs w:val="21"/>
              </w:rPr>
              <w:t>毫克</w:t>
            </w:r>
            <w:r>
              <w:rPr>
                <w:sz w:val="21"/>
                <w:szCs w:val="21"/>
              </w:rPr>
              <w:t>/</w:t>
            </w:r>
            <w:r>
              <w:rPr>
                <w:rFonts w:ascii="宋体" w:hAnsi="宋体"/>
                <w:sz w:val="21"/>
                <w:szCs w:val="21"/>
              </w:rPr>
              <w:t>升提升至</w:t>
            </w:r>
            <w:r>
              <w:rPr>
                <w:sz w:val="21"/>
                <w:szCs w:val="21"/>
              </w:rPr>
              <w:t>45</w:t>
            </w:r>
            <w:r>
              <w:rPr>
                <w:rFonts w:ascii="宋体" w:hAnsi="宋体"/>
                <w:sz w:val="21"/>
                <w:szCs w:val="21"/>
              </w:rPr>
              <w:t>毫克</w:t>
            </w:r>
            <w:r>
              <w:rPr>
                <w:sz w:val="21"/>
                <w:szCs w:val="21"/>
              </w:rPr>
              <w:t>/</w:t>
            </w:r>
            <w:r>
              <w:rPr>
                <w:rFonts w:ascii="宋体" w:hAnsi="宋体"/>
                <w:sz w:val="21"/>
                <w:szCs w:val="21"/>
              </w:rPr>
              <w:t>升，总氮指标由</w:t>
            </w:r>
            <w:r>
              <w:rPr>
                <w:sz w:val="21"/>
                <w:szCs w:val="21"/>
              </w:rPr>
              <w:t>45</w:t>
            </w:r>
            <w:r>
              <w:rPr>
                <w:rFonts w:ascii="宋体" w:hAnsi="宋体"/>
                <w:sz w:val="21"/>
                <w:szCs w:val="21"/>
              </w:rPr>
              <w:t>毫克</w:t>
            </w:r>
            <w:r>
              <w:rPr>
                <w:sz w:val="21"/>
                <w:szCs w:val="21"/>
              </w:rPr>
              <w:t>/</w:t>
            </w:r>
            <w:r>
              <w:rPr>
                <w:rFonts w:ascii="宋体" w:hAnsi="宋体"/>
                <w:sz w:val="21"/>
                <w:szCs w:val="21"/>
              </w:rPr>
              <w:t>升提升至</w:t>
            </w:r>
            <w:r>
              <w:rPr>
                <w:sz w:val="21"/>
                <w:szCs w:val="21"/>
              </w:rPr>
              <w:t>60</w:t>
            </w:r>
            <w:r>
              <w:rPr>
                <w:rFonts w:ascii="宋体" w:hAnsi="宋体"/>
                <w:sz w:val="21"/>
                <w:szCs w:val="21"/>
              </w:rPr>
              <w:t>毫克</w:t>
            </w:r>
            <w:r>
              <w:rPr>
                <w:sz w:val="21"/>
                <w:szCs w:val="21"/>
              </w:rPr>
              <w:t>/</w:t>
            </w:r>
            <w:r>
              <w:rPr>
                <w:rFonts w:ascii="宋体" w:hAnsi="宋体"/>
                <w:sz w:val="21"/>
                <w:szCs w:val="21"/>
              </w:rPr>
              <w:t>升，污泥含水率由</w:t>
            </w:r>
            <w:r>
              <w:rPr>
                <w:sz w:val="21"/>
                <w:szCs w:val="21"/>
              </w:rPr>
              <w:t>80%</w:t>
            </w:r>
            <w:r>
              <w:rPr>
                <w:rFonts w:ascii="宋体" w:hAnsi="宋体"/>
                <w:sz w:val="21"/>
                <w:szCs w:val="21"/>
              </w:rPr>
              <w:t>降至</w:t>
            </w:r>
            <w:r>
              <w:rPr>
                <w:sz w:val="21"/>
                <w:szCs w:val="21"/>
              </w:rPr>
              <w:t>60%</w:t>
            </w:r>
            <w:r>
              <w:rPr>
                <w:rFonts w:ascii="宋体" w:hAnsi="宋体"/>
                <w:sz w:val="21"/>
                <w:szCs w:val="21"/>
              </w:rPr>
              <w:t>以下。</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5600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滕州市城区污水管网改造提升工程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排水管网清淤检测、北辛路等</w:t>
            </w:r>
            <w:r>
              <w:rPr>
                <w:sz w:val="21"/>
                <w:szCs w:val="21"/>
              </w:rPr>
              <w:t>12</w:t>
            </w:r>
            <w:r>
              <w:rPr>
                <w:rFonts w:ascii="宋体" w:hAnsi="宋体"/>
                <w:sz w:val="21"/>
                <w:szCs w:val="21"/>
              </w:rPr>
              <w:t>条城区主干道路污水管网改造提升和第二、三污水处理厂污水干管改造提升工程；新建污水雨水收集管网</w:t>
            </w:r>
            <w:r>
              <w:rPr>
                <w:sz w:val="21"/>
                <w:szCs w:val="21"/>
              </w:rPr>
              <w:t>93.2</w:t>
            </w:r>
            <w:r>
              <w:rPr>
                <w:rFonts w:hint="eastAsia" w:ascii="宋体" w:hAnsi="宋体"/>
                <w:sz w:val="21"/>
                <w:szCs w:val="21"/>
              </w:rPr>
              <w:t>公里</w:t>
            </w:r>
            <w:r>
              <w:rPr>
                <w:rFonts w:ascii="宋体" w:hAnsi="宋体"/>
                <w:sz w:val="21"/>
                <w:szCs w:val="21"/>
              </w:rPr>
              <w:t>，清淤检测管道</w:t>
            </w:r>
            <w:r>
              <w:rPr>
                <w:sz w:val="21"/>
                <w:szCs w:val="21"/>
              </w:rPr>
              <w:t>74</w:t>
            </w:r>
            <w:r>
              <w:rPr>
                <w:rFonts w:hint="eastAsia" w:ascii="宋体" w:hAnsi="宋体"/>
                <w:sz w:val="21"/>
                <w:szCs w:val="21"/>
              </w:rPr>
              <w:t>公里</w:t>
            </w:r>
            <w:r>
              <w:rPr>
                <w:rFonts w:ascii="宋体" w:hAnsi="宋体"/>
                <w:sz w:val="21"/>
                <w:szCs w:val="21"/>
              </w:rPr>
              <w:t>，改造提升市区污水雨水收集智慧化处理系统</w:t>
            </w:r>
            <w:r>
              <w:rPr>
                <w:rFonts w:hint="eastAsia" w:ascii="宋体" w:hAnsi="宋体"/>
                <w:sz w:val="21"/>
                <w:szCs w:val="21"/>
              </w:rPr>
              <w:t>。</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28500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滕州市农村项目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hint="eastAsia" w:ascii="宋体" w:hAnsi="宋体"/>
                <w:sz w:val="21"/>
                <w:szCs w:val="21"/>
              </w:rPr>
              <w:t>因地制宜，采用不同治理模式</w:t>
            </w:r>
            <w:r>
              <w:rPr>
                <w:rFonts w:ascii="宋体" w:hAnsi="宋体"/>
                <w:sz w:val="21"/>
                <w:szCs w:val="21"/>
              </w:rPr>
              <w:t>，完成</w:t>
            </w:r>
            <w:r>
              <w:rPr>
                <w:rFonts w:hint="eastAsia" w:ascii="宋体" w:hAnsi="宋体"/>
                <w:sz w:val="21"/>
                <w:szCs w:val="21"/>
              </w:rPr>
              <w:t>滕州</w:t>
            </w:r>
            <w:r>
              <w:rPr>
                <w:rFonts w:ascii="宋体" w:hAnsi="宋体"/>
                <w:sz w:val="21"/>
                <w:szCs w:val="21"/>
              </w:rPr>
              <w:t>市</w:t>
            </w:r>
            <w:r>
              <w:rPr>
                <w:rFonts w:hint="eastAsia" w:ascii="宋体" w:hAnsi="宋体"/>
                <w:sz w:val="21"/>
                <w:szCs w:val="21"/>
              </w:rPr>
              <w:t>718个村农村生</w:t>
            </w:r>
            <w:r>
              <w:rPr>
                <w:rFonts w:ascii="宋体" w:hAnsi="宋体"/>
                <w:sz w:val="21"/>
                <w:szCs w:val="21"/>
              </w:rPr>
              <w:t>活污水</w:t>
            </w:r>
            <w:r>
              <w:rPr>
                <w:rFonts w:hint="eastAsia" w:ascii="宋体" w:hAnsi="宋体"/>
                <w:sz w:val="21"/>
                <w:szCs w:val="21"/>
              </w:rPr>
              <w:t>治理</w:t>
            </w:r>
            <w:r>
              <w:rPr>
                <w:rFonts w:ascii="宋体" w:hAnsi="宋体"/>
                <w:sz w:val="21"/>
                <w:szCs w:val="21"/>
              </w:rPr>
              <w:t>。</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202</w:t>
            </w:r>
            <w:r>
              <w:rPr>
                <w:rFonts w:hint="eastAsia"/>
                <w:sz w:val="21"/>
                <w:szCs w:val="21"/>
              </w:rPr>
              <w:t>2</w:t>
            </w:r>
            <w:r>
              <w:rPr>
                <w:rFonts w:hint="eastAsia" w:ascii="宋体" w:hAnsi="宋体"/>
                <w:sz w:val="21"/>
                <w:szCs w:val="21"/>
              </w:rPr>
              <w:t>—</w:t>
            </w:r>
            <w:r>
              <w:rPr>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40000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w:t>
            </w:r>
            <w:r>
              <w:rPr>
                <w:rFonts w:hint="eastAsia" w:ascii="宋体" w:hAnsi="宋体"/>
                <w:sz w:val="21"/>
                <w:szCs w:val="21"/>
              </w:rPr>
              <w:t>、各有关镇街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城区社区公园游园建设工程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计划实施凯润公园、大庙遗址公园、迎宾公园等社区公园游园建设，绿化面积约</w:t>
            </w:r>
            <w:r>
              <w:rPr>
                <w:sz w:val="21"/>
                <w:szCs w:val="21"/>
              </w:rPr>
              <w:t>11.5</w:t>
            </w:r>
            <w:r>
              <w:rPr>
                <w:rFonts w:ascii="宋体" w:hAnsi="宋体"/>
                <w:sz w:val="21"/>
                <w:szCs w:val="21"/>
              </w:rPr>
              <w:t>万平方米。</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6200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城乡公交一体化项目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textAlignment w:val="center"/>
              <w:rPr>
                <w:rFonts w:ascii="宋体" w:hAnsi="宋体"/>
                <w:sz w:val="28"/>
                <w:szCs w:val="28"/>
              </w:rPr>
            </w:pPr>
            <w:r>
              <w:rPr>
                <w:rFonts w:hint="eastAsia" w:ascii="宋体" w:hAnsi="宋体"/>
                <w:sz w:val="21"/>
                <w:szCs w:val="21"/>
              </w:rPr>
              <w:t>开通两条线路：</w:t>
            </w:r>
            <w:r>
              <w:rPr>
                <w:rFonts w:hint="eastAsia"/>
                <w:sz w:val="21"/>
                <w:szCs w:val="21"/>
              </w:rPr>
              <w:t>1</w:t>
            </w:r>
            <w:r>
              <w:rPr>
                <w:rFonts w:hint="eastAsia" w:ascii="宋体" w:hAnsi="宋体"/>
                <w:sz w:val="21"/>
                <w:szCs w:val="21"/>
              </w:rPr>
              <w:t>、滕州</w:t>
            </w:r>
            <w:r>
              <w:rPr>
                <w:rFonts w:hint="eastAsia"/>
                <w:sz w:val="21"/>
                <w:szCs w:val="21"/>
              </w:rPr>
              <w:t>-</w:t>
            </w:r>
            <w:r>
              <w:rPr>
                <w:rFonts w:hint="eastAsia" w:ascii="宋体" w:hAnsi="宋体"/>
                <w:sz w:val="21"/>
                <w:szCs w:val="21"/>
              </w:rPr>
              <w:t>山亭店子；</w:t>
            </w:r>
            <w:r>
              <w:rPr>
                <w:rFonts w:hint="eastAsia"/>
                <w:sz w:val="21"/>
                <w:szCs w:val="21"/>
              </w:rPr>
              <w:t>2</w:t>
            </w:r>
            <w:r>
              <w:rPr>
                <w:rFonts w:hint="eastAsia" w:ascii="宋体" w:hAnsi="宋体"/>
                <w:sz w:val="21"/>
                <w:szCs w:val="21"/>
              </w:rPr>
              <w:t>、滕州</w:t>
            </w:r>
            <w:r>
              <w:rPr>
                <w:rFonts w:hint="eastAsia"/>
                <w:sz w:val="21"/>
                <w:szCs w:val="21"/>
              </w:rPr>
              <w:t>-</w:t>
            </w:r>
            <w:r>
              <w:rPr>
                <w:rFonts w:hint="eastAsia" w:ascii="宋体" w:hAnsi="宋体"/>
                <w:sz w:val="21"/>
                <w:szCs w:val="21"/>
              </w:rPr>
              <w:t>邹城上九山。</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150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市交通</w:t>
            </w:r>
            <w:r>
              <w:rPr>
                <w:rFonts w:hint="eastAsia" w:ascii="宋体" w:hAnsi="宋体"/>
                <w:sz w:val="21"/>
                <w:szCs w:val="21"/>
              </w:rPr>
              <w:t>运输</w:t>
            </w:r>
            <w:r>
              <w:rPr>
                <w:rFonts w:ascii="宋体" w:hAnsi="宋体"/>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水库增容工程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ascii="宋体" w:hAnsi="宋体"/>
                <w:sz w:val="21"/>
                <w:szCs w:val="21"/>
              </w:rPr>
              <w:t>马河、户主水库清淤扩挖、增加兴利库容</w:t>
            </w:r>
            <w:r>
              <w:rPr>
                <w:rFonts w:hint="eastAsia"/>
                <w:sz w:val="21"/>
                <w:szCs w:val="21"/>
              </w:rPr>
              <w:t>2427</w:t>
            </w:r>
            <w:r>
              <w:rPr>
                <w:rFonts w:hint="eastAsia" w:ascii="宋体" w:hAnsi="宋体"/>
                <w:sz w:val="21"/>
                <w:szCs w:val="21"/>
              </w:rPr>
              <w:t>万立方米</w:t>
            </w:r>
            <w:r>
              <w:rPr>
                <w:rFonts w:ascii="宋体" w:hAnsi="宋体"/>
                <w:sz w:val="21"/>
                <w:szCs w:val="21"/>
              </w:rPr>
              <w:t>，修建环库路、安装水库隔离网，完善水库监控设施。</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2023</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30700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9</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w:t>
            </w:r>
            <w:r>
              <w:rPr>
                <w:rFonts w:ascii="宋体" w:hAnsi="宋体"/>
                <w:sz w:val="21"/>
                <w:szCs w:val="21"/>
              </w:rPr>
              <w:t>再生水利用工程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hint="eastAsia" w:ascii="宋体" w:hAnsi="宋体"/>
                <w:sz w:val="21"/>
                <w:szCs w:val="21"/>
              </w:rPr>
              <w:t>利用第三污水处理厂中水，铺设调水管道，建设</w:t>
            </w:r>
            <w:r>
              <w:rPr>
                <w:rFonts w:hint="eastAsia"/>
                <w:sz w:val="21"/>
                <w:szCs w:val="21"/>
              </w:rPr>
              <w:t>3</w:t>
            </w:r>
            <w:r>
              <w:rPr>
                <w:rFonts w:hint="eastAsia" w:ascii="宋体" w:hAnsi="宋体"/>
                <w:sz w:val="21"/>
                <w:szCs w:val="21"/>
              </w:rPr>
              <w:t>座泵站加压，用于城区园林、环卫和生态用水，输送至墨子科创园、高铁新区、鲁南高科技化工园区用于工业用水。</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2024</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32000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市城乡水务局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10</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滕州市供水保障工程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left"/>
              <w:rPr>
                <w:sz w:val="21"/>
                <w:szCs w:val="21"/>
              </w:rPr>
            </w:pPr>
            <w:r>
              <w:rPr>
                <w:rFonts w:hint="eastAsia" w:ascii="宋体" w:hAnsi="宋体"/>
                <w:sz w:val="21"/>
                <w:szCs w:val="21"/>
              </w:rPr>
              <w:t>实施</w:t>
            </w:r>
            <w:r>
              <w:rPr>
                <w:rFonts w:ascii="宋体" w:hAnsi="宋体"/>
                <w:sz w:val="21"/>
                <w:szCs w:val="21"/>
              </w:rPr>
              <w:t>生活污水治理</w:t>
            </w:r>
            <w:r>
              <w:rPr>
                <w:rFonts w:hint="eastAsia" w:ascii="宋体" w:hAnsi="宋体"/>
                <w:sz w:val="21"/>
                <w:szCs w:val="21"/>
              </w:rPr>
              <w:t>再生水利用工程，工程通过收集第三污水处理厂中水等非常规水，经墨子湖湿地净化后，利用</w:t>
            </w:r>
            <w:r>
              <w:rPr>
                <w:rFonts w:hint="eastAsia"/>
                <w:sz w:val="21"/>
                <w:szCs w:val="21"/>
              </w:rPr>
              <w:t>2</w:t>
            </w:r>
            <w:r>
              <w:rPr>
                <w:rFonts w:hint="eastAsia" w:ascii="宋体" w:hAnsi="宋体"/>
                <w:sz w:val="21"/>
                <w:szCs w:val="21"/>
              </w:rPr>
              <w:t>座泵站加压输送至城区河道进行生态补水并兼顾城市园林、景观、环卫用水，同时配送至墨子科创园、高铁新区、鲁南高科技化工园区，满足企业再生水配置要求。</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2022</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63000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ascii="宋体" w:hAnsi="宋体"/>
                <w:sz w:val="21"/>
                <w:szCs w:val="21"/>
              </w:rPr>
              <w:t>市水发集团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230150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restart"/>
            <w:tcBorders>
              <w:top w:val="nil"/>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生态文化</w:t>
            </w: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生态文明系列宣传活动</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在世界环境日、世界地球日、世界土地日、</w:t>
            </w:r>
            <w:r>
              <w:rPr>
                <w:rFonts w:hint="eastAsia" w:ascii="宋体" w:hAnsi="宋体"/>
                <w:sz w:val="21"/>
                <w:szCs w:val="21"/>
              </w:rPr>
              <w:t>世界水日、</w:t>
            </w:r>
            <w:r>
              <w:rPr>
                <w:rFonts w:ascii="宋体" w:hAnsi="宋体"/>
                <w:sz w:val="21"/>
                <w:szCs w:val="21"/>
              </w:rPr>
              <w:t>国际生物多样性日、世界气象日等主题日由政府主导，组织开展各类环保主题、生态文化主题宣传活动，并派发相关的宣传材料。</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枣庄市生态环境局滕州分局、市自然资源、市城乡水务局、市气象局等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环保公众参与系列活动</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组织开展污水处理厂等环保设施公众开放日，生态环境局局长接待日、环保市民沙龙论坛、生态环保信息公众发布会等活动，推动滕州市环保公众参与工作持续纵深化开展。</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生态文明示范创建细胞工程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推进滕州市</w:t>
            </w:r>
            <w:r>
              <w:rPr>
                <w:rFonts w:hint="eastAsia" w:ascii="宋体" w:hAnsi="宋体"/>
                <w:sz w:val="21"/>
                <w:szCs w:val="21"/>
              </w:rPr>
              <w:t>“</w:t>
            </w:r>
            <w:r>
              <w:rPr>
                <w:rFonts w:ascii="宋体" w:hAnsi="宋体"/>
                <w:sz w:val="21"/>
                <w:szCs w:val="21"/>
              </w:rPr>
              <w:t>绿色社区</w:t>
            </w:r>
            <w:r>
              <w:rPr>
                <w:rFonts w:hint="eastAsia" w:ascii="宋体" w:hAnsi="宋体"/>
                <w:sz w:val="21"/>
                <w:szCs w:val="21"/>
              </w:rPr>
              <w:t>”“</w:t>
            </w:r>
            <w:r>
              <w:rPr>
                <w:rFonts w:ascii="宋体" w:hAnsi="宋体"/>
                <w:sz w:val="21"/>
                <w:szCs w:val="21"/>
              </w:rPr>
              <w:t>绿色学校</w:t>
            </w:r>
            <w:r>
              <w:rPr>
                <w:rFonts w:hint="eastAsia" w:ascii="宋体" w:hAnsi="宋体"/>
                <w:sz w:val="21"/>
                <w:szCs w:val="21"/>
              </w:rPr>
              <w:t>”“</w:t>
            </w:r>
            <w:r>
              <w:rPr>
                <w:rFonts w:ascii="宋体" w:hAnsi="宋体"/>
                <w:sz w:val="21"/>
                <w:szCs w:val="21"/>
              </w:rPr>
              <w:t>绿色机关</w:t>
            </w:r>
            <w:r>
              <w:rPr>
                <w:rFonts w:hint="eastAsia" w:ascii="宋体" w:hAnsi="宋体"/>
                <w:sz w:val="21"/>
                <w:szCs w:val="21"/>
              </w:rPr>
              <w:t>”“</w:t>
            </w:r>
            <w:r>
              <w:rPr>
                <w:rFonts w:ascii="宋体" w:hAnsi="宋体"/>
                <w:sz w:val="21"/>
                <w:szCs w:val="21"/>
              </w:rPr>
              <w:t>绿色商场</w:t>
            </w:r>
            <w:r>
              <w:rPr>
                <w:rFonts w:hint="eastAsia" w:ascii="宋体" w:hAnsi="宋体"/>
                <w:sz w:val="21"/>
                <w:szCs w:val="21"/>
              </w:rPr>
              <w:t>”“</w:t>
            </w:r>
            <w:r>
              <w:rPr>
                <w:rFonts w:ascii="宋体" w:hAnsi="宋体"/>
                <w:sz w:val="21"/>
                <w:szCs w:val="21"/>
              </w:rPr>
              <w:t>节约型公共机构示范单位</w:t>
            </w:r>
            <w:r>
              <w:rPr>
                <w:rFonts w:hint="eastAsia" w:ascii="宋体" w:hAnsi="宋体"/>
                <w:sz w:val="21"/>
                <w:szCs w:val="21"/>
              </w:rPr>
              <w:t>”</w:t>
            </w:r>
            <w:r>
              <w:rPr>
                <w:rFonts w:ascii="宋体" w:hAnsi="宋体"/>
                <w:sz w:val="21"/>
                <w:szCs w:val="21"/>
              </w:rPr>
              <w:t>等绿色生活创建和国家和省级生态文明示范市、乡镇、村等生态文明示范系列创建活动。</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枣庄市生态环境局滕州分局、市教体局、市住建局、市机关事务服务中心、各乡镇街道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4</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党政领导干部生态文明培训工程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将生态文明建设作为重点培训内容纳入滕州市各类党政干部教育培训中，采取专题授课、现场教学、网络培训等方式多途径丰富培训内容、多渠道提升培训覆盖面，确保生态文明培训取得实效。</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市委组织部、市委党校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5</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生态文明进社区系列活动工程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组织开展滕州市</w:t>
            </w:r>
            <w:r>
              <w:rPr>
                <w:rFonts w:hint="eastAsia" w:ascii="宋体" w:hAnsi="宋体"/>
                <w:sz w:val="21"/>
                <w:szCs w:val="21"/>
              </w:rPr>
              <w:t>“</w:t>
            </w:r>
            <w:r>
              <w:rPr>
                <w:rFonts w:ascii="宋体" w:hAnsi="宋体"/>
                <w:sz w:val="21"/>
                <w:szCs w:val="21"/>
              </w:rPr>
              <w:t>生态文明进社区</w:t>
            </w:r>
            <w:r>
              <w:rPr>
                <w:rFonts w:hint="eastAsia" w:ascii="宋体" w:hAnsi="宋体"/>
                <w:sz w:val="21"/>
                <w:szCs w:val="21"/>
              </w:rPr>
              <w:t>”</w:t>
            </w:r>
            <w:r>
              <w:rPr>
                <w:rFonts w:ascii="宋体" w:hAnsi="宋体"/>
                <w:sz w:val="21"/>
                <w:szCs w:val="21"/>
              </w:rPr>
              <w:t>系列活动，通过向社区居民普及环保知识，倡导环保型的生活和工作方式，引导广大的社区居民选择低碳绿色健康生活方式。</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枣庄市生态环境局滕州分局、市住建局、各乡镇街道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6</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生态文明建设成果展</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举办一次滕州市生态文明建设成果展，普及生态文明的相关知识，宣传生态文明建设的最新理念，图文并茂地反映近年来滕州市生态文明建设所取得的丰硕成果。</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100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枣庄市生态环境局滕州分局、市委宣传部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7</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生态文明建设示范区创建指标调查项目</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规划期内每年在全市范围内对满意度、参与度等调查类创建指标开展符合指标统计要求的大样本数摸底调查，掌握滕州市调查类创建指标的逐年变化情况。</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2030</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200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枣庄市生态环境局滕州分局；市统计局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2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8</w:t>
            </w:r>
          </w:p>
        </w:tc>
        <w:tc>
          <w:tcPr>
            <w:tcW w:w="1801"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ascii="宋体" w:hAnsi="宋体"/>
                <w:sz w:val="21"/>
                <w:szCs w:val="21"/>
              </w:rPr>
              <w:t>文化设施提升工程</w:t>
            </w:r>
          </w:p>
        </w:tc>
        <w:tc>
          <w:tcPr>
            <w:tcW w:w="5886"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以强化功能为重点，统筹镇村文化一体化发展，实施</w:t>
            </w:r>
            <w:r>
              <w:rPr>
                <w:rFonts w:hint="eastAsia" w:ascii="宋体" w:hAnsi="宋体"/>
                <w:sz w:val="21"/>
                <w:szCs w:val="21"/>
              </w:rPr>
              <w:t>“</w:t>
            </w:r>
            <w:r>
              <w:rPr>
                <w:rFonts w:ascii="宋体" w:hAnsi="宋体"/>
                <w:sz w:val="21"/>
                <w:szCs w:val="21"/>
              </w:rPr>
              <w:t>公共文化设施完善提升工程</w:t>
            </w:r>
            <w:r>
              <w:rPr>
                <w:rFonts w:hint="eastAsia" w:ascii="宋体" w:hAnsi="宋体"/>
                <w:sz w:val="21"/>
                <w:szCs w:val="21"/>
              </w:rPr>
              <w:t>”</w:t>
            </w:r>
            <w:r>
              <w:rPr>
                <w:rFonts w:ascii="宋体" w:hAnsi="宋体"/>
                <w:sz w:val="21"/>
                <w:szCs w:val="21"/>
              </w:rPr>
              <w:t>。重点组织实施村农家书屋、农村文化大院、文体广场和社区文化中心的新建、改造或提升工程。</w:t>
            </w:r>
          </w:p>
        </w:tc>
        <w:tc>
          <w:tcPr>
            <w:tcW w:w="196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2023</w:t>
            </w:r>
            <w:r>
              <w:rPr>
                <w:rFonts w:hint="eastAsia" w:ascii="宋体" w:hAnsi="宋体"/>
                <w:sz w:val="21"/>
                <w:szCs w:val="21"/>
              </w:rPr>
              <w:t>—</w:t>
            </w:r>
            <w:r>
              <w:rPr>
                <w:rFonts w:hint="eastAsia"/>
                <w:sz w:val="21"/>
                <w:szCs w:val="21"/>
              </w:rPr>
              <w:t>2025</w:t>
            </w:r>
          </w:p>
        </w:tc>
        <w:tc>
          <w:tcPr>
            <w:tcW w:w="1295"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sz w:val="21"/>
                <w:szCs w:val="21"/>
              </w:rPr>
              <w:t>3600</w:t>
            </w:r>
          </w:p>
        </w:tc>
        <w:tc>
          <w:tcPr>
            <w:tcW w:w="2222"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东郭镇人民政府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0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合计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03" w:type="dxa"/>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p>
        </w:tc>
        <w:tc>
          <w:tcPr>
            <w:tcW w:w="8308"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rPr>
                <w:sz w:val="21"/>
                <w:szCs w:val="21"/>
              </w:rPr>
            </w:pPr>
            <w:r>
              <w:rPr>
                <w:rFonts w:ascii="宋体" w:hAnsi="宋体"/>
                <w:sz w:val="21"/>
                <w:szCs w:val="21"/>
              </w:rPr>
              <w:t>总计</w:t>
            </w:r>
          </w:p>
        </w:tc>
        <w:tc>
          <w:tcPr>
            <w:tcW w:w="5482" w:type="dxa"/>
            <w:gridSpan w:val="3"/>
            <w:tcBorders>
              <w:top w:val="single" w:color="auto" w:sz="4" w:space="0"/>
              <w:left w:val="single" w:color="auto" w:sz="4" w:space="0"/>
              <w:bottom w:val="single" w:color="auto" w:sz="4" w:space="0"/>
              <w:right w:val="single" w:color="auto" w:sz="4" w:space="0"/>
            </w:tcBorders>
            <w:noWrap/>
            <w:vAlign w:val="center"/>
          </w:tcPr>
          <w:p>
            <w:pPr>
              <w:spacing w:line="273" w:lineRule="auto"/>
              <w:ind w:firstLine="0" w:firstLineChars="0"/>
              <w:jc w:val="center"/>
              <w:rPr>
                <w:sz w:val="21"/>
                <w:szCs w:val="21"/>
              </w:rPr>
            </w:pPr>
            <w:r>
              <w:rPr>
                <w:rFonts w:hint="eastAsia"/>
                <w:sz w:val="21"/>
                <w:szCs w:val="21"/>
              </w:rPr>
              <w:t>144</w:t>
            </w:r>
            <w:r>
              <w:rPr>
                <w:sz w:val="21"/>
                <w:szCs w:val="21"/>
              </w:rPr>
              <w:t>7</w:t>
            </w:r>
            <w:r>
              <w:rPr>
                <w:rFonts w:hint="eastAsia"/>
                <w:sz w:val="21"/>
                <w:szCs w:val="21"/>
              </w:rPr>
              <w:t>698</w:t>
            </w:r>
          </w:p>
        </w:tc>
      </w:tr>
    </w:tbl>
    <w:p>
      <w:pPr>
        <w:ind w:firstLine="199" w:firstLineChars="83"/>
      </w:pPr>
    </w:p>
    <w:sectPr>
      <w:headerReference r:id="rId33" w:type="first"/>
      <w:footerReference r:id="rId36" w:type="first"/>
      <w:headerReference r:id="rId31" w:type="default"/>
      <w:footerReference r:id="rId34" w:type="default"/>
      <w:headerReference r:id="rId32" w:type="even"/>
      <w:footerReference r:id="rId35" w:type="even"/>
      <w:pgSz w:w="16838" w:h="11906" w:orient="landscape"/>
      <w:pgMar w:top="1797" w:right="1440" w:bottom="1797" w:left="144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Light">
    <w:panose1 w:val="020B0304030504040204"/>
    <w:charset w:val="88"/>
    <w:family w:val="swiss"/>
    <w:pitch w:val="default"/>
    <w:sig w:usb0="8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ingLiU">
    <w:panose1 w:val="02020509000000000000"/>
    <w:charset w:val="88"/>
    <w:family w:val="modern"/>
    <w:pitch w:val="default"/>
    <w:sig w:usb0="A00002FF" w:usb1="28CFFCFA" w:usb2="00000016" w:usb3="00000000" w:csb0="00100001" w:csb1="00000000"/>
  </w:font>
  <w:font w:name="华文仿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方正楷体简体">
    <w:altName w:val="楷体"/>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ngsanaUPC">
    <w:altName w:val="MS Gothic"/>
    <w:panose1 w:val="00000000000000000000"/>
    <w:charset w:val="DE"/>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00000001" w:usb1="08000000" w:usb2="00000000" w:usb3="00000000" w:csb0="00040000" w:csb1="00000000"/>
  </w:font>
  <w:font w:name="Sylfaen">
    <w:altName w:val="汉仪中等线B5"/>
    <w:panose1 w:val="010A0502050306030303"/>
    <w:charset w:val="00"/>
    <w:family w:val="roman"/>
    <w:pitch w:val="default"/>
    <w:sig w:usb0="00000000" w:usb1="00000000" w:usb2="00000000" w:usb3="00000000" w:csb0="2000009F" w:csb1="00000000"/>
  </w:font>
  <w:font w:name="Georgia">
    <w:panose1 w:val="02040502050405020303"/>
    <w:charset w:val="00"/>
    <w:family w:val="roman"/>
    <w:pitch w:val="default"/>
    <w:sig w:usb0="00000287" w:usb1="00000000" w:usb2="00000000" w:usb3="00000000" w:csb0="2000009F" w:csb1="00000000"/>
  </w:font>
  <w:font w:name="方正楷体_GBK">
    <w:panose1 w:val="02000000000000000000"/>
    <w:charset w:val="86"/>
    <w:family w:val="script"/>
    <w:pitch w:val="default"/>
    <w:sig w:usb0="00000001" w:usb1="08000000" w:usb2="00000000" w:usb3="00000000" w:csb0="00040000" w:csb1="00000000"/>
  </w:font>
  <w:font w:name="Palatino Linotype">
    <w:panose1 w:val="02040502050505030304"/>
    <w:charset w:val="00"/>
    <w:family w:val="roman"/>
    <w:pitch w:val="default"/>
    <w:sig w:usb0="E0000287" w:usb1="40000013" w:usb2="00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汉鼎简大宋">
    <w:altName w:val="宋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ì.">
    <w:altName w:val="黑体"/>
    <w:panose1 w:val="00000000000000000000"/>
    <w:charset w:val="86"/>
    <w:family w:val="auto"/>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汉鼎简黑体">
    <w:altName w:val="宋体"/>
    <w:panose1 w:val="00000000000000000000"/>
    <w:charset w:val="00"/>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unga">
    <w:altName w:val="汉仪叶叶相思体简"/>
    <w:panose1 w:val="00000400000000000000"/>
    <w:charset w:val="00"/>
    <w:family w:val="swiss"/>
    <w:pitch w:val="default"/>
    <w:sig w:usb0="00000000" w:usb1="00000000" w:usb2="00000000" w:usb3="00000000" w:csb0="00000001" w:csb1="00000000"/>
  </w:font>
  <w:font w:name="Estrangelo Edessa">
    <w:altName w:val="汉仪仿宋S"/>
    <w:panose1 w:val="00000000000000000000"/>
    <w:charset w:val="01"/>
    <w:family w:val="roman"/>
    <w:pitch w:val="default"/>
    <w:sig w:usb0="00000000" w:usb1="00000000" w:usb2="00000000" w:usb3="00000000" w:csb0="0000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left="3360" w:firstLine="360"/>
    </w:pPr>
  </w:p>
  <w:p>
    <w:pPr>
      <w:pStyle w:val="41"/>
      <w:ind w:firstLine="0" w:firstLineChars="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337805"/>
    </w:sdtPr>
    <w:sdtEndPr>
      <w:rPr>
        <w:rFonts w:ascii="Times New Roman" w:hAnsi="Times New Roman"/>
      </w:rPr>
    </w:sdtEndPr>
    <w:sdtContent>
      <w:p>
        <w:pPr>
          <w:pStyle w:val="41"/>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0466036"/>
    </w:sdtPr>
    <w:sdtEndPr>
      <w:rPr>
        <w:rFonts w:ascii="Times New Roman" w:hAnsi="Times New Roman"/>
      </w:rPr>
    </w:sdtEndPr>
    <w:sdtContent>
      <w:p>
        <w:pPr>
          <w:pStyle w:val="41"/>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p>
    <w:pPr>
      <w:pStyle w:val="41"/>
      <w:ind w:firstLine="0" w:firstLineChars="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0" w:firstLineChars="0"/>
      <w:jc w:val="center"/>
    </w:pPr>
    <w:r>
      <mc:AlternateContent>
        <mc:Choice Requires="wps">
          <w:drawing>
            <wp:anchor distT="0" distB="0" distL="114300" distR="114300" simplePos="0" relativeHeight="251659264" behindDoc="0" locked="0" layoutInCell="1" allowOverlap="1">
              <wp:simplePos x="0" y="0"/>
              <wp:positionH relativeFrom="margin">
                <wp:posOffset>2616200</wp:posOffset>
              </wp:positionH>
              <wp:positionV relativeFrom="paragraph">
                <wp:posOffset>0</wp:posOffset>
              </wp:positionV>
              <wp:extent cx="330200" cy="165100"/>
              <wp:effectExtent l="0" t="0" r="12700" b="6350"/>
              <wp:wrapNone/>
              <wp:docPr id="1" name="文本框 1"/>
              <wp:cNvGraphicFramePr/>
              <a:graphic xmlns:a="http://schemas.openxmlformats.org/drawingml/2006/main">
                <a:graphicData uri="http://schemas.microsoft.com/office/word/2010/wordprocessingShape">
                  <wps:wsp>
                    <wps:cNvSpPr txBox="true"/>
                    <wps:spPr>
                      <a:xfrm>
                        <a:off x="0" y="0"/>
                        <a:ext cx="33020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ind w:firstLine="0" w:firstLineChars="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23</w:t>
                          </w:r>
                          <w:r>
                            <w:rPr>
                              <w:rFonts w:ascii="Times New Roman" w:hAnsi="Times New Roman"/>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6pt;margin-top:0pt;height:13pt;width:26pt;mso-position-horizontal-relative:margin;z-index:251659264;mso-width-relative:page;mso-height-relative:page;" filled="f" stroked="f" coordsize="21600,21600" o:gfxdata="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DLqu0bWAAAABwEAAA8AAAAAAAAAAQAgAAAAOAAAAGRycy9kb3ducmV2LnhtbFBLAQIU&#10;ABQAAAAIAIdO4kC6J2K7GAIAABkEAAAOAAAAAAAAAAEAIAAAADsBAABkcnMvZTJvRG9jLnhtbFBL&#10;BQYAAAAABgAGAFkBAADFBQAAAAA=&#10;">
              <v:fill on="f" focussize="0,0"/>
              <v:stroke on="f" weight="0.5pt"/>
              <v:imagedata o:title=""/>
              <o:lock v:ext="edit" aspectratio="f"/>
              <v:textbox inset="0mm,0mm,0mm,0mm">
                <w:txbxContent>
                  <w:p>
                    <w:pPr>
                      <w:pStyle w:val="41"/>
                      <w:ind w:firstLine="0" w:firstLineChars="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23</w:t>
                    </w:r>
                    <w:r>
                      <w:rPr>
                        <w:rFonts w:ascii="Times New Roman" w:hAns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2367687"/>
    </w:sdtPr>
    <w:sdtEndPr>
      <w:rPr>
        <w:rFonts w:ascii="Times New Roman" w:hAnsi="Times New Roman"/>
      </w:rPr>
    </w:sdtEndPr>
    <w:sdtContent>
      <w:p>
        <w:pPr>
          <w:pStyle w:val="41"/>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3982418"/>
    </w:sdtPr>
    <w:sdtEndPr>
      <w:rPr>
        <w:rFonts w:ascii="Times New Roman" w:hAnsi="Times New Roman"/>
      </w:rPr>
    </w:sdtEndPr>
    <w:sdtContent>
      <w:p>
        <w:pPr>
          <w:pStyle w:val="41"/>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r>
      <w:rPr>
        <w:rFonts w:hint="eastAsia"/>
      </w:rPr>
      <w:t>第六章建设优化的国土空间</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r>
      <w:rPr>
        <w:rFonts w:hint="eastAsia"/>
      </w:rPr>
      <w:t>第六章建设优化的国土空间</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3"/>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3"/>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3"/>
      <w:ind w:firstLine="4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3"/>
      <w:ind w:firstLine="48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pPr>
    <w:r>
      <w:rPr>
        <w:rFonts w:hint="eastAsia"/>
      </w:rPr>
      <w:t>第六章建设优化的国土空间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012240"/>
    <w:multiLevelType w:val="multilevel"/>
    <w:tmpl w:val="2E01224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9993E82"/>
    <w:multiLevelType w:val="multilevel"/>
    <w:tmpl w:val="79993E82"/>
    <w:lvl w:ilvl="0" w:tentative="0">
      <w:start w:val="4"/>
      <w:numFmt w:val="decimal"/>
      <w:lvlText w:val="%1"/>
      <w:lvlJc w:val="left"/>
      <w:pPr>
        <w:ind w:left="0" w:firstLine="0"/>
      </w:pPr>
      <w:rPr>
        <w:rFonts w:hint="eastAsia"/>
      </w:rPr>
    </w:lvl>
    <w:lvl w:ilvl="1" w:tentative="0">
      <w:start w:val="1"/>
      <w:numFmt w:val="decimal"/>
      <w:pStyle w:val="1288"/>
      <w:lvlText w:val="4.%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hNzU1MzZmODIxOWIwODI3M2FjN2EwM2Q4MTcwMTgifQ=="/>
  </w:docVars>
  <w:rsids>
    <w:rsidRoot w:val="00B77CDA"/>
    <w:rsid w:val="00002E44"/>
    <w:rsid w:val="0001183B"/>
    <w:rsid w:val="0001240F"/>
    <w:rsid w:val="00022C5F"/>
    <w:rsid w:val="00023773"/>
    <w:rsid w:val="0002770B"/>
    <w:rsid w:val="00032ADD"/>
    <w:rsid w:val="000467D6"/>
    <w:rsid w:val="0005053E"/>
    <w:rsid w:val="00056AB2"/>
    <w:rsid w:val="00065007"/>
    <w:rsid w:val="00066729"/>
    <w:rsid w:val="00066AA9"/>
    <w:rsid w:val="00071360"/>
    <w:rsid w:val="00075838"/>
    <w:rsid w:val="00091E80"/>
    <w:rsid w:val="000974B9"/>
    <w:rsid w:val="000A4E31"/>
    <w:rsid w:val="000A7043"/>
    <w:rsid w:val="000B02F1"/>
    <w:rsid w:val="000B6E4A"/>
    <w:rsid w:val="000B7C6D"/>
    <w:rsid w:val="000C3061"/>
    <w:rsid w:val="000D1B27"/>
    <w:rsid w:val="000D25A6"/>
    <w:rsid w:val="000D5170"/>
    <w:rsid w:val="000F5609"/>
    <w:rsid w:val="00115935"/>
    <w:rsid w:val="001279A7"/>
    <w:rsid w:val="00144E32"/>
    <w:rsid w:val="001537A3"/>
    <w:rsid w:val="00154597"/>
    <w:rsid w:val="00154A40"/>
    <w:rsid w:val="0015591E"/>
    <w:rsid w:val="00166D9D"/>
    <w:rsid w:val="001673D7"/>
    <w:rsid w:val="0017081B"/>
    <w:rsid w:val="00172012"/>
    <w:rsid w:val="001775A8"/>
    <w:rsid w:val="001870BB"/>
    <w:rsid w:val="00187965"/>
    <w:rsid w:val="00190FC6"/>
    <w:rsid w:val="001966F7"/>
    <w:rsid w:val="001971A9"/>
    <w:rsid w:val="001B4417"/>
    <w:rsid w:val="001C2700"/>
    <w:rsid w:val="001C526F"/>
    <w:rsid w:val="001E5FAD"/>
    <w:rsid w:val="001E620C"/>
    <w:rsid w:val="00212C17"/>
    <w:rsid w:val="00214A84"/>
    <w:rsid w:val="00214BAD"/>
    <w:rsid w:val="002228F8"/>
    <w:rsid w:val="002468D3"/>
    <w:rsid w:val="002520EC"/>
    <w:rsid w:val="00257301"/>
    <w:rsid w:val="00262723"/>
    <w:rsid w:val="00262D46"/>
    <w:rsid w:val="00263A50"/>
    <w:rsid w:val="0026700C"/>
    <w:rsid w:val="00280D18"/>
    <w:rsid w:val="00281272"/>
    <w:rsid w:val="002853C6"/>
    <w:rsid w:val="0029168E"/>
    <w:rsid w:val="00293407"/>
    <w:rsid w:val="002A72D3"/>
    <w:rsid w:val="002B1600"/>
    <w:rsid w:val="002B4EEF"/>
    <w:rsid w:val="002C10FB"/>
    <w:rsid w:val="002C3A95"/>
    <w:rsid w:val="002C59E6"/>
    <w:rsid w:val="002D1BED"/>
    <w:rsid w:val="002D3E55"/>
    <w:rsid w:val="002D5224"/>
    <w:rsid w:val="002D775F"/>
    <w:rsid w:val="002F3270"/>
    <w:rsid w:val="002F59D0"/>
    <w:rsid w:val="00303CDF"/>
    <w:rsid w:val="00310B2C"/>
    <w:rsid w:val="003268F6"/>
    <w:rsid w:val="00332079"/>
    <w:rsid w:val="00344207"/>
    <w:rsid w:val="0035061C"/>
    <w:rsid w:val="0035241A"/>
    <w:rsid w:val="00357753"/>
    <w:rsid w:val="00371DD1"/>
    <w:rsid w:val="003808E7"/>
    <w:rsid w:val="00382ABB"/>
    <w:rsid w:val="00383990"/>
    <w:rsid w:val="0038514C"/>
    <w:rsid w:val="00392653"/>
    <w:rsid w:val="00395FC9"/>
    <w:rsid w:val="003A06C8"/>
    <w:rsid w:val="003A1C7A"/>
    <w:rsid w:val="003A32CB"/>
    <w:rsid w:val="003B4D6C"/>
    <w:rsid w:val="003B56A9"/>
    <w:rsid w:val="003B71E1"/>
    <w:rsid w:val="003D27EF"/>
    <w:rsid w:val="003F3658"/>
    <w:rsid w:val="003F6E35"/>
    <w:rsid w:val="00401233"/>
    <w:rsid w:val="00405A79"/>
    <w:rsid w:val="00406712"/>
    <w:rsid w:val="0041117E"/>
    <w:rsid w:val="004131BE"/>
    <w:rsid w:val="00414AED"/>
    <w:rsid w:val="004151E0"/>
    <w:rsid w:val="004152B5"/>
    <w:rsid w:val="004214D6"/>
    <w:rsid w:val="00424A95"/>
    <w:rsid w:val="00437580"/>
    <w:rsid w:val="0045036A"/>
    <w:rsid w:val="00452C7F"/>
    <w:rsid w:val="004663D1"/>
    <w:rsid w:val="00470428"/>
    <w:rsid w:val="00497356"/>
    <w:rsid w:val="00497CF0"/>
    <w:rsid w:val="004B0338"/>
    <w:rsid w:val="004D0774"/>
    <w:rsid w:val="004D7056"/>
    <w:rsid w:val="004E5CB7"/>
    <w:rsid w:val="004F3D4F"/>
    <w:rsid w:val="004F70B4"/>
    <w:rsid w:val="004F745E"/>
    <w:rsid w:val="004F7777"/>
    <w:rsid w:val="00500860"/>
    <w:rsid w:val="0050594E"/>
    <w:rsid w:val="005129F5"/>
    <w:rsid w:val="005235E3"/>
    <w:rsid w:val="0052464B"/>
    <w:rsid w:val="005321D8"/>
    <w:rsid w:val="005346E1"/>
    <w:rsid w:val="00541C05"/>
    <w:rsid w:val="00547171"/>
    <w:rsid w:val="005748F9"/>
    <w:rsid w:val="00582E3B"/>
    <w:rsid w:val="00595A6E"/>
    <w:rsid w:val="005A2DF2"/>
    <w:rsid w:val="005A6E69"/>
    <w:rsid w:val="005A7500"/>
    <w:rsid w:val="005B56A3"/>
    <w:rsid w:val="005C2758"/>
    <w:rsid w:val="005C28DF"/>
    <w:rsid w:val="005C653A"/>
    <w:rsid w:val="005D0713"/>
    <w:rsid w:val="005D1BEA"/>
    <w:rsid w:val="005E547B"/>
    <w:rsid w:val="005E7267"/>
    <w:rsid w:val="005F069C"/>
    <w:rsid w:val="005F0A20"/>
    <w:rsid w:val="006019C0"/>
    <w:rsid w:val="00604B17"/>
    <w:rsid w:val="00611C32"/>
    <w:rsid w:val="00612870"/>
    <w:rsid w:val="00625C8A"/>
    <w:rsid w:val="00633269"/>
    <w:rsid w:val="00633737"/>
    <w:rsid w:val="00641DA7"/>
    <w:rsid w:val="00650C75"/>
    <w:rsid w:val="006513B5"/>
    <w:rsid w:val="00654319"/>
    <w:rsid w:val="00663D2F"/>
    <w:rsid w:val="00665A0D"/>
    <w:rsid w:val="00666CF3"/>
    <w:rsid w:val="00671FCF"/>
    <w:rsid w:val="0069109D"/>
    <w:rsid w:val="00691299"/>
    <w:rsid w:val="00692262"/>
    <w:rsid w:val="00694533"/>
    <w:rsid w:val="006A06A7"/>
    <w:rsid w:val="006D13D6"/>
    <w:rsid w:val="006F2D56"/>
    <w:rsid w:val="006F39BD"/>
    <w:rsid w:val="006F6916"/>
    <w:rsid w:val="006F7981"/>
    <w:rsid w:val="007002AC"/>
    <w:rsid w:val="007057B3"/>
    <w:rsid w:val="00707ABB"/>
    <w:rsid w:val="00713243"/>
    <w:rsid w:val="007310DB"/>
    <w:rsid w:val="00731E6C"/>
    <w:rsid w:val="00732F18"/>
    <w:rsid w:val="00736CE3"/>
    <w:rsid w:val="00740176"/>
    <w:rsid w:val="0074022F"/>
    <w:rsid w:val="007405BD"/>
    <w:rsid w:val="00757E34"/>
    <w:rsid w:val="00761EEC"/>
    <w:rsid w:val="00790E24"/>
    <w:rsid w:val="007A09AD"/>
    <w:rsid w:val="007A3F69"/>
    <w:rsid w:val="007B3F58"/>
    <w:rsid w:val="007C1D5F"/>
    <w:rsid w:val="007C247B"/>
    <w:rsid w:val="007C4D42"/>
    <w:rsid w:val="007D1056"/>
    <w:rsid w:val="007D6BC8"/>
    <w:rsid w:val="007D7A21"/>
    <w:rsid w:val="007F42B8"/>
    <w:rsid w:val="00800380"/>
    <w:rsid w:val="0081140F"/>
    <w:rsid w:val="00815EA0"/>
    <w:rsid w:val="0083004A"/>
    <w:rsid w:val="0083023D"/>
    <w:rsid w:val="00830D54"/>
    <w:rsid w:val="008342A1"/>
    <w:rsid w:val="0084025F"/>
    <w:rsid w:val="00876197"/>
    <w:rsid w:val="00883874"/>
    <w:rsid w:val="00892873"/>
    <w:rsid w:val="008A0602"/>
    <w:rsid w:val="008B070A"/>
    <w:rsid w:val="008B3BE4"/>
    <w:rsid w:val="008C1F65"/>
    <w:rsid w:val="008C7B45"/>
    <w:rsid w:val="008E2449"/>
    <w:rsid w:val="008E5270"/>
    <w:rsid w:val="008E5422"/>
    <w:rsid w:val="008E6D34"/>
    <w:rsid w:val="008E7088"/>
    <w:rsid w:val="008F236A"/>
    <w:rsid w:val="008F314E"/>
    <w:rsid w:val="00904EAD"/>
    <w:rsid w:val="009059BE"/>
    <w:rsid w:val="00911073"/>
    <w:rsid w:val="0091789D"/>
    <w:rsid w:val="00921617"/>
    <w:rsid w:val="00926BA5"/>
    <w:rsid w:val="00927578"/>
    <w:rsid w:val="00936BCF"/>
    <w:rsid w:val="00941E7E"/>
    <w:rsid w:val="00944AFC"/>
    <w:rsid w:val="0094776C"/>
    <w:rsid w:val="00953DFF"/>
    <w:rsid w:val="00957CD5"/>
    <w:rsid w:val="009673DA"/>
    <w:rsid w:val="00967C54"/>
    <w:rsid w:val="00973436"/>
    <w:rsid w:val="00975A62"/>
    <w:rsid w:val="00977EF7"/>
    <w:rsid w:val="00991788"/>
    <w:rsid w:val="00991A1D"/>
    <w:rsid w:val="00993A7B"/>
    <w:rsid w:val="00996AFF"/>
    <w:rsid w:val="009A13F1"/>
    <w:rsid w:val="009B730D"/>
    <w:rsid w:val="009C7F3E"/>
    <w:rsid w:val="009D0158"/>
    <w:rsid w:val="009D3848"/>
    <w:rsid w:val="009D7F01"/>
    <w:rsid w:val="009E09B3"/>
    <w:rsid w:val="009E1A77"/>
    <w:rsid w:val="009F36A8"/>
    <w:rsid w:val="00A032DA"/>
    <w:rsid w:val="00A17099"/>
    <w:rsid w:val="00A21D55"/>
    <w:rsid w:val="00A3631F"/>
    <w:rsid w:val="00A36745"/>
    <w:rsid w:val="00A41CC8"/>
    <w:rsid w:val="00A43E94"/>
    <w:rsid w:val="00A51817"/>
    <w:rsid w:val="00A57AB6"/>
    <w:rsid w:val="00A63C14"/>
    <w:rsid w:val="00A83FA3"/>
    <w:rsid w:val="00A86233"/>
    <w:rsid w:val="00A904A5"/>
    <w:rsid w:val="00A920C4"/>
    <w:rsid w:val="00A9220F"/>
    <w:rsid w:val="00A9553C"/>
    <w:rsid w:val="00A96DC7"/>
    <w:rsid w:val="00AA1917"/>
    <w:rsid w:val="00AA62E5"/>
    <w:rsid w:val="00AB548D"/>
    <w:rsid w:val="00AC0B9E"/>
    <w:rsid w:val="00AC2850"/>
    <w:rsid w:val="00AC4605"/>
    <w:rsid w:val="00AD4022"/>
    <w:rsid w:val="00AD63D5"/>
    <w:rsid w:val="00AE298A"/>
    <w:rsid w:val="00AE3455"/>
    <w:rsid w:val="00AE51A2"/>
    <w:rsid w:val="00AE728E"/>
    <w:rsid w:val="00AF7013"/>
    <w:rsid w:val="00AF779A"/>
    <w:rsid w:val="00B00FBA"/>
    <w:rsid w:val="00B13279"/>
    <w:rsid w:val="00B13F66"/>
    <w:rsid w:val="00B22721"/>
    <w:rsid w:val="00B267DD"/>
    <w:rsid w:val="00B30486"/>
    <w:rsid w:val="00B36A52"/>
    <w:rsid w:val="00B41EED"/>
    <w:rsid w:val="00B522F2"/>
    <w:rsid w:val="00B54303"/>
    <w:rsid w:val="00B63A4D"/>
    <w:rsid w:val="00B7024D"/>
    <w:rsid w:val="00B75BD5"/>
    <w:rsid w:val="00B77CDA"/>
    <w:rsid w:val="00B808E0"/>
    <w:rsid w:val="00B8663A"/>
    <w:rsid w:val="00B94812"/>
    <w:rsid w:val="00BA0994"/>
    <w:rsid w:val="00BA1690"/>
    <w:rsid w:val="00BA526A"/>
    <w:rsid w:val="00BB2158"/>
    <w:rsid w:val="00BC27C7"/>
    <w:rsid w:val="00BE0508"/>
    <w:rsid w:val="00BE76DC"/>
    <w:rsid w:val="00BF2F50"/>
    <w:rsid w:val="00BF3B07"/>
    <w:rsid w:val="00C030C0"/>
    <w:rsid w:val="00C041CF"/>
    <w:rsid w:val="00C07274"/>
    <w:rsid w:val="00C22854"/>
    <w:rsid w:val="00C25116"/>
    <w:rsid w:val="00C275F8"/>
    <w:rsid w:val="00C35CAF"/>
    <w:rsid w:val="00C37CF3"/>
    <w:rsid w:val="00C42582"/>
    <w:rsid w:val="00C518B4"/>
    <w:rsid w:val="00C51D4C"/>
    <w:rsid w:val="00C87460"/>
    <w:rsid w:val="00C8797D"/>
    <w:rsid w:val="00C93797"/>
    <w:rsid w:val="00C9533E"/>
    <w:rsid w:val="00CA34A9"/>
    <w:rsid w:val="00CA5456"/>
    <w:rsid w:val="00CA68BA"/>
    <w:rsid w:val="00CB6383"/>
    <w:rsid w:val="00CB651E"/>
    <w:rsid w:val="00CB7234"/>
    <w:rsid w:val="00CB7A1F"/>
    <w:rsid w:val="00CD3B6B"/>
    <w:rsid w:val="00CE397C"/>
    <w:rsid w:val="00CF18A0"/>
    <w:rsid w:val="00CF1CFD"/>
    <w:rsid w:val="00CF3D1B"/>
    <w:rsid w:val="00D11C15"/>
    <w:rsid w:val="00D24D5E"/>
    <w:rsid w:val="00D24ED4"/>
    <w:rsid w:val="00D53AF2"/>
    <w:rsid w:val="00D558AE"/>
    <w:rsid w:val="00D5719E"/>
    <w:rsid w:val="00D618D4"/>
    <w:rsid w:val="00D812E7"/>
    <w:rsid w:val="00D93DA6"/>
    <w:rsid w:val="00D9429A"/>
    <w:rsid w:val="00DA20D6"/>
    <w:rsid w:val="00DA263F"/>
    <w:rsid w:val="00DA27B0"/>
    <w:rsid w:val="00DA4967"/>
    <w:rsid w:val="00DB4E24"/>
    <w:rsid w:val="00DC16B6"/>
    <w:rsid w:val="00DC39FF"/>
    <w:rsid w:val="00DC4D68"/>
    <w:rsid w:val="00DC7EC4"/>
    <w:rsid w:val="00DD21B7"/>
    <w:rsid w:val="00DD49A2"/>
    <w:rsid w:val="00E00FFE"/>
    <w:rsid w:val="00E110D6"/>
    <w:rsid w:val="00E1382F"/>
    <w:rsid w:val="00E17073"/>
    <w:rsid w:val="00E17313"/>
    <w:rsid w:val="00E2093C"/>
    <w:rsid w:val="00E22D1C"/>
    <w:rsid w:val="00E2716D"/>
    <w:rsid w:val="00E32C4F"/>
    <w:rsid w:val="00E3315F"/>
    <w:rsid w:val="00E34164"/>
    <w:rsid w:val="00E507FA"/>
    <w:rsid w:val="00E64664"/>
    <w:rsid w:val="00E75DDC"/>
    <w:rsid w:val="00EB0B86"/>
    <w:rsid w:val="00EB5CAF"/>
    <w:rsid w:val="00EC022D"/>
    <w:rsid w:val="00ED726C"/>
    <w:rsid w:val="00EE644A"/>
    <w:rsid w:val="00EE69CF"/>
    <w:rsid w:val="00EE77E1"/>
    <w:rsid w:val="00EE79E7"/>
    <w:rsid w:val="00EF4FC2"/>
    <w:rsid w:val="00EF78C7"/>
    <w:rsid w:val="00F025DB"/>
    <w:rsid w:val="00F056DC"/>
    <w:rsid w:val="00F05AC9"/>
    <w:rsid w:val="00F14F71"/>
    <w:rsid w:val="00F23080"/>
    <w:rsid w:val="00F25F3A"/>
    <w:rsid w:val="00F33E66"/>
    <w:rsid w:val="00F364B1"/>
    <w:rsid w:val="00F40DFE"/>
    <w:rsid w:val="00F46F91"/>
    <w:rsid w:val="00F521D0"/>
    <w:rsid w:val="00F554F8"/>
    <w:rsid w:val="00F67502"/>
    <w:rsid w:val="00F67597"/>
    <w:rsid w:val="00F74F07"/>
    <w:rsid w:val="00F75924"/>
    <w:rsid w:val="00F86976"/>
    <w:rsid w:val="00F92269"/>
    <w:rsid w:val="00FA7CC5"/>
    <w:rsid w:val="00FB1792"/>
    <w:rsid w:val="00FB7E57"/>
    <w:rsid w:val="00FC6C81"/>
    <w:rsid w:val="00FD541D"/>
    <w:rsid w:val="00FD74F3"/>
    <w:rsid w:val="00FE281C"/>
    <w:rsid w:val="00FE33E6"/>
    <w:rsid w:val="00FE4795"/>
    <w:rsid w:val="00FE754C"/>
    <w:rsid w:val="00FF0091"/>
    <w:rsid w:val="00FF267B"/>
    <w:rsid w:val="1CA31E77"/>
    <w:rsid w:val="3FFF5C55"/>
    <w:rsid w:val="42A870C6"/>
    <w:rsid w:val="434E8759"/>
    <w:rsid w:val="4E7E28E4"/>
    <w:rsid w:val="606E1280"/>
    <w:rsid w:val="639F130C"/>
    <w:rsid w:val="77DFC18F"/>
    <w:rsid w:val="7F9FAA13"/>
    <w:rsid w:val="7FF138C0"/>
    <w:rsid w:val="EFCB21E4"/>
    <w:rsid w:val="EFFFDC7C"/>
    <w:rsid w:val="F7DF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uiPriority="99" w:name="Body Text First Indent"/>
    <w:lsdException w:qFormat="1" w:uiPriority="99" w:name="Body Text First Indent 2"/>
    <w:lsdException w:qFormat="1" w:unhideWhenUsed="0" w:uiPriority="99" w:semiHidden="0" w:name="Note Heading"/>
    <w:lsdException w:qFormat="1" w:uiPriority="99" w:semiHidden="0"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uiPriority="99" w:name="HTML Acronym"/>
    <w:lsdException w:qFormat="1" w:unhideWhenUsed="0"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85"/>
    <w:qFormat/>
    <w:uiPriority w:val="9"/>
    <w:pPr>
      <w:keepNext/>
      <w:keepLines/>
      <w:adjustRightInd w:val="0"/>
      <w:spacing w:after="100" w:afterAutospacing="1" w:line="480" w:lineRule="exact"/>
      <w:jc w:val="center"/>
      <w:outlineLvl w:val="0"/>
    </w:pPr>
    <w:rPr>
      <w:rFonts w:ascii="黑体" w:hAnsi="黑体" w:eastAsia="黑体"/>
      <w:b/>
      <w:color w:val="000000"/>
      <w:kern w:val="0"/>
      <w:sz w:val="44"/>
      <w:szCs w:val="44"/>
    </w:rPr>
  </w:style>
  <w:style w:type="paragraph" w:styleId="5">
    <w:name w:val="heading 2"/>
    <w:basedOn w:val="1"/>
    <w:next w:val="1"/>
    <w:link w:val="86"/>
    <w:qFormat/>
    <w:uiPriority w:val="9"/>
    <w:pPr>
      <w:keepNext/>
      <w:keepLines/>
      <w:autoSpaceDE w:val="0"/>
      <w:autoSpaceDN w:val="0"/>
      <w:snapToGrid w:val="0"/>
      <w:spacing w:before="260" w:after="260" w:line="416" w:lineRule="auto"/>
      <w:jc w:val="center"/>
      <w:outlineLvl w:val="1"/>
    </w:pPr>
    <w:rPr>
      <w:rFonts w:ascii="Arial" w:hAnsi="Arial" w:eastAsia="黑体"/>
      <w:b/>
      <w:bCs/>
      <w:snapToGrid w:val="0"/>
      <w:kern w:val="0"/>
      <w:sz w:val="32"/>
      <w:szCs w:val="32"/>
    </w:rPr>
  </w:style>
  <w:style w:type="paragraph" w:styleId="6">
    <w:name w:val="heading 3"/>
    <w:basedOn w:val="1"/>
    <w:next w:val="1"/>
    <w:link w:val="87"/>
    <w:qFormat/>
    <w:uiPriority w:val="0"/>
    <w:pPr>
      <w:keepNext/>
      <w:keepLines/>
      <w:spacing w:before="260" w:after="260" w:line="416" w:lineRule="auto"/>
      <w:outlineLvl w:val="2"/>
    </w:pPr>
    <w:rPr>
      <w:b/>
      <w:bCs/>
      <w:sz w:val="32"/>
      <w:szCs w:val="32"/>
    </w:rPr>
  </w:style>
  <w:style w:type="paragraph" w:styleId="7">
    <w:name w:val="heading 4"/>
    <w:next w:val="1"/>
    <w:link w:val="88"/>
    <w:qFormat/>
    <w:uiPriority w:val="0"/>
    <w:pPr>
      <w:keepNext/>
      <w:keepLines/>
      <w:spacing w:beforeLines="50" w:line="480" w:lineRule="exact"/>
      <w:ind w:right="210" w:rightChars="100"/>
      <w:outlineLvl w:val="3"/>
    </w:pPr>
    <w:rPr>
      <w:rFonts w:ascii="宋体" w:hAnsi="宋体" w:eastAsia="宋体" w:cs="Times New Roman"/>
      <w:b/>
      <w:color w:val="000000"/>
      <w:sz w:val="30"/>
      <w:szCs w:val="30"/>
      <w:lang w:val="en-US" w:eastAsia="zh-CN" w:bidi="ar-SA"/>
    </w:rPr>
  </w:style>
  <w:style w:type="paragraph" w:styleId="8">
    <w:name w:val="heading 5"/>
    <w:basedOn w:val="1"/>
    <w:next w:val="1"/>
    <w:link w:val="89"/>
    <w:qFormat/>
    <w:uiPriority w:val="9"/>
    <w:pPr>
      <w:keepNext/>
      <w:keepLines/>
      <w:spacing w:before="280" w:after="290"/>
      <w:ind w:left="100" w:leftChars="100" w:right="100" w:rightChars="100"/>
      <w:outlineLvl w:val="4"/>
    </w:pPr>
    <w:rPr>
      <w:rFonts w:ascii="Calibri" w:hAnsi="Calibri"/>
      <w:b/>
      <w:bCs/>
      <w:kern w:val="0"/>
      <w:sz w:val="28"/>
      <w:szCs w:val="28"/>
    </w:rPr>
  </w:style>
  <w:style w:type="paragraph" w:styleId="9">
    <w:name w:val="heading 6"/>
    <w:basedOn w:val="1"/>
    <w:next w:val="1"/>
    <w:link w:val="90"/>
    <w:qFormat/>
    <w:uiPriority w:val="9"/>
    <w:pPr>
      <w:keepNext/>
      <w:keepLines/>
      <w:spacing w:before="240" w:after="64" w:line="320" w:lineRule="auto"/>
      <w:outlineLvl w:val="5"/>
    </w:pPr>
    <w:rPr>
      <w:rFonts w:ascii="Cambria" w:hAnsi="Cambria"/>
      <w:b/>
      <w:bCs/>
      <w:kern w:val="0"/>
    </w:rPr>
  </w:style>
  <w:style w:type="paragraph" w:styleId="10">
    <w:name w:val="heading 7"/>
    <w:basedOn w:val="1"/>
    <w:next w:val="1"/>
    <w:link w:val="91"/>
    <w:qFormat/>
    <w:uiPriority w:val="9"/>
    <w:pPr>
      <w:keepNext/>
      <w:keepLines/>
      <w:spacing w:beforeLines="50" w:after="64" w:line="320" w:lineRule="atLeast"/>
      <w:ind w:left="1384"/>
      <w:outlineLvl w:val="6"/>
    </w:pPr>
    <w:rPr>
      <w:rFonts w:eastAsia="仿宋_GB2312"/>
      <w:b/>
      <w:bCs/>
      <w:kern w:val="0"/>
    </w:rPr>
  </w:style>
  <w:style w:type="paragraph" w:styleId="11">
    <w:name w:val="heading 8"/>
    <w:basedOn w:val="1"/>
    <w:next w:val="1"/>
    <w:link w:val="92"/>
    <w:qFormat/>
    <w:uiPriority w:val="9"/>
    <w:pPr>
      <w:keepNext/>
      <w:keepLines/>
      <w:spacing w:beforeLines="50" w:after="64" w:line="320" w:lineRule="atLeast"/>
      <w:ind w:left="1528"/>
      <w:outlineLvl w:val="7"/>
    </w:pPr>
    <w:rPr>
      <w:rFonts w:ascii="Cambria" w:hAnsi="Cambria"/>
      <w:kern w:val="0"/>
    </w:rPr>
  </w:style>
  <w:style w:type="paragraph" w:styleId="12">
    <w:name w:val="heading 9"/>
    <w:basedOn w:val="1"/>
    <w:next w:val="1"/>
    <w:link w:val="93"/>
    <w:qFormat/>
    <w:uiPriority w:val="9"/>
    <w:pPr>
      <w:keepNext/>
      <w:keepLines/>
      <w:spacing w:beforeLines="50" w:after="64" w:line="320" w:lineRule="atLeast"/>
      <w:ind w:left="1672"/>
      <w:outlineLvl w:val="8"/>
    </w:pPr>
    <w:rPr>
      <w:rFonts w:ascii="Cambria" w:hAnsi="Cambria"/>
      <w:kern w:val="0"/>
      <w:sz w:val="20"/>
      <w:szCs w:val="21"/>
    </w:rPr>
  </w:style>
  <w:style w:type="character" w:default="1" w:styleId="63">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084"/>
    <w:semiHidden/>
    <w:unhideWhenUsed/>
    <w:qFormat/>
    <w:uiPriority w:val="99"/>
    <w:pPr>
      <w:ind w:firstLine="420"/>
    </w:pPr>
    <w:rPr>
      <w:rFonts w:ascii="Times New Roman" w:hAnsi="Times New Roman" w:eastAsia="宋体"/>
      <w:sz w:val="24"/>
      <w:szCs w:val="24"/>
    </w:rPr>
  </w:style>
  <w:style w:type="paragraph" w:styleId="3">
    <w:name w:val="Body Text Indent"/>
    <w:basedOn w:val="1"/>
    <w:link w:val="83"/>
    <w:unhideWhenUsed/>
    <w:qFormat/>
    <w:uiPriority w:val="0"/>
    <w:pPr>
      <w:spacing w:after="120"/>
      <w:ind w:left="420" w:leftChars="200"/>
    </w:pPr>
    <w:rPr>
      <w:rFonts w:ascii="Calibri" w:hAnsi="Calibri" w:eastAsia="等线"/>
      <w:sz w:val="21"/>
      <w:szCs w:val="21"/>
    </w:rPr>
  </w:style>
  <w:style w:type="paragraph" w:styleId="13">
    <w:name w:val="List Number 2"/>
    <w:basedOn w:val="1"/>
    <w:qFormat/>
    <w:uiPriority w:val="99"/>
    <w:pPr>
      <w:tabs>
        <w:tab w:val="left" w:pos="432"/>
      </w:tabs>
      <w:spacing w:beforeLines="50" w:afterLines="50" w:line="400" w:lineRule="exact"/>
      <w:ind w:left="432" w:hanging="432"/>
      <w:jc w:val="center"/>
    </w:pPr>
    <w:rPr>
      <w:rFonts w:eastAsia="黑体"/>
      <w:szCs w:val="20"/>
    </w:rPr>
  </w:style>
  <w:style w:type="paragraph" w:styleId="14">
    <w:name w:val="Note Heading"/>
    <w:basedOn w:val="1"/>
    <w:next w:val="1"/>
    <w:link w:val="95"/>
    <w:qFormat/>
    <w:uiPriority w:val="99"/>
    <w:pPr>
      <w:jc w:val="center"/>
    </w:pPr>
    <w:rPr>
      <w:rFonts w:ascii="等线" w:hAnsi="等线" w:eastAsia="等线"/>
      <w:sz w:val="21"/>
    </w:rPr>
  </w:style>
  <w:style w:type="paragraph" w:styleId="15">
    <w:name w:val="List Bullet 4"/>
    <w:basedOn w:val="1"/>
    <w:qFormat/>
    <w:uiPriority w:val="99"/>
    <w:pPr>
      <w:tabs>
        <w:tab w:val="left" w:pos="1620"/>
      </w:tabs>
      <w:adjustRightInd w:val="0"/>
      <w:spacing w:beforeLines="100" w:afterLines="100"/>
      <w:ind w:left="1620" w:leftChars="600" w:hanging="360" w:hangingChars="200"/>
      <w:jc w:val="left"/>
      <w:textAlignment w:val="baseline"/>
    </w:pPr>
  </w:style>
  <w:style w:type="paragraph" w:styleId="16">
    <w:name w:val="E-mail Signature"/>
    <w:basedOn w:val="1"/>
    <w:link w:val="97"/>
    <w:qFormat/>
    <w:uiPriority w:val="99"/>
    <w:pPr>
      <w:adjustRightInd w:val="0"/>
      <w:spacing w:beforeLines="100" w:afterLines="100"/>
      <w:jc w:val="left"/>
      <w:textAlignment w:val="baseline"/>
    </w:pPr>
    <w:rPr>
      <w:rFonts w:ascii="等线" w:hAnsi="等线" w:eastAsia="等线"/>
      <w:sz w:val="21"/>
    </w:rPr>
  </w:style>
  <w:style w:type="paragraph" w:styleId="17">
    <w:name w:val="List Number"/>
    <w:basedOn w:val="18"/>
    <w:qFormat/>
    <w:uiPriority w:val="99"/>
    <w:pPr>
      <w:widowControl/>
      <w:spacing w:after="220" w:line="220" w:lineRule="atLeast"/>
      <w:ind w:left="1800" w:right="720" w:hanging="360" w:firstLineChars="0"/>
      <w:jc w:val="left"/>
    </w:pPr>
    <w:rPr>
      <w:kern w:val="0"/>
      <w:szCs w:val="20"/>
    </w:rPr>
  </w:style>
  <w:style w:type="paragraph" w:styleId="18">
    <w:name w:val="List"/>
    <w:basedOn w:val="1"/>
    <w:qFormat/>
    <w:uiPriority w:val="99"/>
    <w:pPr>
      <w:ind w:left="200" w:hanging="200" w:hangingChars="200"/>
    </w:pPr>
  </w:style>
  <w:style w:type="paragraph" w:styleId="19">
    <w:name w:val="Normal Indent"/>
    <w:basedOn w:val="1"/>
    <w:qFormat/>
    <w:uiPriority w:val="0"/>
    <w:pPr>
      <w:adjustRightInd w:val="0"/>
      <w:spacing w:line="360" w:lineRule="atLeast"/>
      <w:ind w:firstLine="420"/>
      <w:textAlignment w:val="baseline"/>
    </w:pPr>
    <w:rPr>
      <w:rFonts w:ascii="Arial" w:hAnsi="Arial" w:eastAsia="楷体_GB2312"/>
      <w:color w:val="000000"/>
      <w:kern w:val="0"/>
      <w:sz w:val="28"/>
      <w:szCs w:val="20"/>
    </w:rPr>
  </w:style>
  <w:style w:type="paragraph" w:styleId="20">
    <w:name w:val="caption"/>
    <w:basedOn w:val="1"/>
    <w:next w:val="1"/>
    <w:link w:val="98"/>
    <w:qFormat/>
    <w:uiPriority w:val="0"/>
    <w:pPr>
      <w:spacing w:beforeLines="50" w:afterLines="50"/>
    </w:pPr>
    <w:rPr>
      <w:rFonts w:ascii="Cambria" w:hAnsi="Cambria" w:eastAsia="楷体_GB2312"/>
      <w:b/>
      <w:sz w:val="28"/>
      <w:szCs w:val="22"/>
    </w:rPr>
  </w:style>
  <w:style w:type="paragraph" w:styleId="21">
    <w:name w:val="List Bullet"/>
    <w:basedOn w:val="18"/>
    <w:qFormat/>
    <w:uiPriority w:val="99"/>
    <w:pPr>
      <w:widowControl/>
      <w:spacing w:after="220" w:line="220" w:lineRule="atLeast"/>
      <w:ind w:left="1800" w:right="720" w:hanging="360" w:firstLineChars="0"/>
      <w:jc w:val="left"/>
    </w:pPr>
    <w:rPr>
      <w:kern w:val="0"/>
      <w:szCs w:val="20"/>
    </w:rPr>
  </w:style>
  <w:style w:type="paragraph" w:styleId="22">
    <w:name w:val="Document Map"/>
    <w:basedOn w:val="1"/>
    <w:link w:val="100"/>
    <w:unhideWhenUsed/>
    <w:qFormat/>
    <w:uiPriority w:val="99"/>
    <w:rPr>
      <w:rFonts w:ascii="宋体" w:hAnsi="Calibri" w:eastAsia="等线"/>
      <w:sz w:val="18"/>
      <w:szCs w:val="18"/>
    </w:rPr>
  </w:style>
  <w:style w:type="paragraph" w:styleId="23">
    <w:name w:val="annotation text"/>
    <w:basedOn w:val="1"/>
    <w:link w:val="102"/>
    <w:unhideWhenUsed/>
    <w:qFormat/>
    <w:uiPriority w:val="99"/>
    <w:pPr>
      <w:jc w:val="left"/>
    </w:pPr>
  </w:style>
  <w:style w:type="paragraph" w:styleId="24">
    <w:name w:val="Salutation"/>
    <w:basedOn w:val="1"/>
    <w:next w:val="1"/>
    <w:link w:val="104"/>
    <w:qFormat/>
    <w:uiPriority w:val="0"/>
    <w:pPr>
      <w:adjustRightInd w:val="0"/>
      <w:spacing w:beforeLines="100" w:afterLines="100"/>
      <w:jc w:val="left"/>
      <w:textAlignment w:val="baseline"/>
    </w:pPr>
    <w:rPr>
      <w:rFonts w:ascii="等线" w:hAnsi="等线" w:eastAsia="等线"/>
      <w:sz w:val="21"/>
    </w:rPr>
  </w:style>
  <w:style w:type="paragraph" w:styleId="25">
    <w:name w:val="Body Text 3"/>
    <w:basedOn w:val="1"/>
    <w:link w:val="106"/>
    <w:unhideWhenUsed/>
    <w:qFormat/>
    <w:uiPriority w:val="99"/>
    <w:pPr>
      <w:spacing w:after="120"/>
    </w:pPr>
    <w:rPr>
      <w:rFonts w:ascii="Calibri" w:hAnsi="Calibri" w:eastAsia="等线"/>
      <w:sz w:val="16"/>
      <w:szCs w:val="16"/>
    </w:rPr>
  </w:style>
  <w:style w:type="paragraph" w:styleId="26">
    <w:name w:val="Closing"/>
    <w:basedOn w:val="1"/>
    <w:link w:val="108"/>
    <w:qFormat/>
    <w:uiPriority w:val="99"/>
    <w:pPr>
      <w:adjustRightInd w:val="0"/>
      <w:spacing w:beforeLines="100" w:afterLines="100"/>
      <w:ind w:left="100" w:leftChars="2100"/>
      <w:jc w:val="left"/>
      <w:textAlignment w:val="baseline"/>
    </w:pPr>
    <w:rPr>
      <w:rFonts w:ascii="等线" w:hAnsi="等线" w:eastAsia="等线"/>
      <w:sz w:val="21"/>
    </w:rPr>
  </w:style>
  <w:style w:type="paragraph" w:styleId="27">
    <w:name w:val="List Bullet 3"/>
    <w:basedOn w:val="1"/>
    <w:qFormat/>
    <w:uiPriority w:val="99"/>
    <w:pPr>
      <w:tabs>
        <w:tab w:val="left" w:pos="1200"/>
      </w:tabs>
      <w:adjustRightInd w:val="0"/>
      <w:spacing w:beforeLines="100" w:afterLines="100"/>
      <w:ind w:left="1200" w:leftChars="400" w:hanging="360" w:hangingChars="200"/>
      <w:jc w:val="left"/>
      <w:textAlignment w:val="baseline"/>
    </w:pPr>
  </w:style>
  <w:style w:type="paragraph" w:styleId="28">
    <w:name w:val="Body Text"/>
    <w:basedOn w:val="1"/>
    <w:link w:val="110"/>
    <w:unhideWhenUsed/>
    <w:qFormat/>
    <w:uiPriority w:val="0"/>
    <w:pPr>
      <w:spacing w:after="120"/>
    </w:pPr>
  </w:style>
  <w:style w:type="paragraph" w:styleId="29">
    <w:name w:val="List Number 3"/>
    <w:basedOn w:val="1"/>
    <w:qFormat/>
    <w:uiPriority w:val="99"/>
    <w:pPr>
      <w:tabs>
        <w:tab w:val="left" w:pos="1200"/>
      </w:tabs>
      <w:adjustRightInd w:val="0"/>
      <w:spacing w:beforeLines="100" w:afterLines="100"/>
      <w:ind w:left="1200" w:leftChars="400" w:hanging="360" w:hangingChars="200"/>
      <w:jc w:val="left"/>
      <w:textAlignment w:val="baseline"/>
    </w:pPr>
  </w:style>
  <w:style w:type="paragraph" w:styleId="30">
    <w:name w:val="List 2"/>
    <w:basedOn w:val="1"/>
    <w:qFormat/>
    <w:uiPriority w:val="99"/>
    <w:pPr>
      <w:ind w:left="100" w:leftChars="200" w:hanging="200" w:hangingChars="200"/>
    </w:pPr>
  </w:style>
  <w:style w:type="paragraph" w:styleId="31">
    <w:name w:val="Block Text"/>
    <w:basedOn w:val="1"/>
    <w:qFormat/>
    <w:uiPriority w:val="99"/>
    <w:pPr>
      <w:spacing w:line="300" w:lineRule="auto"/>
      <w:ind w:left="-178" w:leftChars="-85" w:right="-363" w:rightChars="-173" w:firstLine="480"/>
    </w:pPr>
  </w:style>
  <w:style w:type="paragraph" w:styleId="32">
    <w:name w:val="List Bullet 2"/>
    <w:basedOn w:val="21"/>
    <w:qFormat/>
    <w:uiPriority w:val="99"/>
    <w:pPr>
      <w:tabs>
        <w:tab w:val="left" w:pos="1483"/>
      </w:tabs>
      <w:ind w:left="2160"/>
    </w:pPr>
  </w:style>
  <w:style w:type="paragraph" w:styleId="33">
    <w:name w:val="HTML Address"/>
    <w:basedOn w:val="1"/>
    <w:link w:val="112"/>
    <w:qFormat/>
    <w:uiPriority w:val="99"/>
    <w:pPr>
      <w:adjustRightInd w:val="0"/>
      <w:spacing w:beforeLines="100" w:afterLines="100"/>
      <w:jc w:val="left"/>
      <w:textAlignment w:val="baseline"/>
    </w:pPr>
    <w:rPr>
      <w:rFonts w:ascii="等线" w:hAnsi="等线" w:eastAsia="等线"/>
      <w:i/>
      <w:iCs/>
      <w:sz w:val="21"/>
    </w:rPr>
  </w:style>
  <w:style w:type="paragraph" w:styleId="34">
    <w:name w:val="Plain Text"/>
    <w:basedOn w:val="1"/>
    <w:link w:val="114"/>
    <w:qFormat/>
    <w:uiPriority w:val="0"/>
    <w:rPr>
      <w:rFonts w:ascii="宋体" w:hAnsi="Courier New"/>
      <w:kern w:val="0"/>
      <w:sz w:val="20"/>
      <w:szCs w:val="20"/>
    </w:rPr>
  </w:style>
  <w:style w:type="paragraph" w:styleId="35">
    <w:name w:val="List Bullet 5"/>
    <w:basedOn w:val="1"/>
    <w:qFormat/>
    <w:uiPriority w:val="99"/>
    <w:pPr>
      <w:tabs>
        <w:tab w:val="left" w:pos="2040"/>
      </w:tabs>
      <w:adjustRightInd w:val="0"/>
      <w:spacing w:beforeLines="100" w:afterLines="100"/>
      <w:ind w:left="2040" w:leftChars="800" w:hanging="360" w:hangingChars="200"/>
      <w:jc w:val="left"/>
      <w:textAlignment w:val="baseline"/>
    </w:pPr>
  </w:style>
  <w:style w:type="paragraph" w:styleId="36">
    <w:name w:val="List Number 4"/>
    <w:basedOn w:val="1"/>
    <w:qFormat/>
    <w:uiPriority w:val="99"/>
    <w:pPr>
      <w:tabs>
        <w:tab w:val="left" w:pos="1620"/>
      </w:tabs>
      <w:adjustRightInd w:val="0"/>
      <w:spacing w:beforeLines="100" w:afterLines="100"/>
      <w:ind w:left="1620" w:leftChars="600" w:hanging="360" w:hangingChars="200"/>
      <w:jc w:val="left"/>
      <w:textAlignment w:val="baseline"/>
    </w:pPr>
  </w:style>
  <w:style w:type="paragraph" w:styleId="37">
    <w:name w:val="Date"/>
    <w:basedOn w:val="1"/>
    <w:next w:val="1"/>
    <w:link w:val="116"/>
    <w:qFormat/>
    <w:uiPriority w:val="99"/>
    <w:pPr>
      <w:adjustRightInd w:val="0"/>
      <w:spacing w:line="312" w:lineRule="atLeast"/>
      <w:textAlignment w:val="baseline"/>
    </w:pPr>
    <w:rPr>
      <w:rFonts w:ascii="等线" w:hAnsi="等线" w:eastAsia="仿宋"/>
      <w:sz w:val="28"/>
      <w:szCs w:val="22"/>
    </w:rPr>
  </w:style>
  <w:style w:type="paragraph" w:styleId="38">
    <w:name w:val="Body Text Indent 2"/>
    <w:basedOn w:val="1"/>
    <w:link w:val="118"/>
    <w:qFormat/>
    <w:uiPriority w:val="99"/>
    <w:pPr>
      <w:spacing w:line="360" w:lineRule="exact"/>
      <w:ind w:firstLine="420"/>
    </w:pPr>
    <w:rPr>
      <w:rFonts w:ascii="等线" w:hAnsi="等线" w:eastAsia="等线"/>
      <w:color w:val="000000"/>
      <w:sz w:val="21"/>
    </w:rPr>
  </w:style>
  <w:style w:type="paragraph" w:styleId="39">
    <w:name w:val="endnote text"/>
    <w:basedOn w:val="1"/>
    <w:link w:val="120"/>
    <w:unhideWhenUsed/>
    <w:qFormat/>
    <w:uiPriority w:val="99"/>
    <w:pPr>
      <w:snapToGrid w:val="0"/>
      <w:jc w:val="left"/>
    </w:pPr>
    <w:rPr>
      <w:rFonts w:ascii="Calibri" w:hAnsi="Calibri" w:eastAsia="等线"/>
      <w:sz w:val="21"/>
      <w:szCs w:val="21"/>
    </w:rPr>
  </w:style>
  <w:style w:type="paragraph" w:styleId="40">
    <w:name w:val="Balloon Text"/>
    <w:basedOn w:val="1"/>
    <w:link w:val="122"/>
    <w:unhideWhenUsed/>
    <w:qFormat/>
    <w:uiPriority w:val="99"/>
    <w:pPr>
      <w:spacing w:line="240" w:lineRule="auto"/>
    </w:pPr>
    <w:rPr>
      <w:sz w:val="18"/>
      <w:szCs w:val="18"/>
    </w:rPr>
  </w:style>
  <w:style w:type="paragraph" w:styleId="41">
    <w:name w:val="footer"/>
    <w:basedOn w:val="1"/>
    <w:link w:val="124"/>
    <w:unhideWhenUsed/>
    <w:qFormat/>
    <w:uiPriority w:val="99"/>
    <w:pPr>
      <w:tabs>
        <w:tab w:val="center" w:pos="4153"/>
        <w:tab w:val="right" w:pos="8306"/>
      </w:tabs>
      <w:snapToGrid w:val="0"/>
      <w:jc w:val="left"/>
    </w:pPr>
    <w:rPr>
      <w:rFonts w:ascii="等线" w:hAnsi="等线" w:eastAsia="等线"/>
      <w:sz w:val="18"/>
      <w:szCs w:val="18"/>
    </w:rPr>
  </w:style>
  <w:style w:type="paragraph" w:styleId="42">
    <w:name w:val="envelope return"/>
    <w:basedOn w:val="1"/>
    <w:qFormat/>
    <w:uiPriority w:val="99"/>
    <w:pPr>
      <w:snapToGrid w:val="0"/>
      <w:spacing w:line="240" w:lineRule="auto"/>
      <w:ind w:firstLine="0" w:firstLineChars="0"/>
    </w:pPr>
    <w:rPr>
      <w:rFonts w:ascii="Arial" w:hAnsi="Arial" w:eastAsia="仿宋_GB2312"/>
      <w:sz w:val="32"/>
    </w:rPr>
  </w:style>
  <w:style w:type="paragraph" w:styleId="43">
    <w:name w:val="header"/>
    <w:basedOn w:val="1"/>
    <w:link w:val="126"/>
    <w:unhideWhenUsed/>
    <w:qFormat/>
    <w:uiPriority w:val="0"/>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44">
    <w:name w:val="Signature"/>
    <w:basedOn w:val="1"/>
    <w:link w:val="128"/>
    <w:qFormat/>
    <w:uiPriority w:val="99"/>
    <w:pPr>
      <w:adjustRightInd w:val="0"/>
      <w:spacing w:beforeLines="100" w:afterLines="100"/>
      <w:ind w:left="100" w:leftChars="2100"/>
      <w:jc w:val="left"/>
      <w:textAlignment w:val="baseline"/>
    </w:pPr>
    <w:rPr>
      <w:rFonts w:ascii="等线" w:hAnsi="等线" w:eastAsia="等线"/>
      <w:sz w:val="21"/>
    </w:rPr>
  </w:style>
  <w:style w:type="paragraph" w:styleId="45">
    <w:name w:val="Subtitle"/>
    <w:basedOn w:val="1"/>
    <w:next w:val="1"/>
    <w:link w:val="130"/>
    <w:qFormat/>
    <w:uiPriority w:val="11"/>
    <w:pPr>
      <w:spacing w:after="600"/>
    </w:pPr>
    <w:rPr>
      <w:rFonts w:ascii="Cambria" w:hAnsi="Cambria" w:eastAsia="等线"/>
      <w:i/>
      <w:iCs/>
      <w:spacing w:val="13"/>
    </w:rPr>
  </w:style>
  <w:style w:type="paragraph" w:styleId="46">
    <w:name w:val="List Number 5"/>
    <w:basedOn w:val="1"/>
    <w:qFormat/>
    <w:uiPriority w:val="99"/>
    <w:pPr>
      <w:tabs>
        <w:tab w:val="left" w:pos="2040"/>
      </w:tabs>
      <w:adjustRightInd w:val="0"/>
      <w:spacing w:beforeLines="100" w:afterLines="100"/>
      <w:ind w:left="2040" w:leftChars="800" w:hanging="360" w:hangingChars="200"/>
      <w:jc w:val="left"/>
      <w:textAlignment w:val="baseline"/>
    </w:pPr>
  </w:style>
  <w:style w:type="paragraph" w:styleId="47">
    <w:name w:val="footnote text"/>
    <w:basedOn w:val="1"/>
    <w:link w:val="132"/>
    <w:qFormat/>
    <w:uiPriority w:val="99"/>
    <w:pPr>
      <w:snapToGrid w:val="0"/>
      <w:jc w:val="left"/>
    </w:pPr>
    <w:rPr>
      <w:rFonts w:ascii="等线" w:hAnsi="等线" w:eastAsia="等线"/>
      <w:sz w:val="18"/>
      <w:szCs w:val="18"/>
    </w:rPr>
  </w:style>
  <w:style w:type="paragraph" w:styleId="48">
    <w:name w:val="Body Text Indent 3"/>
    <w:basedOn w:val="1"/>
    <w:link w:val="134"/>
    <w:qFormat/>
    <w:uiPriority w:val="99"/>
    <w:pPr>
      <w:spacing w:line="460" w:lineRule="exact"/>
      <w:ind w:firstLine="560"/>
    </w:pPr>
    <w:rPr>
      <w:rFonts w:ascii="楷体_GB2312" w:hAnsi="等线" w:eastAsia="楷体_GB2312"/>
      <w:sz w:val="28"/>
      <w:szCs w:val="22"/>
    </w:rPr>
  </w:style>
  <w:style w:type="paragraph" w:styleId="49">
    <w:name w:val="index 9"/>
    <w:basedOn w:val="1"/>
    <w:next w:val="1"/>
    <w:qFormat/>
    <w:uiPriority w:val="99"/>
    <w:pPr>
      <w:ind w:left="1600" w:leftChars="1600"/>
    </w:pPr>
    <w:rPr>
      <w:szCs w:val="20"/>
    </w:rPr>
  </w:style>
  <w:style w:type="paragraph" w:styleId="50">
    <w:name w:val="table of figures"/>
    <w:basedOn w:val="1"/>
    <w:next w:val="1"/>
    <w:qFormat/>
    <w:uiPriority w:val="99"/>
    <w:pPr>
      <w:ind w:left="420" w:hanging="420"/>
      <w:jc w:val="left"/>
    </w:pPr>
    <w:rPr>
      <w:smallCaps/>
      <w:sz w:val="20"/>
      <w:szCs w:val="20"/>
    </w:rPr>
  </w:style>
  <w:style w:type="paragraph" w:styleId="51">
    <w:name w:val="Body Text 2"/>
    <w:basedOn w:val="1"/>
    <w:link w:val="136"/>
    <w:unhideWhenUsed/>
    <w:qFormat/>
    <w:uiPriority w:val="99"/>
    <w:pPr>
      <w:spacing w:beforeLines="50"/>
      <w:ind w:firstLine="480"/>
    </w:pPr>
    <w:rPr>
      <w:rFonts w:ascii="Calibri" w:hAnsi="Calibri" w:eastAsia="等线"/>
    </w:rPr>
  </w:style>
  <w:style w:type="paragraph" w:styleId="52">
    <w:name w:val="Message Header"/>
    <w:basedOn w:val="1"/>
    <w:link w:val="138"/>
    <w:qFormat/>
    <w:uiPriority w:val="99"/>
    <w:pPr>
      <w:pBdr>
        <w:top w:val="single" w:color="auto" w:sz="6" w:space="1"/>
        <w:left w:val="single" w:color="auto" w:sz="6" w:space="1"/>
        <w:bottom w:val="single" w:color="auto" w:sz="6" w:space="1"/>
        <w:right w:val="single" w:color="auto" w:sz="6" w:space="1"/>
      </w:pBdr>
      <w:shd w:val="pct20" w:color="auto" w:fill="auto"/>
      <w:adjustRightInd w:val="0"/>
      <w:spacing w:beforeLines="100" w:afterLines="100"/>
      <w:ind w:left="1080" w:leftChars="500" w:hanging="1080" w:hangingChars="500"/>
      <w:jc w:val="left"/>
      <w:textAlignment w:val="baseline"/>
    </w:pPr>
    <w:rPr>
      <w:rFonts w:ascii="Cambria" w:hAnsi="Cambria"/>
    </w:rPr>
  </w:style>
  <w:style w:type="paragraph" w:styleId="53">
    <w:name w:val="HTML Preformatted"/>
    <w:basedOn w:val="1"/>
    <w:link w:val="1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等线"/>
    </w:rPr>
  </w:style>
  <w:style w:type="paragraph" w:styleId="54">
    <w:name w:val="Normal (Web)"/>
    <w:basedOn w:val="1"/>
    <w:qFormat/>
    <w:uiPriority w:val="99"/>
    <w:pPr>
      <w:widowControl/>
      <w:spacing w:before="100" w:beforeAutospacing="1" w:after="100" w:afterAutospacing="1"/>
      <w:jc w:val="left"/>
    </w:pPr>
    <w:rPr>
      <w:rFonts w:ascii="宋体" w:hAnsi="宋体" w:cs="宋体"/>
      <w:kern w:val="0"/>
    </w:rPr>
  </w:style>
  <w:style w:type="paragraph" w:styleId="55">
    <w:name w:val="index 1"/>
    <w:basedOn w:val="1"/>
    <w:next w:val="1"/>
    <w:qFormat/>
    <w:uiPriority w:val="99"/>
  </w:style>
  <w:style w:type="paragraph" w:styleId="56">
    <w:name w:val="index 2"/>
    <w:basedOn w:val="1"/>
    <w:next w:val="1"/>
    <w:qFormat/>
    <w:uiPriority w:val="99"/>
    <w:pPr>
      <w:ind w:left="200" w:leftChars="200"/>
    </w:pPr>
    <w:rPr>
      <w:szCs w:val="20"/>
    </w:rPr>
  </w:style>
  <w:style w:type="paragraph" w:styleId="57">
    <w:name w:val="Title"/>
    <w:basedOn w:val="1"/>
    <w:next w:val="1"/>
    <w:link w:val="142"/>
    <w:qFormat/>
    <w:uiPriority w:val="10"/>
    <w:pPr>
      <w:pBdr>
        <w:bottom w:val="single" w:color="auto" w:sz="4" w:space="1"/>
      </w:pBdr>
      <w:contextualSpacing/>
    </w:pPr>
    <w:rPr>
      <w:rFonts w:ascii="Cambria" w:hAnsi="Cambria" w:eastAsia="等线"/>
      <w:spacing w:val="5"/>
      <w:sz w:val="52"/>
      <w:szCs w:val="52"/>
    </w:rPr>
  </w:style>
  <w:style w:type="paragraph" w:styleId="58">
    <w:name w:val="annotation subject"/>
    <w:basedOn w:val="23"/>
    <w:next w:val="23"/>
    <w:link w:val="144"/>
    <w:unhideWhenUsed/>
    <w:qFormat/>
    <w:uiPriority w:val="99"/>
    <w:rPr>
      <w:rFonts w:ascii="Calibri" w:hAnsi="Calibri" w:eastAsia="等线"/>
      <w:b/>
      <w:bCs/>
      <w:sz w:val="21"/>
      <w:szCs w:val="21"/>
    </w:rPr>
  </w:style>
  <w:style w:type="table" w:styleId="60">
    <w:name w:val="Table Grid"/>
    <w:basedOn w:val="59"/>
    <w:qFormat/>
    <w:uiPriority w:val="59"/>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Classic 1"/>
    <w:basedOn w:val="59"/>
    <w:qFormat/>
    <w:uiPriority w:val="0"/>
    <w:pPr>
      <w:widowControl w:val="0"/>
      <w:ind w:firstLine="200" w:firstLineChars="20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62">
    <w:name w:val="Table Simple 1"/>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64">
    <w:name w:val="Strong"/>
    <w:qFormat/>
    <w:uiPriority w:val="22"/>
    <w:rPr>
      <w:b/>
      <w:bCs/>
    </w:rPr>
  </w:style>
  <w:style w:type="character" w:styleId="65">
    <w:name w:val="endnote reference"/>
    <w:unhideWhenUsed/>
    <w:qFormat/>
    <w:uiPriority w:val="99"/>
    <w:rPr>
      <w:vertAlign w:val="superscript"/>
    </w:rPr>
  </w:style>
  <w:style w:type="character" w:styleId="66">
    <w:name w:val="page number"/>
    <w:qFormat/>
    <w:uiPriority w:val="0"/>
  </w:style>
  <w:style w:type="character" w:styleId="67">
    <w:name w:val="FollowedHyperlink"/>
    <w:qFormat/>
    <w:uiPriority w:val="99"/>
    <w:rPr>
      <w:color w:val="800080"/>
      <w:u w:val="single"/>
    </w:rPr>
  </w:style>
  <w:style w:type="character" w:styleId="68">
    <w:name w:val="Emphasis"/>
    <w:qFormat/>
    <w:uiPriority w:val="0"/>
    <w:rPr>
      <w:rFonts w:ascii="Calibri" w:hAnsi="Calibri"/>
      <w:b/>
      <w:i/>
      <w:iCs/>
    </w:rPr>
  </w:style>
  <w:style w:type="character" w:styleId="69">
    <w:name w:val="Hyperlink"/>
    <w:unhideWhenUsed/>
    <w:qFormat/>
    <w:uiPriority w:val="99"/>
    <w:rPr>
      <w:color w:val="000099"/>
      <w:u w:val="none"/>
    </w:rPr>
  </w:style>
  <w:style w:type="character" w:styleId="70">
    <w:name w:val="annotation reference"/>
    <w:qFormat/>
    <w:uiPriority w:val="99"/>
    <w:rPr>
      <w:sz w:val="21"/>
      <w:szCs w:val="21"/>
    </w:rPr>
  </w:style>
  <w:style w:type="character" w:styleId="71">
    <w:name w:val="footnote reference"/>
    <w:qFormat/>
    <w:uiPriority w:val="0"/>
    <w:rPr>
      <w:vertAlign w:val="superscript"/>
    </w:rPr>
  </w:style>
  <w:style w:type="character" w:customStyle="1" w:styleId="72">
    <w:name w:val="标题 1 字符"/>
    <w:basedOn w:val="63"/>
    <w:qFormat/>
    <w:uiPriority w:val="9"/>
    <w:rPr>
      <w:rFonts w:ascii="Times New Roman" w:hAnsi="Times New Roman" w:eastAsia="宋体" w:cs="Times New Roman"/>
      <w:b/>
      <w:bCs/>
      <w:kern w:val="44"/>
      <w:sz w:val="44"/>
      <w:szCs w:val="44"/>
    </w:rPr>
  </w:style>
  <w:style w:type="character" w:customStyle="1" w:styleId="73">
    <w:name w:val="标题 2 字符"/>
    <w:basedOn w:val="63"/>
    <w:qFormat/>
    <w:uiPriority w:val="9"/>
    <w:rPr>
      <w:rFonts w:asciiTheme="majorHAnsi" w:hAnsiTheme="majorHAnsi" w:eastAsiaTheme="majorEastAsia" w:cstheme="majorBidi"/>
      <w:b/>
      <w:bCs/>
      <w:sz w:val="32"/>
      <w:szCs w:val="32"/>
    </w:rPr>
  </w:style>
  <w:style w:type="character" w:customStyle="1" w:styleId="74">
    <w:name w:val="标题 3 字符"/>
    <w:basedOn w:val="63"/>
    <w:semiHidden/>
    <w:qFormat/>
    <w:uiPriority w:val="9"/>
    <w:rPr>
      <w:rFonts w:ascii="Times New Roman" w:hAnsi="Times New Roman" w:eastAsia="宋体" w:cs="Times New Roman"/>
      <w:b/>
      <w:bCs/>
      <w:sz w:val="32"/>
      <w:szCs w:val="32"/>
    </w:rPr>
  </w:style>
  <w:style w:type="character" w:customStyle="1" w:styleId="75">
    <w:name w:val="标题 4 字符"/>
    <w:basedOn w:val="63"/>
    <w:qFormat/>
    <w:uiPriority w:val="9"/>
    <w:rPr>
      <w:rFonts w:asciiTheme="majorHAnsi" w:hAnsiTheme="majorHAnsi" w:eastAsiaTheme="majorEastAsia" w:cstheme="majorBidi"/>
      <w:b/>
      <w:bCs/>
      <w:sz w:val="28"/>
      <w:szCs w:val="28"/>
    </w:rPr>
  </w:style>
  <w:style w:type="character" w:customStyle="1" w:styleId="76">
    <w:name w:val="标题 5 字符"/>
    <w:basedOn w:val="63"/>
    <w:qFormat/>
    <w:uiPriority w:val="9"/>
    <w:rPr>
      <w:rFonts w:ascii="Times New Roman" w:hAnsi="Times New Roman" w:eastAsia="宋体" w:cs="Times New Roman"/>
      <w:b/>
      <w:bCs/>
      <w:sz w:val="28"/>
      <w:szCs w:val="28"/>
    </w:rPr>
  </w:style>
  <w:style w:type="character" w:customStyle="1" w:styleId="77">
    <w:name w:val="标题 6 字符"/>
    <w:basedOn w:val="63"/>
    <w:qFormat/>
    <w:uiPriority w:val="9"/>
    <w:rPr>
      <w:rFonts w:asciiTheme="majorHAnsi" w:hAnsiTheme="majorHAnsi" w:eastAsiaTheme="majorEastAsia" w:cstheme="majorBidi"/>
      <w:b/>
      <w:bCs/>
      <w:sz w:val="24"/>
      <w:szCs w:val="24"/>
    </w:rPr>
  </w:style>
  <w:style w:type="character" w:customStyle="1" w:styleId="78">
    <w:name w:val="标题 7 字符"/>
    <w:basedOn w:val="63"/>
    <w:qFormat/>
    <w:uiPriority w:val="9"/>
    <w:rPr>
      <w:rFonts w:ascii="Times New Roman" w:hAnsi="Times New Roman" w:eastAsia="宋体" w:cs="Times New Roman"/>
      <w:b/>
      <w:bCs/>
      <w:sz w:val="24"/>
      <w:szCs w:val="24"/>
    </w:rPr>
  </w:style>
  <w:style w:type="character" w:customStyle="1" w:styleId="79">
    <w:name w:val="标题 8 字符"/>
    <w:basedOn w:val="63"/>
    <w:qFormat/>
    <w:uiPriority w:val="9"/>
    <w:rPr>
      <w:rFonts w:asciiTheme="majorHAnsi" w:hAnsiTheme="majorHAnsi" w:eastAsiaTheme="majorEastAsia" w:cstheme="majorBidi"/>
      <w:sz w:val="24"/>
      <w:szCs w:val="24"/>
    </w:rPr>
  </w:style>
  <w:style w:type="character" w:customStyle="1" w:styleId="80">
    <w:name w:val="标题 9 字符"/>
    <w:basedOn w:val="63"/>
    <w:qFormat/>
    <w:uiPriority w:val="9"/>
    <w:rPr>
      <w:rFonts w:asciiTheme="majorHAnsi" w:hAnsiTheme="majorHAnsi" w:eastAsiaTheme="majorEastAsia" w:cstheme="majorBidi"/>
      <w:szCs w:val="21"/>
    </w:rPr>
  </w:style>
  <w:style w:type="paragraph" w:customStyle="1" w:styleId="81">
    <w:name w:val="_Style 21"/>
    <w:basedOn w:val="1"/>
    <w:qFormat/>
    <w:uiPriority w:val="99"/>
    <w:pPr>
      <w:ind w:firstLine="420"/>
    </w:pPr>
    <w:rPr>
      <w:rFonts w:ascii="Calibri" w:hAnsi="Calibri"/>
      <w:sz w:val="21"/>
      <w:szCs w:val="21"/>
    </w:rPr>
  </w:style>
  <w:style w:type="character" w:customStyle="1" w:styleId="82">
    <w:name w:val="正文文本缩进 字符"/>
    <w:basedOn w:val="63"/>
    <w:qFormat/>
    <w:uiPriority w:val="99"/>
    <w:rPr>
      <w:rFonts w:ascii="Times New Roman" w:hAnsi="Times New Roman" w:eastAsia="宋体" w:cs="Times New Roman"/>
      <w:sz w:val="24"/>
      <w:szCs w:val="24"/>
    </w:rPr>
  </w:style>
  <w:style w:type="character" w:customStyle="1" w:styleId="83">
    <w:name w:val="正文文本缩进 字符2"/>
    <w:link w:val="3"/>
    <w:qFormat/>
    <w:uiPriority w:val="0"/>
    <w:rPr>
      <w:rFonts w:ascii="Calibri" w:hAnsi="Calibri" w:eastAsia="等线" w:cs="Times New Roman"/>
      <w:szCs w:val="21"/>
    </w:rPr>
  </w:style>
  <w:style w:type="character" w:customStyle="1" w:styleId="84">
    <w:name w:val="正文首行缩进 2 Char4"/>
    <w:qFormat/>
    <w:uiPriority w:val="0"/>
    <w:rPr>
      <w:rFonts w:ascii="Calibri" w:hAnsi="Calibri"/>
      <w:szCs w:val="21"/>
    </w:rPr>
  </w:style>
  <w:style w:type="character" w:customStyle="1" w:styleId="85">
    <w:name w:val="标题 1 字符1"/>
    <w:link w:val="4"/>
    <w:qFormat/>
    <w:uiPriority w:val="9"/>
    <w:rPr>
      <w:rFonts w:ascii="黑体" w:hAnsi="黑体" w:eastAsia="黑体" w:cs="Times New Roman"/>
      <w:b/>
      <w:color w:val="000000"/>
      <w:kern w:val="0"/>
      <w:sz w:val="44"/>
      <w:szCs w:val="44"/>
    </w:rPr>
  </w:style>
  <w:style w:type="character" w:customStyle="1" w:styleId="86">
    <w:name w:val="标题 2 字符1"/>
    <w:link w:val="5"/>
    <w:qFormat/>
    <w:uiPriority w:val="9"/>
    <w:rPr>
      <w:rFonts w:ascii="Arial" w:hAnsi="Arial" w:eastAsia="黑体" w:cs="Times New Roman"/>
      <w:b/>
      <w:bCs/>
      <w:snapToGrid w:val="0"/>
      <w:kern w:val="0"/>
      <w:sz w:val="32"/>
      <w:szCs w:val="32"/>
    </w:rPr>
  </w:style>
  <w:style w:type="character" w:customStyle="1" w:styleId="87">
    <w:name w:val="标题 3 字符2"/>
    <w:link w:val="6"/>
    <w:qFormat/>
    <w:uiPriority w:val="0"/>
    <w:rPr>
      <w:rFonts w:ascii="Times New Roman" w:hAnsi="Times New Roman" w:eastAsia="宋体" w:cs="Times New Roman"/>
      <w:b/>
      <w:bCs/>
      <w:sz w:val="32"/>
      <w:szCs w:val="32"/>
    </w:rPr>
  </w:style>
  <w:style w:type="character" w:customStyle="1" w:styleId="88">
    <w:name w:val="标题 4 字符1"/>
    <w:link w:val="7"/>
    <w:qFormat/>
    <w:uiPriority w:val="0"/>
    <w:rPr>
      <w:rFonts w:ascii="宋体" w:hAnsi="宋体" w:eastAsia="宋体" w:cs="Times New Roman"/>
      <w:b/>
      <w:color w:val="000000"/>
      <w:kern w:val="0"/>
      <w:sz w:val="30"/>
      <w:szCs w:val="30"/>
    </w:rPr>
  </w:style>
  <w:style w:type="character" w:customStyle="1" w:styleId="89">
    <w:name w:val="标题 5 字符1"/>
    <w:link w:val="8"/>
    <w:qFormat/>
    <w:uiPriority w:val="9"/>
    <w:rPr>
      <w:rFonts w:ascii="Calibri" w:hAnsi="Calibri" w:eastAsia="宋体" w:cs="Times New Roman"/>
      <w:b/>
      <w:bCs/>
      <w:kern w:val="0"/>
      <w:sz w:val="28"/>
      <w:szCs w:val="28"/>
    </w:rPr>
  </w:style>
  <w:style w:type="character" w:customStyle="1" w:styleId="90">
    <w:name w:val="标题 6 字符1"/>
    <w:link w:val="9"/>
    <w:qFormat/>
    <w:uiPriority w:val="9"/>
    <w:rPr>
      <w:rFonts w:ascii="Cambria" w:hAnsi="Cambria" w:eastAsia="宋体" w:cs="Times New Roman"/>
      <w:b/>
      <w:bCs/>
      <w:kern w:val="0"/>
      <w:sz w:val="24"/>
      <w:szCs w:val="24"/>
    </w:rPr>
  </w:style>
  <w:style w:type="character" w:customStyle="1" w:styleId="91">
    <w:name w:val="标题 7 字符1"/>
    <w:link w:val="10"/>
    <w:qFormat/>
    <w:uiPriority w:val="9"/>
    <w:rPr>
      <w:rFonts w:ascii="Times New Roman" w:hAnsi="Times New Roman" w:eastAsia="仿宋_GB2312" w:cs="Times New Roman"/>
      <w:b/>
      <w:bCs/>
      <w:kern w:val="0"/>
      <w:sz w:val="24"/>
      <w:szCs w:val="24"/>
    </w:rPr>
  </w:style>
  <w:style w:type="character" w:customStyle="1" w:styleId="92">
    <w:name w:val="标题 8 字符1"/>
    <w:link w:val="11"/>
    <w:qFormat/>
    <w:uiPriority w:val="9"/>
    <w:rPr>
      <w:rFonts w:ascii="Cambria" w:hAnsi="Cambria" w:eastAsia="宋体" w:cs="Times New Roman"/>
      <w:kern w:val="0"/>
      <w:sz w:val="24"/>
      <w:szCs w:val="24"/>
    </w:rPr>
  </w:style>
  <w:style w:type="character" w:customStyle="1" w:styleId="93">
    <w:name w:val="标题 9 字符1"/>
    <w:link w:val="12"/>
    <w:qFormat/>
    <w:uiPriority w:val="9"/>
    <w:rPr>
      <w:rFonts w:ascii="Cambria" w:hAnsi="Cambria" w:eastAsia="宋体" w:cs="Times New Roman"/>
      <w:kern w:val="0"/>
      <w:sz w:val="20"/>
      <w:szCs w:val="21"/>
    </w:rPr>
  </w:style>
  <w:style w:type="character" w:customStyle="1" w:styleId="94">
    <w:name w:val="注释标题 字符"/>
    <w:basedOn w:val="63"/>
    <w:semiHidden/>
    <w:qFormat/>
    <w:uiPriority w:val="99"/>
    <w:rPr>
      <w:rFonts w:ascii="Times New Roman" w:hAnsi="Times New Roman" w:eastAsia="宋体" w:cs="Times New Roman"/>
      <w:sz w:val="24"/>
      <w:szCs w:val="24"/>
    </w:rPr>
  </w:style>
  <w:style w:type="character" w:customStyle="1" w:styleId="95">
    <w:name w:val="注释标题 字符2"/>
    <w:link w:val="14"/>
    <w:qFormat/>
    <w:uiPriority w:val="99"/>
    <w:rPr>
      <w:rFonts w:ascii="等线" w:hAnsi="等线" w:eastAsia="等线" w:cs="Times New Roman"/>
      <w:szCs w:val="24"/>
    </w:rPr>
  </w:style>
  <w:style w:type="character" w:customStyle="1" w:styleId="96">
    <w:name w:val="电子邮件签名 字符"/>
    <w:basedOn w:val="63"/>
    <w:qFormat/>
    <w:uiPriority w:val="99"/>
    <w:rPr>
      <w:rFonts w:ascii="Times New Roman" w:hAnsi="Times New Roman" w:eastAsia="宋体" w:cs="Times New Roman"/>
      <w:sz w:val="24"/>
      <w:szCs w:val="24"/>
    </w:rPr>
  </w:style>
  <w:style w:type="character" w:customStyle="1" w:styleId="97">
    <w:name w:val="电子邮件签名 字符2"/>
    <w:link w:val="16"/>
    <w:qFormat/>
    <w:uiPriority w:val="99"/>
    <w:rPr>
      <w:rFonts w:ascii="等线" w:hAnsi="等线" w:eastAsia="等线" w:cs="Times New Roman"/>
      <w:szCs w:val="24"/>
    </w:rPr>
  </w:style>
  <w:style w:type="character" w:customStyle="1" w:styleId="98">
    <w:name w:val="题注 字符"/>
    <w:link w:val="20"/>
    <w:qFormat/>
    <w:uiPriority w:val="0"/>
    <w:rPr>
      <w:rFonts w:ascii="Cambria" w:hAnsi="Cambria" w:eastAsia="楷体_GB2312" w:cs="Times New Roman"/>
      <w:b/>
      <w:sz w:val="28"/>
    </w:rPr>
  </w:style>
  <w:style w:type="character" w:customStyle="1" w:styleId="99">
    <w:name w:val="文档结构图 字符"/>
    <w:basedOn w:val="63"/>
    <w:qFormat/>
    <w:uiPriority w:val="99"/>
    <w:rPr>
      <w:rFonts w:ascii="Microsoft YaHei UI" w:hAnsi="Times New Roman" w:eastAsia="Microsoft YaHei UI" w:cs="Times New Roman"/>
      <w:sz w:val="18"/>
      <w:szCs w:val="18"/>
    </w:rPr>
  </w:style>
  <w:style w:type="character" w:customStyle="1" w:styleId="100">
    <w:name w:val="文档结构图 字符3"/>
    <w:link w:val="22"/>
    <w:qFormat/>
    <w:uiPriority w:val="99"/>
    <w:rPr>
      <w:rFonts w:ascii="宋体" w:hAnsi="Calibri" w:eastAsia="等线" w:cs="Times New Roman"/>
      <w:sz w:val="18"/>
      <w:szCs w:val="18"/>
    </w:rPr>
  </w:style>
  <w:style w:type="character" w:customStyle="1" w:styleId="101">
    <w:name w:val="批注文字 字符"/>
    <w:basedOn w:val="63"/>
    <w:semiHidden/>
    <w:qFormat/>
    <w:uiPriority w:val="99"/>
    <w:rPr>
      <w:rFonts w:ascii="Times New Roman" w:hAnsi="Times New Roman" w:eastAsia="宋体" w:cs="Times New Roman"/>
      <w:sz w:val="24"/>
      <w:szCs w:val="24"/>
    </w:rPr>
  </w:style>
  <w:style w:type="character" w:customStyle="1" w:styleId="102">
    <w:name w:val="批注文字 字符4"/>
    <w:link w:val="23"/>
    <w:qFormat/>
    <w:uiPriority w:val="99"/>
    <w:rPr>
      <w:rFonts w:ascii="Times New Roman" w:hAnsi="Times New Roman" w:eastAsia="宋体" w:cs="Times New Roman"/>
      <w:sz w:val="24"/>
      <w:szCs w:val="24"/>
    </w:rPr>
  </w:style>
  <w:style w:type="character" w:customStyle="1" w:styleId="103">
    <w:name w:val="称呼 字符"/>
    <w:basedOn w:val="63"/>
    <w:qFormat/>
    <w:uiPriority w:val="0"/>
    <w:rPr>
      <w:rFonts w:ascii="Times New Roman" w:hAnsi="Times New Roman" w:eastAsia="宋体" w:cs="Times New Roman"/>
      <w:sz w:val="24"/>
      <w:szCs w:val="24"/>
    </w:rPr>
  </w:style>
  <w:style w:type="character" w:customStyle="1" w:styleId="104">
    <w:name w:val="称呼 字符2"/>
    <w:link w:val="24"/>
    <w:qFormat/>
    <w:uiPriority w:val="0"/>
    <w:rPr>
      <w:rFonts w:ascii="等线" w:hAnsi="等线" w:eastAsia="等线" w:cs="Times New Roman"/>
      <w:szCs w:val="24"/>
    </w:rPr>
  </w:style>
  <w:style w:type="character" w:customStyle="1" w:styleId="105">
    <w:name w:val="正文文本 3 字符"/>
    <w:basedOn w:val="63"/>
    <w:qFormat/>
    <w:uiPriority w:val="99"/>
    <w:rPr>
      <w:rFonts w:ascii="Times New Roman" w:hAnsi="Times New Roman" w:eastAsia="宋体" w:cs="Times New Roman"/>
      <w:sz w:val="16"/>
      <w:szCs w:val="16"/>
    </w:rPr>
  </w:style>
  <w:style w:type="character" w:customStyle="1" w:styleId="106">
    <w:name w:val="正文文本 3 字符2"/>
    <w:link w:val="25"/>
    <w:qFormat/>
    <w:uiPriority w:val="99"/>
    <w:rPr>
      <w:rFonts w:ascii="Calibri" w:hAnsi="Calibri" w:eastAsia="等线" w:cs="Times New Roman"/>
      <w:sz w:val="16"/>
      <w:szCs w:val="16"/>
    </w:rPr>
  </w:style>
  <w:style w:type="character" w:customStyle="1" w:styleId="107">
    <w:name w:val="结束语 字符"/>
    <w:basedOn w:val="63"/>
    <w:semiHidden/>
    <w:qFormat/>
    <w:uiPriority w:val="99"/>
    <w:rPr>
      <w:rFonts w:ascii="Times New Roman" w:hAnsi="Times New Roman" w:eastAsia="宋体" w:cs="Times New Roman"/>
      <w:sz w:val="24"/>
      <w:szCs w:val="24"/>
    </w:rPr>
  </w:style>
  <w:style w:type="character" w:customStyle="1" w:styleId="108">
    <w:name w:val="结束语 字符2"/>
    <w:link w:val="26"/>
    <w:qFormat/>
    <w:uiPriority w:val="99"/>
    <w:rPr>
      <w:rFonts w:ascii="等线" w:hAnsi="等线" w:eastAsia="等线" w:cs="Times New Roman"/>
      <w:szCs w:val="24"/>
    </w:rPr>
  </w:style>
  <w:style w:type="character" w:customStyle="1" w:styleId="109">
    <w:name w:val="正文文本 字符"/>
    <w:basedOn w:val="63"/>
    <w:qFormat/>
    <w:uiPriority w:val="0"/>
    <w:rPr>
      <w:rFonts w:ascii="Times New Roman" w:hAnsi="Times New Roman" w:eastAsia="宋体" w:cs="Times New Roman"/>
      <w:sz w:val="24"/>
      <w:szCs w:val="24"/>
    </w:rPr>
  </w:style>
  <w:style w:type="character" w:customStyle="1" w:styleId="110">
    <w:name w:val="正文文本 字符2"/>
    <w:link w:val="28"/>
    <w:qFormat/>
    <w:uiPriority w:val="0"/>
    <w:rPr>
      <w:rFonts w:ascii="Times New Roman" w:hAnsi="Times New Roman" w:eastAsia="宋体" w:cs="Times New Roman"/>
      <w:sz w:val="24"/>
      <w:szCs w:val="24"/>
    </w:rPr>
  </w:style>
  <w:style w:type="character" w:customStyle="1" w:styleId="111">
    <w:name w:val="HTML 地址 字符"/>
    <w:basedOn w:val="63"/>
    <w:semiHidden/>
    <w:qFormat/>
    <w:uiPriority w:val="99"/>
    <w:rPr>
      <w:rFonts w:ascii="Times New Roman" w:hAnsi="Times New Roman" w:eastAsia="宋体" w:cs="Times New Roman"/>
      <w:i/>
      <w:iCs/>
      <w:sz w:val="24"/>
      <w:szCs w:val="24"/>
    </w:rPr>
  </w:style>
  <w:style w:type="character" w:customStyle="1" w:styleId="112">
    <w:name w:val="HTML 地址 字符2"/>
    <w:link w:val="33"/>
    <w:qFormat/>
    <w:uiPriority w:val="99"/>
    <w:rPr>
      <w:rFonts w:ascii="等线" w:hAnsi="等线" w:eastAsia="等线" w:cs="Times New Roman"/>
      <w:i/>
      <w:iCs/>
      <w:szCs w:val="24"/>
    </w:rPr>
  </w:style>
  <w:style w:type="character" w:customStyle="1" w:styleId="113">
    <w:name w:val="纯文本 字符"/>
    <w:basedOn w:val="63"/>
    <w:qFormat/>
    <w:uiPriority w:val="0"/>
    <w:rPr>
      <w:rFonts w:hAnsi="Courier New" w:cs="Courier New" w:asciiTheme="minorEastAsia"/>
      <w:sz w:val="24"/>
      <w:szCs w:val="24"/>
    </w:rPr>
  </w:style>
  <w:style w:type="character" w:customStyle="1" w:styleId="114">
    <w:name w:val="纯文本 字符1"/>
    <w:link w:val="34"/>
    <w:qFormat/>
    <w:uiPriority w:val="0"/>
    <w:rPr>
      <w:rFonts w:ascii="宋体" w:hAnsi="Courier New" w:eastAsia="宋体" w:cs="Times New Roman"/>
      <w:kern w:val="0"/>
      <w:sz w:val="20"/>
      <w:szCs w:val="20"/>
    </w:rPr>
  </w:style>
  <w:style w:type="character" w:customStyle="1" w:styleId="115">
    <w:name w:val="日期 字符"/>
    <w:basedOn w:val="63"/>
    <w:qFormat/>
    <w:uiPriority w:val="99"/>
    <w:rPr>
      <w:rFonts w:ascii="Times New Roman" w:hAnsi="Times New Roman" w:eastAsia="宋体" w:cs="Times New Roman"/>
      <w:sz w:val="24"/>
      <w:szCs w:val="24"/>
    </w:rPr>
  </w:style>
  <w:style w:type="character" w:customStyle="1" w:styleId="116">
    <w:name w:val="日期 字符2"/>
    <w:link w:val="37"/>
    <w:qFormat/>
    <w:uiPriority w:val="99"/>
    <w:rPr>
      <w:rFonts w:ascii="等线" w:hAnsi="等线" w:eastAsia="仿宋" w:cs="Times New Roman"/>
      <w:sz w:val="28"/>
    </w:rPr>
  </w:style>
  <w:style w:type="character" w:customStyle="1" w:styleId="117">
    <w:name w:val="正文文本缩进 2 字符"/>
    <w:basedOn w:val="63"/>
    <w:qFormat/>
    <w:uiPriority w:val="99"/>
    <w:rPr>
      <w:rFonts w:ascii="Times New Roman" w:hAnsi="Times New Roman" w:eastAsia="宋体" w:cs="Times New Roman"/>
      <w:sz w:val="24"/>
      <w:szCs w:val="24"/>
    </w:rPr>
  </w:style>
  <w:style w:type="character" w:customStyle="1" w:styleId="118">
    <w:name w:val="正文文本缩进 2 字符2"/>
    <w:link w:val="38"/>
    <w:qFormat/>
    <w:uiPriority w:val="99"/>
    <w:rPr>
      <w:rFonts w:ascii="等线" w:hAnsi="等线" w:eastAsia="等线" w:cs="Times New Roman"/>
      <w:color w:val="000000"/>
      <w:szCs w:val="24"/>
    </w:rPr>
  </w:style>
  <w:style w:type="character" w:customStyle="1" w:styleId="119">
    <w:name w:val="尾注文本 字符"/>
    <w:basedOn w:val="63"/>
    <w:qFormat/>
    <w:uiPriority w:val="99"/>
    <w:rPr>
      <w:rFonts w:ascii="Times New Roman" w:hAnsi="Times New Roman" w:eastAsia="宋体" w:cs="Times New Roman"/>
      <w:sz w:val="24"/>
      <w:szCs w:val="24"/>
    </w:rPr>
  </w:style>
  <w:style w:type="character" w:customStyle="1" w:styleId="120">
    <w:name w:val="尾注文本 字符2"/>
    <w:link w:val="39"/>
    <w:qFormat/>
    <w:uiPriority w:val="99"/>
    <w:rPr>
      <w:rFonts w:ascii="Calibri" w:hAnsi="Calibri" w:eastAsia="等线" w:cs="Times New Roman"/>
      <w:szCs w:val="21"/>
    </w:rPr>
  </w:style>
  <w:style w:type="character" w:customStyle="1" w:styleId="121">
    <w:name w:val="批注框文本 字符"/>
    <w:basedOn w:val="63"/>
    <w:qFormat/>
    <w:uiPriority w:val="99"/>
    <w:rPr>
      <w:rFonts w:ascii="Times New Roman" w:hAnsi="Times New Roman" w:eastAsia="宋体" w:cs="Times New Roman"/>
      <w:sz w:val="18"/>
      <w:szCs w:val="18"/>
    </w:rPr>
  </w:style>
  <w:style w:type="character" w:customStyle="1" w:styleId="122">
    <w:name w:val="批注框文本 字符2"/>
    <w:link w:val="40"/>
    <w:qFormat/>
    <w:uiPriority w:val="99"/>
    <w:rPr>
      <w:rFonts w:ascii="Times New Roman" w:hAnsi="Times New Roman" w:eastAsia="宋体" w:cs="Times New Roman"/>
      <w:sz w:val="18"/>
      <w:szCs w:val="18"/>
    </w:rPr>
  </w:style>
  <w:style w:type="character" w:customStyle="1" w:styleId="123">
    <w:name w:val="页脚 字符"/>
    <w:basedOn w:val="63"/>
    <w:qFormat/>
    <w:uiPriority w:val="99"/>
    <w:rPr>
      <w:rFonts w:ascii="Times New Roman" w:hAnsi="Times New Roman" w:eastAsia="宋体" w:cs="Times New Roman"/>
      <w:sz w:val="18"/>
      <w:szCs w:val="18"/>
    </w:rPr>
  </w:style>
  <w:style w:type="character" w:customStyle="1" w:styleId="124">
    <w:name w:val="页脚 字符1"/>
    <w:link w:val="41"/>
    <w:qFormat/>
    <w:uiPriority w:val="99"/>
    <w:rPr>
      <w:rFonts w:ascii="等线" w:hAnsi="等线" w:eastAsia="等线" w:cs="Times New Roman"/>
      <w:sz w:val="18"/>
      <w:szCs w:val="18"/>
    </w:rPr>
  </w:style>
  <w:style w:type="character" w:customStyle="1" w:styleId="125">
    <w:name w:val="页眉 字符"/>
    <w:basedOn w:val="63"/>
    <w:qFormat/>
    <w:uiPriority w:val="99"/>
    <w:rPr>
      <w:rFonts w:ascii="Times New Roman" w:hAnsi="Times New Roman" w:eastAsia="宋体" w:cs="Times New Roman"/>
      <w:sz w:val="18"/>
      <w:szCs w:val="18"/>
    </w:rPr>
  </w:style>
  <w:style w:type="character" w:customStyle="1" w:styleId="126">
    <w:name w:val="页眉 字符1"/>
    <w:link w:val="43"/>
    <w:qFormat/>
    <w:uiPriority w:val="0"/>
    <w:rPr>
      <w:rFonts w:ascii="等线" w:hAnsi="等线" w:eastAsia="等线" w:cs="Times New Roman"/>
      <w:sz w:val="18"/>
      <w:szCs w:val="18"/>
    </w:rPr>
  </w:style>
  <w:style w:type="character" w:customStyle="1" w:styleId="127">
    <w:name w:val="签名 字符"/>
    <w:basedOn w:val="63"/>
    <w:semiHidden/>
    <w:qFormat/>
    <w:uiPriority w:val="99"/>
    <w:rPr>
      <w:rFonts w:ascii="Times New Roman" w:hAnsi="Times New Roman" w:eastAsia="宋体" w:cs="Times New Roman"/>
      <w:sz w:val="24"/>
      <w:szCs w:val="24"/>
    </w:rPr>
  </w:style>
  <w:style w:type="character" w:customStyle="1" w:styleId="128">
    <w:name w:val="签名 字符2"/>
    <w:link w:val="44"/>
    <w:qFormat/>
    <w:uiPriority w:val="99"/>
    <w:rPr>
      <w:rFonts w:ascii="等线" w:hAnsi="等线" w:eastAsia="等线" w:cs="Times New Roman"/>
      <w:szCs w:val="24"/>
    </w:rPr>
  </w:style>
  <w:style w:type="character" w:customStyle="1" w:styleId="129">
    <w:name w:val="副标题 字符"/>
    <w:basedOn w:val="63"/>
    <w:qFormat/>
    <w:uiPriority w:val="11"/>
    <w:rPr>
      <w:b/>
      <w:bCs/>
      <w:kern w:val="28"/>
      <w:sz w:val="32"/>
      <w:szCs w:val="32"/>
    </w:rPr>
  </w:style>
  <w:style w:type="character" w:customStyle="1" w:styleId="130">
    <w:name w:val="副标题 字符2"/>
    <w:link w:val="45"/>
    <w:qFormat/>
    <w:uiPriority w:val="11"/>
    <w:rPr>
      <w:rFonts w:ascii="Cambria" w:hAnsi="Cambria" w:eastAsia="等线" w:cs="Times New Roman"/>
      <w:i/>
      <w:iCs/>
      <w:spacing w:val="13"/>
      <w:sz w:val="24"/>
      <w:szCs w:val="24"/>
    </w:rPr>
  </w:style>
  <w:style w:type="character" w:customStyle="1" w:styleId="131">
    <w:name w:val="脚注文本 字符"/>
    <w:basedOn w:val="63"/>
    <w:qFormat/>
    <w:uiPriority w:val="99"/>
    <w:rPr>
      <w:rFonts w:ascii="Times New Roman" w:hAnsi="Times New Roman" w:eastAsia="宋体" w:cs="Times New Roman"/>
      <w:sz w:val="18"/>
      <w:szCs w:val="18"/>
    </w:rPr>
  </w:style>
  <w:style w:type="character" w:customStyle="1" w:styleId="132">
    <w:name w:val="脚注文本 字符2"/>
    <w:link w:val="47"/>
    <w:qFormat/>
    <w:uiPriority w:val="99"/>
    <w:rPr>
      <w:rFonts w:ascii="等线" w:hAnsi="等线" w:eastAsia="等线" w:cs="Times New Roman"/>
      <w:sz w:val="18"/>
      <w:szCs w:val="18"/>
    </w:rPr>
  </w:style>
  <w:style w:type="character" w:customStyle="1" w:styleId="133">
    <w:name w:val="正文文本缩进 3 字符"/>
    <w:basedOn w:val="63"/>
    <w:qFormat/>
    <w:uiPriority w:val="99"/>
    <w:rPr>
      <w:rFonts w:ascii="Times New Roman" w:hAnsi="Times New Roman" w:eastAsia="宋体" w:cs="Times New Roman"/>
      <w:sz w:val="16"/>
      <w:szCs w:val="16"/>
    </w:rPr>
  </w:style>
  <w:style w:type="character" w:customStyle="1" w:styleId="134">
    <w:name w:val="正文文本缩进 3 字符2"/>
    <w:link w:val="48"/>
    <w:qFormat/>
    <w:uiPriority w:val="99"/>
    <w:rPr>
      <w:rFonts w:ascii="楷体_GB2312" w:hAnsi="等线" w:eastAsia="楷体_GB2312" w:cs="Times New Roman"/>
      <w:sz w:val="28"/>
    </w:rPr>
  </w:style>
  <w:style w:type="character" w:customStyle="1" w:styleId="135">
    <w:name w:val="正文文本 2 字符"/>
    <w:basedOn w:val="63"/>
    <w:qFormat/>
    <w:uiPriority w:val="99"/>
    <w:rPr>
      <w:rFonts w:ascii="Times New Roman" w:hAnsi="Times New Roman" w:eastAsia="宋体" w:cs="Times New Roman"/>
      <w:sz w:val="24"/>
      <w:szCs w:val="24"/>
    </w:rPr>
  </w:style>
  <w:style w:type="character" w:customStyle="1" w:styleId="136">
    <w:name w:val="正文文本 2 字符2"/>
    <w:link w:val="51"/>
    <w:qFormat/>
    <w:uiPriority w:val="99"/>
    <w:rPr>
      <w:rFonts w:ascii="Calibri" w:hAnsi="Calibri" w:eastAsia="等线" w:cs="Times New Roman"/>
      <w:sz w:val="24"/>
      <w:szCs w:val="24"/>
    </w:rPr>
  </w:style>
  <w:style w:type="character" w:customStyle="1" w:styleId="137">
    <w:name w:val="信息标题 字符"/>
    <w:basedOn w:val="63"/>
    <w:semiHidden/>
    <w:qFormat/>
    <w:uiPriority w:val="99"/>
    <w:rPr>
      <w:rFonts w:asciiTheme="majorHAnsi" w:hAnsiTheme="majorHAnsi" w:eastAsiaTheme="majorEastAsia" w:cstheme="majorBidi"/>
      <w:sz w:val="24"/>
      <w:szCs w:val="24"/>
      <w:shd w:val="pct20" w:color="auto" w:fill="auto"/>
    </w:rPr>
  </w:style>
  <w:style w:type="character" w:customStyle="1" w:styleId="138">
    <w:name w:val="信息标题 字符2"/>
    <w:link w:val="52"/>
    <w:qFormat/>
    <w:uiPriority w:val="99"/>
    <w:rPr>
      <w:rFonts w:ascii="Cambria" w:hAnsi="Cambria" w:eastAsia="宋体" w:cs="Times New Roman"/>
      <w:sz w:val="24"/>
      <w:szCs w:val="24"/>
      <w:shd w:val="pct20" w:color="auto" w:fill="auto"/>
    </w:rPr>
  </w:style>
  <w:style w:type="character" w:customStyle="1" w:styleId="139">
    <w:name w:val="HTML 预设格式 字符"/>
    <w:basedOn w:val="63"/>
    <w:qFormat/>
    <w:uiPriority w:val="99"/>
    <w:rPr>
      <w:rFonts w:ascii="Courier New" w:hAnsi="Courier New" w:eastAsia="宋体" w:cs="Courier New"/>
      <w:sz w:val="20"/>
      <w:szCs w:val="20"/>
    </w:rPr>
  </w:style>
  <w:style w:type="character" w:customStyle="1" w:styleId="140">
    <w:name w:val="HTML 预设格式 字符2"/>
    <w:link w:val="53"/>
    <w:qFormat/>
    <w:uiPriority w:val="99"/>
    <w:rPr>
      <w:rFonts w:ascii="宋体" w:hAnsi="宋体" w:eastAsia="等线" w:cs="Times New Roman"/>
      <w:sz w:val="24"/>
      <w:szCs w:val="24"/>
    </w:rPr>
  </w:style>
  <w:style w:type="character" w:customStyle="1" w:styleId="141">
    <w:name w:val="标题 字符"/>
    <w:basedOn w:val="63"/>
    <w:qFormat/>
    <w:uiPriority w:val="10"/>
    <w:rPr>
      <w:rFonts w:asciiTheme="majorHAnsi" w:hAnsiTheme="majorHAnsi" w:eastAsiaTheme="majorEastAsia" w:cstheme="majorBidi"/>
      <w:b/>
      <w:bCs/>
      <w:sz w:val="32"/>
      <w:szCs w:val="32"/>
    </w:rPr>
  </w:style>
  <w:style w:type="character" w:customStyle="1" w:styleId="142">
    <w:name w:val="标题 字符2"/>
    <w:link w:val="57"/>
    <w:qFormat/>
    <w:uiPriority w:val="10"/>
    <w:rPr>
      <w:rFonts w:ascii="Cambria" w:hAnsi="Cambria" w:eastAsia="等线" w:cs="Times New Roman"/>
      <w:spacing w:val="5"/>
      <w:sz w:val="52"/>
      <w:szCs w:val="52"/>
    </w:rPr>
  </w:style>
  <w:style w:type="character" w:customStyle="1" w:styleId="143">
    <w:name w:val="批注主题 字符"/>
    <w:basedOn w:val="101"/>
    <w:qFormat/>
    <w:uiPriority w:val="99"/>
    <w:rPr>
      <w:rFonts w:ascii="Times New Roman" w:hAnsi="Times New Roman" w:eastAsia="宋体" w:cs="Times New Roman"/>
      <w:b/>
      <w:bCs/>
      <w:sz w:val="24"/>
      <w:szCs w:val="24"/>
    </w:rPr>
  </w:style>
  <w:style w:type="character" w:customStyle="1" w:styleId="144">
    <w:name w:val="批注主题 字符2"/>
    <w:link w:val="58"/>
    <w:qFormat/>
    <w:uiPriority w:val="99"/>
    <w:rPr>
      <w:rFonts w:ascii="Calibri" w:hAnsi="Calibri" w:eastAsia="等线" w:cs="Times New Roman"/>
      <w:b/>
      <w:bCs/>
      <w:szCs w:val="21"/>
    </w:rPr>
  </w:style>
  <w:style w:type="character" w:customStyle="1" w:styleId="145">
    <w:name w:val="正文首行缩进 Char3"/>
    <w:qFormat/>
    <w:uiPriority w:val="99"/>
    <w:rPr>
      <w:rFonts w:ascii="Times New Roman" w:hAnsi="Times New Roman" w:eastAsia="宋体" w:cs="Times New Roman"/>
      <w:kern w:val="0"/>
      <w:sz w:val="20"/>
      <w:szCs w:val="24"/>
    </w:rPr>
  </w:style>
  <w:style w:type="character" w:customStyle="1" w:styleId="146">
    <w:name w:val="标题3 Char"/>
    <w:link w:val="147"/>
    <w:qFormat/>
    <w:uiPriority w:val="0"/>
    <w:rPr>
      <w:rFonts w:eastAsia="楷体_GB2312"/>
      <w:b/>
      <w:bCs/>
      <w:color w:val="000000"/>
      <w:sz w:val="32"/>
      <w:szCs w:val="30"/>
    </w:rPr>
  </w:style>
  <w:style w:type="paragraph" w:customStyle="1" w:styleId="147">
    <w:name w:val="标题3"/>
    <w:basedOn w:val="6"/>
    <w:next w:val="6"/>
    <w:link w:val="146"/>
    <w:qFormat/>
    <w:uiPriority w:val="0"/>
    <w:pPr>
      <w:snapToGrid w:val="0"/>
      <w:spacing w:before="0" w:after="0" w:line="600" w:lineRule="exact"/>
    </w:pPr>
    <w:rPr>
      <w:rFonts w:eastAsia="楷体_GB2312" w:asciiTheme="minorHAnsi" w:hAnsiTheme="minorHAnsi" w:cstheme="minorBidi"/>
      <w:color w:val="000000"/>
      <w:szCs w:val="30"/>
    </w:rPr>
  </w:style>
  <w:style w:type="character" w:customStyle="1" w:styleId="148">
    <w:name w:val="正文文本 3 Char2"/>
    <w:qFormat/>
    <w:uiPriority w:val="99"/>
    <w:rPr>
      <w:rFonts w:ascii="Calibri" w:hAnsi="Calibri"/>
      <w:sz w:val="16"/>
      <w:szCs w:val="16"/>
    </w:rPr>
  </w:style>
  <w:style w:type="character" w:customStyle="1" w:styleId="149">
    <w:name w:val="书籍标题13"/>
    <w:qFormat/>
    <w:uiPriority w:val="33"/>
    <w:rPr>
      <w:i/>
      <w:iCs/>
      <w:smallCaps/>
      <w:spacing w:val="5"/>
    </w:rPr>
  </w:style>
  <w:style w:type="character" w:customStyle="1" w:styleId="150">
    <w:name w:val="bigtitle1"/>
    <w:qFormat/>
    <w:uiPriority w:val="0"/>
    <w:rPr>
      <w:b/>
      <w:bCs/>
      <w:color w:val="0000FF"/>
      <w:sz w:val="24"/>
      <w:szCs w:val="24"/>
    </w:rPr>
  </w:style>
  <w:style w:type="character" w:customStyle="1" w:styleId="151">
    <w:name w:val="戚标题 1 Char Char"/>
    <w:qFormat/>
    <w:uiPriority w:val="0"/>
    <w:rPr>
      <w:rFonts w:ascii="Calibri" w:hAnsi="Calibri" w:eastAsia="宋体" w:cs="Times New Roman"/>
      <w:b/>
      <w:bCs/>
      <w:kern w:val="44"/>
      <w:sz w:val="44"/>
      <w:szCs w:val="44"/>
    </w:rPr>
  </w:style>
  <w:style w:type="character" w:customStyle="1" w:styleId="152">
    <w:name w:val="信息标题 Char2"/>
    <w:semiHidden/>
    <w:qFormat/>
    <w:locked/>
    <w:uiPriority w:val="99"/>
    <w:rPr>
      <w:rFonts w:ascii="Cambria" w:hAnsi="Cambria" w:eastAsia="宋体"/>
      <w:kern w:val="2"/>
      <w:sz w:val="24"/>
      <w:szCs w:val="24"/>
      <w:shd w:val="pct20" w:color="auto" w:fill="auto"/>
    </w:rPr>
  </w:style>
  <w:style w:type="character" w:customStyle="1" w:styleId="153">
    <w:name w:val="正文文本缩进 Char1"/>
    <w:qFormat/>
    <w:uiPriority w:val="99"/>
    <w:rPr>
      <w:rFonts w:ascii="Calibri" w:hAnsi="Calibri" w:eastAsia="宋体" w:cs="Times New Roman"/>
    </w:rPr>
  </w:style>
  <w:style w:type="character" w:customStyle="1" w:styleId="154">
    <w:name w:val="图表内容 Char Char"/>
    <w:qFormat/>
    <w:uiPriority w:val="0"/>
    <w:rPr>
      <w:rFonts w:ascii="Times New Roman" w:hAnsi="Times New Roman" w:eastAsia="宋体" w:cs="Times New Roman"/>
      <w:kern w:val="0"/>
      <w:sz w:val="18"/>
      <w:szCs w:val="18"/>
    </w:rPr>
  </w:style>
  <w:style w:type="character" w:customStyle="1" w:styleId="155">
    <w:name w:val="content1"/>
    <w:qFormat/>
    <w:uiPriority w:val="0"/>
    <w:rPr>
      <w:sz w:val="21"/>
      <w:szCs w:val="21"/>
    </w:rPr>
  </w:style>
  <w:style w:type="character" w:customStyle="1" w:styleId="156">
    <w:name w:val="样式 标题 3 + 宋体 四号 Char Char Char Char Char Char Char Char Char"/>
    <w:qFormat/>
    <w:uiPriority w:val="0"/>
    <w:rPr>
      <w:rFonts w:ascii="宋体" w:hAnsi="宋体" w:eastAsia="黑体"/>
      <w:b/>
      <w:bCs/>
      <w:kern w:val="2"/>
      <w:sz w:val="28"/>
      <w:szCs w:val="32"/>
      <w:lang w:val="en-US" w:eastAsia="zh-CN" w:bidi="ar-SA"/>
    </w:rPr>
  </w:style>
  <w:style w:type="character" w:customStyle="1" w:styleId="157">
    <w:name w:val="表头 Char"/>
    <w:link w:val="158"/>
    <w:qFormat/>
    <w:uiPriority w:val="0"/>
    <w:rPr>
      <w:b/>
      <w:sz w:val="24"/>
    </w:rPr>
  </w:style>
  <w:style w:type="paragraph" w:customStyle="1" w:styleId="158">
    <w:name w:val="表头"/>
    <w:basedOn w:val="1"/>
    <w:link w:val="157"/>
    <w:qFormat/>
    <w:uiPriority w:val="0"/>
    <w:pPr>
      <w:adjustRightInd w:val="0"/>
      <w:snapToGrid w:val="0"/>
      <w:spacing w:beforeLines="20" w:afterLines="20"/>
      <w:jc w:val="center"/>
    </w:pPr>
    <w:rPr>
      <w:rFonts w:asciiTheme="minorHAnsi" w:hAnsiTheme="minorHAnsi" w:eastAsiaTheme="minorEastAsia" w:cstheme="minorBidi"/>
      <w:b/>
      <w:szCs w:val="22"/>
    </w:rPr>
  </w:style>
  <w:style w:type="character" w:customStyle="1" w:styleId="159">
    <w:name w:val="Char Char7"/>
    <w:qFormat/>
    <w:uiPriority w:val="0"/>
    <w:rPr>
      <w:rFonts w:eastAsia="宋体"/>
      <w:kern w:val="2"/>
      <w:sz w:val="24"/>
      <w:lang w:val="en-US" w:eastAsia="zh-CN" w:bidi="ar-SA"/>
    </w:rPr>
  </w:style>
  <w:style w:type="character" w:customStyle="1" w:styleId="160">
    <w:name w:val="z-窗体底端 字符"/>
    <w:link w:val="161"/>
    <w:qFormat/>
    <w:uiPriority w:val="99"/>
    <w:rPr>
      <w:rFonts w:ascii="Arial" w:hAnsi="Arial" w:cs="Arial"/>
      <w:vanish/>
      <w:sz w:val="16"/>
      <w:szCs w:val="16"/>
    </w:rPr>
  </w:style>
  <w:style w:type="paragraph" w:customStyle="1" w:styleId="161">
    <w:name w:val="z-窗体底端1"/>
    <w:basedOn w:val="1"/>
    <w:next w:val="1"/>
    <w:link w:val="160"/>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162">
    <w:name w:val="脚注文本 Char3"/>
    <w:qFormat/>
    <w:uiPriority w:val="0"/>
    <w:rPr>
      <w:sz w:val="18"/>
      <w:szCs w:val="18"/>
    </w:rPr>
  </w:style>
  <w:style w:type="character" w:customStyle="1" w:styleId="163">
    <w:name w:val="0005 Char"/>
    <w:link w:val="164"/>
    <w:qFormat/>
    <w:locked/>
    <w:uiPriority w:val="0"/>
    <w:rPr>
      <w:rFonts w:ascii="仿宋_GB2312" w:eastAsia="仿宋_GB2312"/>
      <w:b/>
      <w:color w:val="000000"/>
      <w:sz w:val="28"/>
      <w:szCs w:val="28"/>
    </w:rPr>
  </w:style>
  <w:style w:type="paragraph" w:customStyle="1" w:styleId="164">
    <w:name w:val="0005"/>
    <w:basedOn w:val="165"/>
    <w:link w:val="163"/>
    <w:qFormat/>
    <w:uiPriority w:val="0"/>
    <w:pPr>
      <w:outlineLvl w:val="4"/>
    </w:pPr>
    <w:rPr>
      <w:rFonts w:hAnsiTheme="minorHAnsi" w:cstheme="minorBidi"/>
    </w:rPr>
  </w:style>
  <w:style w:type="paragraph" w:customStyle="1" w:styleId="165">
    <w:name w:val="0004"/>
    <w:basedOn w:val="166"/>
    <w:link w:val="168"/>
    <w:qFormat/>
    <w:uiPriority w:val="0"/>
    <w:pPr>
      <w:outlineLvl w:val="3"/>
    </w:pPr>
    <w:rPr>
      <w:szCs w:val="28"/>
    </w:rPr>
  </w:style>
  <w:style w:type="paragraph" w:customStyle="1" w:styleId="166">
    <w:name w:val="三级标题3"/>
    <w:basedOn w:val="147"/>
    <w:link w:val="167"/>
    <w:qFormat/>
    <w:uiPriority w:val="0"/>
    <w:pPr>
      <w:snapToGrid/>
      <w:spacing w:line="360" w:lineRule="auto"/>
      <w:ind w:firstLine="0" w:firstLineChars="0"/>
    </w:pPr>
    <w:rPr>
      <w:rFonts w:ascii="Times New Roman" w:hAnsi="Times New Roman" w:eastAsia="宋体" w:cs="Times New Roman"/>
      <w:color w:val="auto"/>
      <w:kern w:val="0"/>
      <w:sz w:val="28"/>
    </w:rPr>
  </w:style>
  <w:style w:type="character" w:customStyle="1" w:styleId="167">
    <w:name w:val="三级标题3 字符"/>
    <w:link w:val="166"/>
    <w:qFormat/>
    <w:locked/>
    <w:uiPriority w:val="0"/>
    <w:rPr>
      <w:rFonts w:ascii="Times New Roman" w:hAnsi="Times New Roman" w:eastAsia="宋体" w:cs="Times New Roman"/>
      <w:b/>
      <w:bCs/>
      <w:kern w:val="0"/>
      <w:sz w:val="28"/>
      <w:szCs w:val="30"/>
    </w:rPr>
  </w:style>
  <w:style w:type="character" w:customStyle="1" w:styleId="168">
    <w:name w:val="0004 Char"/>
    <w:link w:val="165"/>
    <w:qFormat/>
    <w:locked/>
    <w:uiPriority w:val="0"/>
    <w:rPr>
      <w:rFonts w:ascii="仿宋_GB2312" w:hAnsi="等线" w:eastAsia="仿宋_GB2312" w:cs="Times New Roman"/>
      <w:b/>
      <w:color w:val="000000"/>
      <w:sz w:val="28"/>
      <w:szCs w:val="28"/>
    </w:rPr>
  </w:style>
  <w:style w:type="character" w:customStyle="1" w:styleId="169">
    <w:name w:val="正文文本 + 10 pt"/>
    <w:qFormat/>
    <w:uiPriority w:val="0"/>
    <w:rPr>
      <w:rFonts w:hint="eastAsia" w:ascii="MingLiU" w:hAnsi="MingLiU" w:eastAsia="MingLiU" w:cs="MingLiU"/>
      <w:color w:val="000000"/>
      <w:spacing w:val="20"/>
      <w:w w:val="100"/>
      <w:position w:val="0"/>
      <w:sz w:val="20"/>
      <w:szCs w:val="20"/>
      <w:u w:val="none"/>
      <w:shd w:val="clear" w:color="auto" w:fill="FFFFFF"/>
      <w:lang w:val="zh-CN"/>
    </w:rPr>
  </w:style>
  <w:style w:type="character" w:customStyle="1" w:styleId="170">
    <w:name w:val="Char Char14"/>
    <w:qFormat/>
    <w:uiPriority w:val="0"/>
    <w:rPr>
      <w:rFonts w:ascii="Arial" w:hAnsi="Arial" w:eastAsia="黑体"/>
      <w:sz w:val="21"/>
      <w:szCs w:val="21"/>
      <w:lang w:val="en-US" w:eastAsia="zh-CN" w:bidi="ar-SA"/>
    </w:rPr>
  </w:style>
  <w:style w:type="character" w:customStyle="1" w:styleId="171">
    <w:name w:val="文档结构图 字符1"/>
    <w:semiHidden/>
    <w:qFormat/>
    <w:uiPriority w:val="99"/>
    <w:rPr>
      <w:rFonts w:ascii="Microsoft YaHei UI" w:hAnsi="Times New Roman" w:eastAsia="Microsoft YaHei UI" w:cs="Times New Roman"/>
      <w:sz w:val="18"/>
      <w:szCs w:val="18"/>
    </w:rPr>
  </w:style>
  <w:style w:type="character" w:customStyle="1" w:styleId="172">
    <w:name w:val="称呼 Char4"/>
    <w:qFormat/>
    <w:uiPriority w:val="99"/>
    <w:rPr>
      <w:szCs w:val="24"/>
    </w:rPr>
  </w:style>
  <w:style w:type="character" w:customStyle="1" w:styleId="173">
    <w:name w:val="正文文本缩进 字符1"/>
    <w:semiHidden/>
    <w:qFormat/>
    <w:uiPriority w:val="99"/>
    <w:rPr>
      <w:rFonts w:ascii="Times New Roman" w:hAnsi="Times New Roman" w:eastAsia="宋体" w:cs="Times New Roman"/>
      <w:sz w:val="24"/>
      <w:szCs w:val="24"/>
    </w:rPr>
  </w:style>
  <w:style w:type="character" w:customStyle="1" w:styleId="174">
    <w:name w:val="余姚市位于~~~ Char Char"/>
    <w:link w:val="175"/>
    <w:qFormat/>
    <w:uiPriority w:val="0"/>
    <w:rPr>
      <w:rFonts w:ascii="宋体" w:hAnsi="宋体"/>
      <w:color w:val="000000"/>
      <w:sz w:val="24"/>
      <w:szCs w:val="24"/>
    </w:rPr>
  </w:style>
  <w:style w:type="paragraph" w:customStyle="1" w:styleId="175">
    <w:name w:val="余姚市位于~~~"/>
    <w:basedOn w:val="1"/>
    <w:link w:val="174"/>
    <w:qFormat/>
    <w:uiPriority w:val="0"/>
    <w:pPr>
      <w:adjustRightInd w:val="0"/>
      <w:spacing w:line="440" w:lineRule="exact"/>
      <w:ind w:firstLine="480"/>
    </w:pPr>
    <w:rPr>
      <w:rFonts w:ascii="宋体" w:hAnsi="宋体" w:eastAsiaTheme="minorEastAsia" w:cstheme="minorBidi"/>
      <w:color w:val="000000"/>
    </w:rPr>
  </w:style>
  <w:style w:type="character" w:customStyle="1" w:styleId="176">
    <w:name w:val="正文文本缩进 3 Char2"/>
    <w:qFormat/>
    <w:uiPriority w:val="0"/>
    <w:rPr>
      <w:rFonts w:ascii="楷体_GB2312" w:eastAsia="楷体_GB2312"/>
      <w:sz w:val="28"/>
    </w:rPr>
  </w:style>
  <w:style w:type="character" w:customStyle="1" w:styleId="177">
    <w:name w:val="标题 4 Char3"/>
    <w:qFormat/>
    <w:uiPriority w:val="0"/>
    <w:rPr>
      <w:rFonts w:ascii="宋体" w:hAnsi="宋体"/>
      <w:b/>
      <w:color w:val="000000"/>
      <w:sz w:val="30"/>
      <w:szCs w:val="30"/>
      <w:lang w:bidi="ar-SA"/>
    </w:rPr>
  </w:style>
  <w:style w:type="character" w:customStyle="1" w:styleId="178">
    <w:name w:val="签名 Char"/>
    <w:qFormat/>
    <w:uiPriority w:val="0"/>
    <w:rPr>
      <w:sz w:val="24"/>
    </w:rPr>
  </w:style>
  <w:style w:type="character" w:customStyle="1" w:styleId="179">
    <w:name w:val="正文文本 (16) + 10.5 pt"/>
    <w:qFormat/>
    <w:uiPriority w:val="0"/>
    <w:rPr>
      <w:rFonts w:ascii="宋体" w:hAnsi="宋体" w:eastAsia="宋体" w:cs="宋体"/>
      <w:color w:val="000000"/>
      <w:spacing w:val="0"/>
      <w:w w:val="100"/>
      <w:position w:val="0"/>
      <w:sz w:val="21"/>
      <w:szCs w:val="21"/>
      <w:u w:val="none"/>
      <w:lang w:val="zh-TW" w:eastAsia="zh-TW" w:bidi="zh-TW"/>
    </w:rPr>
  </w:style>
  <w:style w:type="character" w:customStyle="1" w:styleId="180">
    <w:name w:val="Char Char4"/>
    <w:qFormat/>
    <w:uiPriority w:val="0"/>
    <w:rPr>
      <w:rFonts w:eastAsia="宋体"/>
      <w:kern w:val="2"/>
      <w:sz w:val="24"/>
      <w:szCs w:val="24"/>
      <w:lang w:val="en-US" w:eastAsia="zh-CN" w:bidi="ar-SA"/>
    </w:rPr>
  </w:style>
  <w:style w:type="character" w:customStyle="1" w:styleId="181">
    <w:name w:val="尾注文本 Char2"/>
    <w:qFormat/>
    <w:uiPriority w:val="99"/>
    <w:rPr>
      <w:rFonts w:ascii="Calibri" w:hAnsi="Calibri"/>
      <w:szCs w:val="21"/>
    </w:rPr>
  </w:style>
  <w:style w:type="character" w:customStyle="1" w:styleId="182">
    <w:name w:val="EmailStyle1501"/>
    <w:qFormat/>
    <w:uiPriority w:val="0"/>
    <w:rPr>
      <w:rFonts w:ascii="Arial" w:hAnsi="Arial" w:eastAsia="宋体" w:cs="Arial"/>
      <w:color w:val="auto"/>
      <w:sz w:val="20"/>
    </w:rPr>
  </w:style>
  <w:style w:type="character" w:customStyle="1" w:styleId="183">
    <w:name w:val="结束语 Char3"/>
    <w:semiHidden/>
    <w:qFormat/>
    <w:uiPriority w:val="99"/>
    <w:rPr>
      <w:kern w:val="2"/>
      <w:sz w:val="21"/>
      <w:szCs w:val="24"/>
    </w:rPr>
  </w:style>
  <w:style w:type="character" w:customStyle="1" w:styleId="184">
    <w:name w:val="Char Char9"/>
    <w:qFormat/>
    <w:uiPriority w:val="0"/>
    <w:rPr>
      <w:rFonts w:eastAsia="华文仿宋"/>
      <w:kern w:val="2"/>
      <w:sz w:val="28"/>
      <w:szCs w:val="24"/>
      <w:lang w:val="en-US" w:eastAsia="zh-CN" w:bidi="ar-SA"/>
    </w:rPr>
  </w:style>
  <w:style w:type="character" w:customStyle="1" w:styleId="185">
    <w:name w:val="样式1 Char"/>
    <w:link w:val="186"/>
    <w:qFormat/>
    <w:uiPriority w:val="0"/>
    <w:rPr>
      <w:rFonts w:ascii="Cambria" w:hAnsi="Cambria"/>
      <w:b/>
      <w:color w:val="000000"/>
      <w:sz w:val="32"/>
      <w:szCs w:val="28"/>
    </w:rPr>
  </w:style>
  <w:style w:type="paragraph" w:customStyle="1" w:styleId="186">
    <w:name w:val="样式1"/>
    <w:basedOn w:val="7"/>
    <w:link w:val="185"/>
    <w:qFormat/>
    <w:uiPriority w:val="0"/>
    <w:pPr>
      <w:widowControl w:val="0"/>
      <w:spacing w:line="376" w:lineRule="auto"/>
      <w:ind w:right="0" w:rightChars="0"/>
      <w:jc w:val="both"/>
    </w:pPr>
    <w:rPr>
      <w:rFonts w:ascii="Cambria" w:hAnsi="Cambria" w:eastAsiaTheme="minorEastAsia" w:cstheme="minorBidi"/>
      <w:kern w:val="2"/>
      <w:sz w:val="32"/>
      <w:szCs w:val="28"/>
    </w:rPr>
  </w:style>
  <w:style w:type="character" w:customStyle="1" w:styleId="187">
    <w:name w:val="杭州研究报告-段 Char"/>
    <w:link w:val="188"/>
    <w:qFormat/>
    <w:uiPriority w:val="0"/>
    <w:rPr>
      <w:rFonts w:ascii="Cambria" w:hAnsi="Cambria"/>
      <w:b/>
      <w:color w:val="000000"/>
      <w:sz w:val="32"/>
      <w:szCs w:val="32"/>
    </w:rPr>
  </w:style>
  <w:style w:type="paragraph" w:customStyle="1" w:styleId="188">
    <w:name w:val="杭州研究报告-段"/>
    <w:basedOn w:val="7"/>
    <w:link w:val="187"/>
    <w:qFormat/>
    <w:uiPriority w:val="0"/>
    <w:pPr>
      <w:spacing w:before="120" w:after="120" w:line="360" w:lineRule="auto"/>
      <w:outlineLvl w:val="0"/>
    </w:pPr>
    <w:rPr>
      <w:rFonts w:ascii="Cambria" w:hAnsi="Cambria" w:eastAsiaTheme="minorEastAsia" w:cstheme="minorBidi"/>
      <w:kern w:val="2"/>
      <w:sz w:val="32"/>
      <w:szCs w:val="32"/>
    </w:rPr>
  </w:style>
  <w:style w:type="character" w:customStyle="1" w:styleId="189">
    <w:name w:val="条 Char"/>
    <w:link w:val="190"/>
    <w:qFormat/>
    <w:uiPriority w:val="0"/>
    <w:rPr>
      <w:rFonts w:ascii="宋体" w:hAnsi="宋体" w:eastAsia="宋体" w:cs="Times New Roman"/>
      <w:b/>
      <w:bCs/>
      <w:kern w:val="0"/>
      <w:sz w:val="24"/>
      <w:szCs w:val="24"/>
    </w:rPr>
  </w:style>
  <w:style w:type="paragraph" w:customStyle="1" w:styleId="190">
    <w:name w:val="条"/>
    <w:basedOn w:val="7"/>
    <w:link w:val="189"/>
    <w:qFormat/>
    <w:uiPriority w:val="0"/>
    <w:pPr>
      <w:widowControl w:val="0"/>
      <w:tabs>
        <w:tab w:val="left" w:pos="851"/>
      </w:tabs>
      <w:adjustRightInd w:val="0"/>
      <w:spacing w:beforeLines="0" w:after="240" w:line="360" w:lineRule="auto"/>
      <w:ind w:left="851" w:right="0" w:rightChars="0" w:hanging="851"/>
      <w:jc w:val="both"/>
      <w:textAlignment w:val="baseline"/>
    </w:pPr>
    <w:rPr>
      <w:bCs/>
      <w:color w:val="auto"/>
      <w:sz w:val="24"/>
      <w:szCs w:val="24"/>
    </w:rPr>
  </w:style>
  <w:style w:type="character" w:customStyle="1" w:styleId="191">
    <w:name w:val="条名 Char"/>
    <w:link w:val="192"/>
    <w:qFormat/>
    <w:uiPriority w:val="0"/>
    <w:rPr>
      <w:rFonts w:ascii="Arial" w:hAnsi="Arial"/>
      <w:b/>
      <w:bCs/>
      <w:color w:val="000000"/>
      <w:sz w:val="28"/>
      <w:szCs w:val="32"/>
    </w:rPr>
  </w:style>
  <w:style w:type="paragraph" w:customStyle="1" w:styleId="192">
    <w:name w:val="条名"/>
    <w:basedOn w:val="190"/>
    <w:link w:val="191"/>
    <w:qFormat/>
    <w:uiPriority w:val="0"/>
    <w:pPr>
      <w:tabs>
        <w:tab w:val="left" w:pos="1200"/>
        <w:tab w:val="clear" w:pos="851"/>
      </w:tabs>
      <w:spacing w:after="0"/>
      <w:ind w:left="900" w:firstLine="5"/>
      <w:jc w:val="left"/>
    </w:pPr>
    <w:rPr>
      <w:rFonts w:ascii="Arial" w:hAnsi="Arial" w:eastAsiaTheme="minorEastAsia" w:cstheme="minorBidi"/>
      <w:color w:val="000000"/>
      <w:kern w:val="2"/>
      <w:sz w:val="28"/>
      <w:szCs w:val="32"/>
    </w:rPr>
  </w:style>
  <w:style w:type="character" w:customStyle="1" w:styleId="193">
    <w:name w:val="Char Char38"/>
    <w:qFormat/>
    <w:uiPriority w:val="0"/>
    <w:rPr>
      <w:rFonts w:ascii="Arial Narrow" w:hAnsi="Arial Narrow" w:eastAsia="黑体" w:cs="Times New Roman"/>
      <w:b/>
      <w:bCs/>
      <w:snapToGrid w:val="0"/>
      <w:kern w:val="0"/>
      <w:sz w:val="30"/>
      <w:szCs w:val="32"/>
    </w:rPr>
  </w:style>
  <w:style w:type="character" w:customStyle="1" w:styleId="194">
    <w:name w:val="表格和图表标题 Char"/>
    <w:link w:val="195"/>
    <w:qFormat/>
    <w:uiPriority w:val="0"/>
    <w:rPr>
      <w:sz w:val="24"/>
    </w:rPr>
  </w:style>
  <w:style w:type="paragraph" w:customStyle="1" w:styleId="195">
    <w:name w:val="表格和图表标题"/>
    <w:basedOn w:val="1"/>
    <w:link w:val="194"/>
    <w:qFormat/>
    <w:uiPriority w:val="0"/>
    <w:pPr>
      <w:jc w:val="center"/>
    </w:pPr>
    <w:rPr>
      <w:rFonts w:asciiTheme="minorHAnsi" w:hAnsiTheme="minorHAnsi" w:eastAsiaTheme="minorEastAsia" w:cstheme="minorBidi"/>
      <w:szCs w:val="22"/>
    </w:rPr>
  </w:style>
  <w:style w:type="character" w:customStyle="1" w:styleId="196">
    <w:name w:val="正文文本 (16) + 粗体"/>
    <w:qFormat/>
    <w:uiPriority w:val="0"/>
    <w:rPr>
      <w:rFonts w:ascii="宋体" w:hAnsi="宋体" w:eastAsia="宋体" w:cs="宋体"/>
      <w:b/>
      <w:bCs/>
      <w:color w:val="000000"/>
      <w:spacing w:val="0"/>
      <w:w w:val="100"/>
      <w:position w:val="0"/>
      <w:sz w:val="22"/>
      <w:szCs w:val="22"/>
      <w:u w:val="none"/>
      <w:lang w:val="zh-TW" w:eastAsia="zh-TW" w:bidi="zh-TW"/>
    </w:rPr>
  </w:style>
  <w:style w:type="character" w:customStyle="1" w:styleId="197">
    <w:name w:val="引用 Char"/>
    <w:link w:val="198"/>
    <w:qFormat/>
    <w:uiPriority w:val="29"/>
    <w:rPr>
      <w:i/>
      <w:iCs/>
      <w:sz w:val="24"/>
    </w:rPr>
  </w:style>
  <w:style w:type="paragraph" w:customStyle="1" w:styleId="198">
    <w:name w:val="引用1"/>
    <w:basedOn w:val="1"/>
    <w:next w:val="1"/>
    <w:link w:val="197"/>
    <w:qFormat/>
    <w:uiPriority w:val="29"/>
    <w:pPr>
      <w:spacing w:before="200"/>
      <w:ind w:left="360" w:right="360"/>
    </w:pPr>
    <w:rPr>
      <w:rFonts w:asciiTheme="minorHAnsi" w:hAnsiTheme="minorHAnsi" w:eastAsiaTheme="minorEastAsia" w:cstheme="minorBidi"/>
      <w:i/>
      <w:iCs/>
      <w:szCs w:val="22"/>
    </w:rPr>
  </w:style>
  <w:style w:type="character" w:customStyle="1" w:styleId="199">
    <w:name w:val="表格居中 Char"/>
    <w:link w:val="200"/>
    <w:qFormat/>
    <w:uiPriority w:val="0"/>
    <w:rPr>
      <w:rFonts w:ascii="宋体" w:hAnsi="宋体" w:eastAsia="Times New Roman" w:cs="宋体"/>
      <w:color w:val="000000"/>
      <w:spacing w:val="-6"/>
      <w:szCs w:val="24"/>
    </w:rPr>
  </w:style>
  <w:style w:type="paragraph" w:customStyle="1" w:styleId="200">
    <w:name w:val="表格居中"/>
    <w:next w:val="1"/>
    <w:link w:val="199"/>
    <w:qFormat/>
    <w:uiPriority w:val="0"/>
    <w:pPr>
      <w:widowControl w:val="0"/>
      <w:jc w:val="center"/>
    </w:pPr>
    <w:rPr>
      <w:rFonts w:ascii="宋体" w:hAnsi="宋体" w:eastAsia="Times New Roman" w:cs="宋体"/>
      <w:color w:val="000000"/>
      <w:spacing w:val="-6"/>
      <w:kern w:val="2"/>
      <w:sz w:val="21"/>
      <w:szCs w:val="24"/>
      <w:lang w:val="en-US" w:eastAsia="zh-CN" w:bidi="ar-SA"/>
    </w:rPr>
  </w:style>
  <w:style w:type="character" w:customStyle="1" w:styleId="201">
    <w:name w:val="正文文本 Char2"/>
    <w:qFormat/>
    <w:uiPriority w:val="0"/>
    <w:rPr>
      <w:rFonts w:ascii="Times New Roman" w:hAnsi="Times New Roman" w:eastAsia="宋体" w:cs="Times New Roman"/>
      <w:sz w:val="24"/>
      <w:szCs w:val="24"/>
    </w:rPr>
  </w:style>
  <w:style w:type="character" w:customStyle="1" w:styleId="202">
    <w:name w:val="图表标题 Char Char"/>
    <w:link w:val="203"/>
    <w:qFormat/>
    <w:uiPriority w:val="0"/>
    <w:rPr>
      <w:rFonts w:eastAsia="楷体_GB2312"/>
      <w:sz w:val="26"/>
    </w:rPr>
  </w:style>
  <w:style w:type="paragraph" w:customStyle="1" w:styleId="203">
    <w:name w:val="图表标题 Char"/>
    <w:basedOn w:val="34"/>
    <w:link w:val="202"/>
    <w:qFormat/>
    <w:uiPriority w:val="0"/>
    <w:pPr>
      <w:spacing w:line="480" w:lineRule="atLeast"/>
      <w:jc w:val="center"/>
    </w:pPr>
    <w:rPr>
      <w:rFonts w:eastAsia="楷体_GB2312" w:asciiTheme="minorHAnsi" w:hAnsiTheme="minorHAnsi" w:cstheme="minorBidi"/>
      <w:kern w:val="2"/>
      <w:sz w:val="26"/>
      <w:szCs w:val="22"/>
    </w:rPr>
  </w:style>
  <w:style w:type="character" w:customStyle="1" w:styleId="204">
    <w:name w:val="信息标题 Char"/>
    <w:qFormat/>
    <w:uiPriority w:val="0"/>
    <w:rPr>
      <w:b/>
      <w:sz w:val="24"/>
      <w:szCs w:val="24"/>
      <w:shd w:val="pct20" w:color="auto" w:fill="auto"/>
    </w:rPr>
  </w:style>
  <w:style w:type="character" w:customStyle="1" w:styleId="205">
    <w:name w:val="结束语 Char"/>
    <w:qFormat/>
    <w:uiPriority w:val="0"/>
    <w:rPr>
      <w:sz w:val="24"/>
    </w:rPr>
  </w:style>
  <w:style w:type="character" w:customStyle="1" w:styleId="206">
    <w:name w:val="签名 Char2"/>
    <w:semiHidden/>
    <w:qFormat/>
    <w:locked/>
    <w:uiPriority w:val="99"/>
    <w:rPr>
      <w:rFonts w:ascii="Times New Roman" w:hAnsi="Times New Roman" w:eastAsia="宋体"/>
      <w:kern w:val="2"/>
      <w:sz w:val="21"/>
      <w:szCs w:val="24"/>
    </w:rPr>
  </w:style>
  <w:style w:type="character" w:customStyle="1" w:styleId="207">
    <w:name w:val="占位符文本1"/>
    <w:qFormat/>
    <w:uiPriority w:val="99"/>
    <w:rPr>
      <w:color w:val="808080"/>
    </w:rPr>
  </w:style>
  <w:style w:type="character" w:customStyle="1" w:styleId="208">
    <w:name w:val="headline-content2"/>
    <w:qFormat/>
    <w:uiPriority w:val="0"/>
  </w:style>
  <w:style w:type="character" w:customStyle="1" w:styleId="209">
    <w:name w:val="节名 Char"/>
    <w:link w:val="210"/>
    <w:qFormat/>
    <w:uiPriority w:val="0"/>
    <w:rPr>
      <w:rFonts w:ascii="黑体" w:eastAsia="黑体"/>
      <w:b/>
      <w:bCs/>
      <w:sz w:val="32"/>
      <w:szCs w:val="32"/>
      <w:lang w:val="zh-CN"/>
    </w:rPr>
  </w:style>
  <w:style w:type="paragraph" w:customStyle="1" w:styleId="210">
    <w:name w:val="节名"/>
    <w:basedOn w:val="5"/>
    <w:link w:val="209"/>
    <w:qFormat/>
    <w:uiPriority w:val="0"/>
    <w:pPr>
      <w:tabs>
        <w:tab w:val="left" w:pos="0"/>
        <w:tab w:val="left" w:pos="960"/>
      </w:tabs>
      <w:adjustRightInd w:val="0"/>
      <w:spacing w:before="0" w:after="0" w:line="415" w:lineRule="auto"/>
      <w:ind w:left="-70" w:leftChars="-70"/>
      <w:jc w:val="left"/>
      <w:textAlignment w:val="baseline"/>
      <w:outlineLvl w:val="2"/>
    </w:pPr>
    <w:rPr>
      <w:rFonts w:ascii="黑体" w:hAnsiTheme="minorHAnsi" w:cstheme="minorBidi"/>
      <w:snapToGrid/>
      <w:kern w:val="2"/>
      <w:lang w:val="zh-CN"/>
    </w:rPr>
  </w:style>
  <w:style w:type="character" w:customStyle="1" w:styleId="211">
    <w:name w:val="标题 字符1"/>
    <w:qFormat/>
    <w:uiPriority w:val="10"/>
    <w:rPr>
      <w:rFonts w:ascii="等线 Light" w:hAnsi="等线 Light" w:eastAsia="等线 Light" w:cs="Times New Roman"/>
      <w:b/>
      <w:bCs/>
      <w:sz w:val="32"/>
      <w:szCs w:val="32"/>
    </w:rPr>
  </w:style>
  <w:style w:type="character" w:customStyle="1" w:styleId="212">
    <w:name w:val="标题 7 Char1"/>
    <w:qFormat/>
    <w:uiPriority w:val="9"/>
    <w:rPr>
      <w:rFonts w:ascii="Times New Roman" w:hAnsi="Times New Roman" w:eastAsia="仿宋_GB2312" w:cs="Times New Roman"/>
      <w:b/>
      <w:bCs/>
      <w:kern w:val="0"/>
      <w:sz w:val="24"/>
      <w:szCs w:val="24"/>
    </w:rPr>
  </w:style>
  <w:style w:type="character" w:customStyle="1" w:styleId="213">
    <w:name w:val="不明显参考2"/>
    <w:qFormat/>
    <w:uiPriority w:val="0"/>
    <w:rPr>
      <w:smallCaps/>
    </w:rPr>
  </w:style>
  <w:style w:type="character" w:customStyle="1" w:styleId="214">
    <w:name w:val="注释标题 Char1"/>
    <w:semiHidden/>
    <w:qFormat/>
    <w:uiPriority w:val="0"/>
    <w:rPr>
      <w:rFonts w:ascii="Times New Roman" w:hAnsi="Times New Roman" w:eastAsia="宋体" w:cs="Times New Roman"/>
      <w:szCs w:val="24"/>
    </w:rPr>
  </w:style>
  <w:style w:type="character" w:customStyle="1" w:styleId="215">
    <w:name w:val="正文首行缩进 Char1"/>
    <w:qFormat/>
    <w:uiPriority w:val="0"/>
    <w:rPr>
      <w:rFonts w:ascii="Times New Roman" w:hAnsi="Times New Roman" w:eastAsia="宋体" w:cs="Times New Roman"/>
      <w:szCs w:val="24"/>
    </w:rPr>
  </w:style>
  <w:style w:type="character" w:customStyle="1" w:styleId="216">
    <w:name w:val="电子邮件签名 Char1"/>
    <w:qFormat/>
    <w:uiPriority w:val="0"/>
    <w:rPr>
      <w:rFonts w:ascii="Times New Roman" w:hAnsi="Times New Roman" w:eastAsia="宋体" w:cs="Times New Roman"/>
      <w:szCs w:val="24"/>
    </w:rPr>
  </w:style>
  <w:style w:type="character" w:customStyle="1" w:styleId="217">
    <w:name w:val="z-窗体顶端 字符1"/>
    <w:semiHidden/>
    <w:qFormat/>
    <w:uiPriority w:val="99"/>
    <w:rPr>
      <w:rFonts w:ascii="Arial" w:hAnsi="Arial" w:eastAsia="宋体" w:cs="Arial"/>
      <w:vanish/>
      <w:sz w:val="16"/>
      <w:szCs w:val="16"/>
    </w:rPr>
  </w:style>
  <w:style w:type="character" w:customStyle="1" w:styleId="218">
    <w:name w:val="表格 Char"/>
    <w:link w:val="219"/>
    <w:qFormat/>
    <w:uiPriority w:val="0"/>
    <w:rPr>
      <w:rFonts w:ascii="Arial" w:hAnsi="Arial"/>
      <w:szCs w:val="21"/>
    </w:rPr>
  </w:style>
  <w:style w:type="paragraph" w:customStyle="1" w:styleId="219">
    <w:name w:val="表格"/>
    <w:basedOn w:val="1"/>
    <w:link w:val="218"/>
    <w:qFormat/>
    <w:uiPriority w:val="0"/>
    <w:pPr>
      <w:jc w:val="center"/>
    </w:pPr>
    <w:rPr>
      <w:rFonts w:ascii="Arial" w:hAnsi="Arial" w:eastAsiaTheme="minorEastAsia" w:cstheme="minorBidi"/>
      <w:sz w:val="21"/>
      <w:szCs w:val="21"/>
    </w:rPr>
  </w:style>
  <w:style w:type="character" w:customStyle="1" w:styleId="220">
    <w:name w:val="标题 6 Char1"/>
    <w:qFormat/>
    <w:uiPriority w:val="9"/>
    <w:rPr>
      <w:rFonts w:ascii="Cambria" w:hAnsi="Cambria" w:eastAsia="宋体" w:cs="Times New Roman"/>
      <w:b/>
      <w:bCs/>
      <w:kern w:val="0"/>
      <w:sz w:val="24"/>
      <w:szCs w:val="24"/>
    </w:rPr>
  </w:style>
  <w:style w:type="character" w:customStyle="1" w:styleId="221">
    <w:name w:val="批注主题 Char1"/>
    <w:qFormat/>
    <w:uiPriority w:val="99"/>
    <w:rPr>
      <w:rFonts w:eastAsia="宋体"/>
      <w:b/>
      <w:bCs/>
      <w:kern w:val="2"/>
      <w:sz w:val="21"/>
      <w:szCs w:val="24"/>
      <w:lang w:val="en-US" w:eastAsia="zh-CN" w:bidi="ar-SA"/>
    </w:rPr>
  </w:style>
  <w:style w:type="character" w:customStyle="1" w:styleId="222">
    <w:name w:val="泰州研究报告-正文 Char"/>
    <w:link w:val="223"/>
    <w:qFormat/>
    <w:uiPriority w:val="0"/>
    <w:rPr>
      <w:rFonts w:hAnsi="宋体"/>
      <w:bCs/>
      <w:sz w:val="24"/>
      <w:szCs w:val="24"/>
    </w:rPr>
  </w:style>
  <w:style w:type="paragraph" w:customStyle="1" w:styleId="223">
    <w:name w:val="泰州研究报告-正文"/>
    <w:basedOn w:val="1"/>
    <w:link w:val="222"/>
    <w:qFormat/>
    <w:uiPriority w:val="0"/>
    <w:pPr>
      <w:ind w:firstLine="480"/>
      <w:jc w:val="left"/>
    </w:pPr>
    <w:rPr>
      <w:rFonts w:hAnsi="宋体" w:asciiTheme="minorHAnsi" w:eastAsiaTheme="minorEastAsia" w:cstheme="minorBidi"/>
      <w:bCs/>
    </w:rPr>
  </w:style>
  <w:style w:type="character" w:customStyle="1" w:styleId="224">
    <w:name w:val="Char Char35"/>
    <w:qFormat/>
    <w:uiPriority w:val="0"/>
    <w:rPr>
      <w:rFonts w:ascii="Times New Roman" w:hAnsi="Times New Roman"/>
      <w:b/>
      <w:bCs/>
      <w:snapToGrid w:val="0"/>
      <w:sz w:val="24"/>
      <w:szCs w:val="24"/>
    </w:rPr>
  </w:style>
  <w:style w:type="character" w:customStyle="1" w:styleId="225">
    <w:name w:val="grame"/>
    <w:qFormat/>
    <w:uiPriority w:val="0"/>
  </w:style>
  <w:style w:type="character" w:customStyle="1" w:styleId="226">
    <w:name w:val="Char Char13"/>
    <w:qFormat/>
    <w:uiPriority w:val="0"/>
    <w:rPr>
      <w:rFonts w:ascii="方正楷体简体" w:eastAsia="方正楷体简体"/>
      <w:kern w:val="2"/>
      <w:sz w:val="28"/>
      <w:lang w:val="en-US" w:eastAsia="zh-CN" w:bidi="ar-SA"/>
    </w:rPr>
  </w:style>
  <w:style w:type="character" w:customStyle="1" w:styleId="227">
    <w:name w:val="Char Char10"/>
    <w:qFormat/>
    <w:uiPriority w:val="0"/>
    <w:rPr>
      <w:rFonts w:ascii="方正楷体简体" w:eastAsia="方正楷体简体"/>
      <w:kern w:val="2"/>
      <w:sz w:val="28"/>
      <w:lang w:val="en-US" w:eastAsia="zh-CN" w:bidi="ar-SA"/>
    </w:rPr>
  </w:style>
  <w:style w:type="character" w:customStyle="1" w:styleId="228">
    <w:name w:val="款名 Char"/>
    <w:link w:val="229"/>
    <w:qFormat/>
    <w:uiPriority w:val="0"/>
    <w:rPr>
      <w:rFonts w:hAnsi="宋体"/>
      <w:b/>
      <w:sz w:val="24"/>
      <w:szCs w:val="24"/>
    </w:rPr>
  </w:style>
  <w:style w:type="paragraph" w:customStyle="1" w:styleId="229">
    <w:name w:val="款名"/>
    <w:basedOn w:val="230"/>
    <w:link w:val="228"/>
    <w:qFormat/>
    <w:uiPriority w:val="0"/>
    <w:pPr>
      <w:ind w:left="0" w:leftChars="0"/>
    </w:pPr>
    <w:rPr>
      <w:rFonts w:asciiTheme="minorHAnsi" w:eastAsiaTheme="minorEastAsia" w:cstheme="minorBidi"/>
      <w:b/>
      <w:kern w:val="2"/>
    </w:rPr>
  </w:style>
  <w:style w:type="paragraph" w:customStyle="1" w:styleId="230">
    <w:name w:val="条款"/>
    <w:basedOn w:val="1"/>
    <w:link w:val="231"/>
    <w:qFormat/>
    <w:uiPriority w:val="0"/>
    <w:pPr>
      <w:adjustRightInd w:val="0"/>
      <w:spacing w:beforeLines="50" w:afterLines="50"/>
      <w:ind w:left="600" w:leftChars="600"/>
      <w:jc w:val="left"/>
      <w:textAlignment w:val="baseline"/>
    </w:pPr>
    <w:rPr>
      <w:rFonts w:hAnsi="宋体"/>
      <w:kern w:val="0"/>
    </w:rPr>
  </w:style>
  <w:style w:type="character" w:customStyle="1" w:styleId="231">
    <w:name w:val="条款 Char"/>
    <w:link w:val="230"/>
    <w:qFormat/>
    <w:uiPriority w:val="0"/>
    <w:rPr>
      <w:rFonts w:ascii="Times New Roman" w:hAnsi="宋体" w:eastAsia="宋体" w:cs="Times New Roman"/>
      <w:kern w:val="0"/>
      <w:sz w:val="24"/>
      <w:szCs w:val="24"/>
    </w:rPr>
  </w:style>
  <w:style w:type="character" w:customStyle="1" w:styleId="232">
    <w:name w:val="c1"/>
    <w:qFormat/>
    <w:uiPriority w:val="0"/>
    <w:rPr>
      <w:rFonts w:hint="default" w:ascii="ˎ̥" w:hAnsi="ˎ̥"/>
      <w:color w:val="000000"/>
      <w:sz w:val="21"/>
      <w:szCs w:val="21"/>
      <w:u w:val="none"/>
    </w:rPr>
  </w:style>
  <w:style w:type="character" w:customStyle="1" w:styleId="233">
    <w:name w:val="表内文字 Char Char"/>
    <w:qFormat/>
    <w:uiPriority w:val="0"/>
    <w:rPr>
      <w:rFonts w:ascii="宋体" w:hAnsi="Courier New" w:eastAsia="宋体" w:cs="Courier New"/>
      <w:kern w:val="2"/>
      <w:sz w:val="21"/>
      <w:szCs w:val="21"/>
      <w:lang w:val="en-US" w:eastAsia="zh-CN" w:bidi="ar-SA"/>
    </w:rPr>
  </w:style>
  <w:style w:type="character" w:customStyle="1" w:styleId="234">
    <w:name w:val="tablecon"/>
    <w:qFormat/>
    <w:uiPriority w:val="0"/>
  </w:style>
  <w:style w:type="character" w:customStyle="1" w:styleId="235">
    <w:name w:val="纯文本 Char"/>
    <w:qFormat/>
    <w:uiPriority w:val="99"/>
    <w:rPr>
      <w:rFonts w:ascii="宋体" w:hAnsi="Courier New" w:eastAsia="宋体"/>
    </w:rPr>
  </w:style>
  <w:style w:type="character" w:customStyle="1" w:styleId="236">
    <w:name w:val="称呼 Char2"/>
    <w:semiHidden/>
    <w:qFormat/>
    <w:locked/>
    <w:uiPriority w:val="99"/>
    <w:rPr>
      <w:rFonts w:ascii="Times New Roman" w:hAnsi="Times New Roman" w:eastAsia="宋体"/>
      <w:kern w:val="2"/>
      <w:sz w:val="21"/>
      <w:szCs w:val="24"/>
    </w:rPr>
  </w:style>
  <w:style w:type="character" w:customStyle="1" w:styleId="237">
    <w:name w:val="正文样式 Char"/>
    <w:link w:val="238"/>
    <w:qFormat/>
    <w:uiPriority w:val="0"/>
    <w:rPr>
      <w:rFonts w:ascii="Calibri" w:hAnsi="Calibri"/>
    </w:rPr>
  </w:style>
  <w:style w:type="paragraph" w:customStyle="1" w:styleId="238">
    <w:name w:val="正文样式"/>
    <w:basedOn w:val="1"/>
    <w:link w:val="237"/>
    <w:qFormat/>
    <w:uiPriority w:val="0"/>
    <w:pPr>
      <w:spacing w:line="400" w:lineRule="exact"/>
      <w:ind w:firstLine="420"/>
    </w:pPr>
    <w:rPr>
      <w:rFonts w:ascii="Calibri" w:hAnsi="Calibri" w:eastAsiaTheme="minorEastAsia" w:cstheme="minorBidi"/>
      <w:sz w:val="21"/>
      <w:szCs w:val="22"/>
    </w:rPr>
  </w:style>
  <w:style w:type="character" w:customStyle="1" w:styleId="239">
    <w:name w:val="xc1"/>
    <w:qFormat/>
    <w:uiPriority w:val="0"/>
    <w:rPr>
      <w:color w:val="000000"/>
      <w:sz w:val="18"/>
      <w:szCs w:val="18"/>
      <w:u w:val="none"/>
    </w:rPr>
  </w:style>
  <w:style w:type="character" w:customStyle="1" w:styleId="240">
    <w:name w:val="电子邮件签名 Char"/>
    <w:qFormat/>
    <w:uiPriority w:val="0"/>
    <w:rPr>
      <w:rFonts w:eastAsia="华文仿宋"/>
      <w:sz w:val="28"/>
      <w:szCs w:val="24"/>
    </w:rPr>
  </w:style>
  <w:style w:type="character" w:customStyle="1" w:styleId="241">
    <w:name w:val="明显参考11"/>
    <w:qFormat/>
    <w:uiPriority w:val="32"/>
    <w:rPr>
      <w:smallCaps/>
      <w:spacing w:val="5"/>
      <w:u w:val="single"/>
    </w:rPr>
  </w:style>
  <w:style w:type="character" w:customStyle="1" w:styleId="242">
    <w:name w:val="样式 宋体 小四 首行缩进:  0.85 厘米 行距: 1.5 倍行距 Char Char"/>
    <w:link w:val="243"/>
    <w:qFormat/>
    <w:uiPriority w:val="0"/>
    <w:rPr>
      <w:rFonts w:ascii="宋体"/>
      <w:sz w:val="24"/>
    </w:rPr>
  </w:style>
  <w:style w:type="paragraph" w:customStyle="1" w:styleId="243">
    <w:name w:val="样式 宋体 小四 首行缩进:  0.85 厘米 行距: 1.5 倍行距 Char"/>
    <w:basedOn w:val="1"/>
    <w:link w:val="242"/>
    <w:qFormat/>
    <w:uiPriority w:val="0"/>
    <w:pPr>
      <w:spacing w:beforeLines="50" w:afterLines="50"/>
      <w:ind w:firstLine="482"/>
    </w:pPr>
    <w:rPr>
      <w:rFonts w:ascii="宋体" w:hAnsiTheme="minorHAnsi" w:eastAsiaTheme="minorEastAsia" w:cstheme="minorBidi"/>
      <w:szCs w:val="22"/>
    </w:rPr>
  </w:style>
  <w:style w:type="character" w:customStyle="1" w:styleId="244">
    <w:name w:val="引用 字符2"/>
    <w:link w:val="245"/>
    <w:qFormat/>
    <w:uiPriority w:val="0"/>
    <w:rPr>
      <w:i/>
      <w:iCs/>
      <w:sz w:val="24"/>
    </w:rPr>
  </w:style>
  <w:style w:type="paragraph" w:styleId="245">
    <w:name w:val="Quote"/>
    <w:basedOn w:val="1"/>
    <w:next w:val="1"/>
    <w:link w:val="244"/>
    <w:qFormat/>
    <w:uiPriority w:val="0"/>
    <w:pPr>
      <w:spacing w:before="200"/>
      <w:ind w:left="360" w:right="360"/>
    </w:pPr>
    <w:rPr>
      <w:rFonts w:asciiTheme="minorHAnsi" w:hAnsiTheme="minorHAnsi" w:eastAsiaTheme="minorEastAsia" w:cstheme="minorBidi"/>
      <w:i/>
      <w:iCs/>
      <w:szCs w:val="22"/>
    </w:rPr>
  </w:style>
  <w:style w:type="character" w:customStyle="1" w:styleId="246">
    <w:name w:val="引用 字符"/>
    <w:basedOn w:val="63"/>
    <w:qFormat/>
    <w:uiPriority w:val="29"/>
    <w:rPr>
      <w:rFonts w:ascii="Times New Roman" w:hAnsi="Times New Roman" w:eastAsia="宋体" w:cs="Times New Roman"/>
      <w:i/>
      <w:iCs/>
      <w:color w:val="404040" w:themeColor="text1" w:themeTint="BF"/>
      <w:sz w:val="24"/>
      <w:szCs w:val="24"/>
      <w14:textFill>
        <w14:solidFill>
          <w14:schemeClr w14:val="tx1">
            <w14:lumMod w14:val="75000"/>
            <w14:lumOff w14:val="25000"/>
          </w14:schemeClr>
        </w14:solidFill>
      </w14:textFill>
    </w:rPr>
  </w:style>
  <w:style w:type="character" w:customStyle="1" w:styleId="247">
    <w:name w:val="标题 Char2"/>
    <w:qFormat/>
    <w:uiPriority w:val="10"/>
    <w:rPr>
      <w:rFonts w:ascii="Cambria" w:hAnsi="Cambria"/>
      <w:spacing w:val="5"/>
      <w:sz w:val="52"/>
      <w:szCs w:val="52"/>
    </w:rPr>
  </w:style>
  <w:style w:type="character" w:customStyle="1" w:styleId="248">
    <w:name w:val="电子邮件签名 Char4"/>
    <w:qFormat/>
    <w:uiPriority w:val="99"/>
    <w:rPr>
      <w:szCs w:val="24"/>
    </w:rPr>
  </w:style>
  <w:style w:type="character" w:customStyle="1" w:styleId="249">
    <w:name w:val="正文文本缩进 2 Char2"/>
    <w:qFormat/>
    <w:uiPriority w:val="0"/>
    <w:rPr>
      <w:color w:val="000000"/>
      <w:szCs w:val="24"/>
    </w:rPr>
  </w:style>
  <w:style w:type="character" w:customStyle="1" w:styleId="250">
    <w:name w:val="明显参考1"/>
    <w:qFormat/>
    <w:uiPriority w:val="32"/>
    <w:rPr>
      <w:smallCaps/>
      <w:spacing w:val="5"/>
      <w:u w:val="single"/>
    </w:rPr>
  </w:style>
  <w:style w:type="character" w:customStyle="1" w:styleId="251">
    <w:name w:val="albumcount2"/>
    <w:qFormat/>
    <w:uiPriority w:val="0"/>
  </w:style>
  <w:style w:type="character" w:customStyle="1" w:styleId="252">
    <w:name w:val="txt1"/>
    <w:qFormat/>
    <w:uiPriority w:val="0"/>
  </w:style>
  <w:style w:type="character" w:customStyle="1" w:styleId="253">
    <w:name w:val="1、标题 Char"/>
    <w:link w:val="254"/>
    <w:qFormat/>
    <w:uiPriority w:val="0"/>
    <w:rPr>
      <w:rFonts w:ascii="Times New Roman" w:hAnsi="Times New Roman" w:eastAsia="黑体" w:cs="Times New Roman"/>
      <w:b/>
      <w:kern w:val="0"/>
      <w:sz w:val="36"/>
      <w:szCs w:val="36"/>
    </w:rPr>
  </w:style>
  <w:style w:type="paragraph" w:customStyle="1" w:styleId="254">
    <w:name w:val="1、标题"/>
    <w:basedOn w:val="1"/>
    <w:link w:val="253"/>
    <w:qFormat/>
    <w:uiPriority w:val="0"/>
    <w:pPr>
      <w:keepNext/>
      <w:keepLines/>
      <w:spacing w:before="312" w:beforeLines="100" w:after="312" w:afterLines="100"/>
      <w:ind w:firstLine="0" w:firstLineChars="0"/>
      <w:jc w:val="center"/>
      <w:outlineLvl w:val="0"/>
    </w:pPr>
    <w:rPr>
      <w:rFonts w:eastAsia="黑体"/>
      <w:b/>
      <w:kern w:val="0"/>
      <w:sz w:val="36"/>
      <w:szCs w:val="36"/>
    </w:rPr>
  </w:style>
  <w:style w:type="character" w:customStyle="1" w:styleId="255">
    <w:name w:val="表 字符"/>
    <w:qFormat/>
    <w:uiPriority w:val="0"/>
    <w:rPr>
      <w:kern w:val="2"/>
      <w:sz w:val="21"/>
      <w:szCs w:val="24"/>
    </w:rPr>
  </w:style>
  <w:style w:type="character" w:customStyle="1" w:styleId="256">
    <w:name w:val="HTML 地址 Char1"/>
    <w:qFormat/>
    <w:uiPriority w:val="0"/>
    <w:rPr>
      <w:rFonts w:ascii="Times New Roman" w:hAnsi="Times New Roman" w:eastAsia="宋体" w:cs="Times New Roman"/>
      <w:i/>
      <w:iCs/>
      <w:szCs w:val="24"/>
    </w:rPr>
  </w:style>
  <w:style w:type="character" w:customStyle="1" w:styleId="257">
    <w:name w:val="标题1"/>
    <w:qFormat/>
    <w:uiPriority w:val="0"/>
  </w:style>
  <w:style w:type="character" w:customStyle="1" w:styleId="258">
    <w:name w:val="称呼 字符1"/>
    <w:semiHidden/>
    <w:qFormat/>
    <w:uiPriority w:val="99"/>
    <w:rPr>
      <w:rFonts w:ascii="Times New Roman" w:hAnsi="Times New Roman" w:eastAsia="宋体" w:cs="Times New Roman"/>
      <w:sz w:val="24"/>
      <w:szCs w:val="24"/>
    </w:rPr>
  </w:style>
  <w:style w:type="character" w:customStyle="1" w:styleId="259">
    <w:name w:val="fr"/>
    <w:qFormat/>
    <w:uiPriority w:val="0"/>
  </w:style>
  <w:style w:type="character" w:customStyle="1" w:styleId="260">
    <w:name w:val="嘉兴表格6号 Char"/>
    <w:link w:val="261"/>
    <w:qFormat/>
    <w:locked/>
    <w:uiPriority w:val="0"/>
    <w:rPr>
      <w:rFonts w:ascii="宋体" w:hAnsi="宋体"/>
      <w:b/>
      <w:sz w:val="18"/>
      <w:szCs w:val="18"/>
    </w:rPr>
  </w:style>
  <w:style w:type="paragraph" w:customStyle="1" w:styleId="261">
    <w:name w:val="嘉兴表格6号"/>
    <w:basedOn w:val="1"/>
    <w:link w:val="260"/>
    <w:qFormat/>
    <w:uiPriority w:val="0"/>
    <w:pPr>
      <w:widowControl/>
      <w:adjustRightInd w:val="0"/>
      <w:jc w:val="center"/>
    </w:pPr>
    <w:rPr>
      <w:rFonts w:ascii="宋体" w:hAnsi="宋体" w:eastAsiaTheme="minorEastAsia" w:cstheme="minorBidi"/>
      <w:b/>
      <w:sz w:val="18"/>
      <w:szCs w:val="18"/>
    </w:rPr>
  </w:style>
  <w:style w:type="character" w:customStyle="1" w:styleId="262">
    <w:name w:val="不明显强调111"/>
    <w:qFormat/>
    <w:uiPriority w:val="19"/>
    <w:rPr>
      <w:i/>
      <w:iCs/>
      <w:color w:val="808080"/>
    </w:rPr>
  </w:style>
  <w:style w:type="character" w:customStyle="1" w:styleId="263">
    <w:name w:val="正文文本 字符1"/>
    <w:semiHidden/>
    <w:qFormat/>
    <w:uiPriority w:val="99"/>
    <w:rPr>
      <w:rFonts w:ascii="Times New Roman" w:hAnsi="Times New Roman" w:eastAsia="宋体" w:cs="Times New Roman"/>
      <w:sz w:val="24"/>
      <w:szCs w:val="24"/>
    </w:rPr>
  </w:style>
  <w:style w:type="character" w:customStyle="1" w:styleId="264">
    <w:name w:val="杭州研究报告-章 Char Char"/>
    <w:qFormat/>
    <w:uiPriority w:val="0"/>
    <w:rPr>
      <w:rFonts w:ascii="Cambria" w:hAnsi="Cambria" w:eastAsia="黑体" w:cs="Times New Roman"/>
      <w:b/>
      <w:kern w:val="44"/>
      <w:sz w:val="30"/>
      <w:szCs w:val="30"/>
    </w:rPr>
  </w:style>
  <w:style w:type="character" w:customStyle="1" w:styleId="265">
    <w:name w:val="Char Char21"/>
    <w:qFormat/>
    <w:uiPriority w:val="0"/>
    <w:rPr>
      <w:rFonts w:eastAsia="宋体"/>
      <w:b/>
      <w:bCs/>
      <w:kern w:val="44"/>
      <w:sz w:val="44"/>
      <w:szCs w:val="44"/>
      <w:lang w:val="en-US" w:eastAsia="zh-CN" w:bidi="ar-SA"/>
    </w:rPr>
  </w:style>
  <w:style w:type="character" w:customStyle="1" w:styleId="266">
    <w:name w:val="杭州研究报告-段 Char Char"/>
    <w:qFormat/>
    <w:uiPriority w:val="0"/>
    <w:rPr>
      <w:rFonts w:ascii="Cambria" w:hAnsi="Cambria" w:eastAsia="仿宋_GB2312" w:cs="Times New Roman"/>
      <w:b/>
      <w:color w:val="000000"/>
      <w:kern w:val="0"/>
      <w:sz w:val="30"/>
      <w:szCs w:val="30"/>
    </w:rPr>
  </w:style>
  <w:style w:type="character" w:customStyle="1" w:styleId="267">
    <w:name w:val="EmailStyle241"/>
    <w:qFormat/>
    <w:uiPriority w:val="0"/>
    <w:rPr>
      <w:rFonts w:ascii="Arial" w:hAnsi="Arial" w:eastAsia="宋体" w:cs="Arial"/>
      <w:color w:val="auto"/>
      <w:sz w:val="20"/>
    </w:rPr>
  </w:style>
  <w:style w:type="character" w:customStyle="1" w:styleId="268">
    <w:name w:val="明显参考12"/>
    <w:qFormat/>
    <w:uiPriority w:val="32"/>
    <w:rPr>
      <w:smallCaps/>
      <w:spacing w:val="5"/>
      <w:u w:val="single"/>
    </w:rPr>
  </w:style>
  <w:style w:type="character" w:customStyle="1" w:styleId="269">
    <w:name w:val="引用 Char2"/>
    <w:qFormat/>
    <w:uiPriority w:val="29"/>
    <w:rPr>
      <w:i/>
      <w:iCs/>
      <w:color w:val="000000"/>
      <w:kern w:val="2"/>
      <w:sz w:val="21"/>
      <w:szCs w:val="24"/>
    </w:rPr>
  </w:style>
  <w:style w:type="character" w:customStyle="1" w:styleId="270">
    <w:name w:val="节 Char Char1"/>
    <w:qFormat/>
    <w:uiPriority w:val="0"/>
    <w:rPr>
      <w:rFonts w:ascii="黑体" w:hAnsi="宋体" w:eastAsia="黑体"/>
      <w:b/>
      <w:bCs/>
      <w:sz w:val="28"/>
      <w:szCs w:val="32"/>
      <w:lang w:val="zh-CN" w:eastAsia="zh-CN" w:bidi="ar-SA"/>
    </w:rPr>
  </w:style>
  <w:style w:type="character" w:customStyle="1" w:styleId="271">
    <w:name w:val="标题 4 Char"/>
    <w:qFormat/>
    <w:uiPriority w:val="0"/>
    <w:rPr>
      <w:rFonts w:ascii="宋体" w:hAnsi="宋体"/>
      <w:b/>
      <w:color w:val="000000"/>
      <w:sz w:val="30"/>
      <w:szCs w:val="30"/>
      <w:lang w:val="en-US" w:eastAsia="zh-CN" w:bidi="ar-SA"/>
    </w:rPr>
  </w:style>
  <w:style w:type="character" w:customStyle="1" w:styleId="272">
    <w:name w:val="正文文本 + AngsanaUPC"/>
    <w:qFormat/>
    <w:uiPriority w:val="0"/>
    <w:rPr>
      <w:rFonts w:hint="default" w:ascii="AngsanaUPC" w:hAnsi="AngsanaUPC" w:eastAsia="AngsanaUPC" w:cs="AngsanaUPC"/>
      <w:color w:val="000000"/>
      <w:spacing w:val="0"/>
      <w:w w:val="100"/>
      <w:position w:val="0"/>
      <w:sz w:val="33"/>
      <w:szCs w:val="33"/>
      <w:shd w:val="clear" w:color="auto" w:fill="FFFFFF"/>
      <w:lang w:val="zh-CN"/>
    </w:rPr>
  </w:style>
  <w:style w:type="character" w:customStyle="1" w:styleId="273">
    <w:name w:val="嘉兴生态生态文明嘉兴规划-章节 Char"/>
    <w:link w:val="274"/>
    <w:qFormat/>
    <w:locked/>
    <w:uiPriority w:val="0"/>
    <w:rPr>
      <w:rFonts w:eastAsia="黑体"/>
      <w:b/>
      <w:color w:val="000000"/>
      <w:sz w:val="36"/>
      <w:szCs w:val="36"/>
    </w:rPr>
  </w:style>
  <w:style w:type="paragraph" w:customStyle="1" w:styleId="274">
    <w:name w:val="嘉兴生态生态文明嘉兴规划-章节"/>
    <w:basedOn w:val="4"/>
    <w:link w:val="273"/>
    <w:qFormat/>
    <w:uiPriority w:val="0"/>
    <w:pPr>
      <w:widowControl/>
      <w:spacing w:after="0" w:afterAutospacing="0" w:line="480" w:lineRule="auto"/>
    </w:pPr>
    <w:rPr>
      <w:rFonts w:asciiTheme="minorHAnsi" w:hAnsiTheme="minorHAnsi" w:cstheme="minorBidi"/>
      <w:kern w:val="2"/>
      <w:sz w:val="36"/>
      <w:szCs w:val="36"/>
    </w:rPr>
  </w:style>
  <w:style w:type="character" w:customStyle="1" w:styleId="275">
    <w:name w:val="中等深浅网格 3 - 强调文字颜色 2 Char"/>
    <w:link w:val="276"/>
    <w:qFormat/>
    <w:locked/>
    <w:uiPriority w:val="30"/>
    <w:rPr>
      <w:b/>
      <w:bCs/>
      <w:i/>
      <w:iCs/>
      <w:sz w:val="24"/>
    </w:rPr>
  </w:style>
  <w:style w:type="paragraph" w:customStyle="1" w:styleId="276">
    <w:name w:val="中等深浅网格 3 - 强调文字颜色 21"/>
    <w:basedOn w:val="1"/>
    <w:next w:val="1"/>
    <w:link w:val="275"/>
    <w:qFormat/>
    <w:uiPriority w:val="30"/>
    <w:pPr>
      <w:widowControl/>
      <w:pBdr>
        <w:bottom w:val="single" w:color="auto" w:sz="4" w:space="1"/>
      </w:pBdr>
      <w:spacing w:before="200" w:after="280" w:line="300" w:lineRule="auto"/>
      <w:ind w:left="1008" w:right="1152"/>
      <w:jc w:val="left"/>
    </w:pPr>
    <w:rPr>
      <w:rFonts w:asciiTheme="minorHAnsi" w:hAnsiTheme="minorHAnsi" w:eastAsiaTheme="minorEastAsia" w:cstheme="minorBidi"/>
      <w:b/>
      <w:bCs/>
      <w:i/>
      <w:iCs/>
      <w:szCs w:val="22"/>
    </w:rPr>
  </w:style>
  <w:style w:type="character" w:customStyle="1" w:styleId="277">
    <w:name w:val="文本 Char"/>
    <w:link w:val="278"/>
    <w:qFormat/>
    <w:uiPriority w:val="0"/>
    <w:rPr>
      <w:rFonts w:ascii="Times New Roman" w:hAnsi="Times New Roman" w:eastAsia="宋体"/>
      <w:sz w:val="24"/>
      <w:szCs w:val="24"/>
    </w:rPr>
  </w:style>
  <w:style w:type="paragraph" w:customStyle="1" w:styleId="278">
    <w:name w:val="文本"/>
    <w:basedOn w:val="1"/>
    <w:link w:val="277"/>
    <w:qFormat/>
    <w:uiPriority w:val="0"/>
    <w:pPr>
      <w:adjustRightInd w:val="0"/>
      <w:textAlignment w:val="baseline"/>
    </w:pPr>
    <w:rPr>
      <w:rFonts w:cstheme="minorBidi"/>
    </w:rPr>
  </w:style>
  <w:style w:type="character" w:customStyle="1" w:styleId="279">
    <w:name w:val="style21"/>
    <w:qFormat/>
    <w:uiPriority w:val="0"/>
    <w:rPr>
      <w:sz w:val="18"/>
      <w:szCs w:val="18"/>
    </w:rPr>
  </w:style>
  <w:style w:type="character" w:customStyle="1" w:styleId="280">
    <w:name w:val="Comment Subject Char1"/>
    <w:semiHidden/>
    <w:qFormat/>
    <w:locked/>
    <w:uiPriority w:val="99"/>
    <w:rPr>
      <w:rFonts w:ascii="Tahoma" w:hAnsi="Tahoma" w:eastAsia="方正仿宋_GBK" w:cs="Times New Roman"/>
      <w:b/>
      <w:bCs/>
      <w:kern w:val="0"/>
      <w:sz w:val="20"/>
      <w:szCs w:val="20"/>
    </w:rPr>
  </w:style>
  <w:style w:type="character" w:customStyle="1" w:styleId="281">
    <w:name w:val="HTML 地址 字符1"/>
    <w:qFormat/>
    <w:uiPriority w:val="99"/>
    <w:rPr>
      <w:rFonts w:ascii="Times New Roman" w:hAnsi="Times New Roman" w:eastAsia="宋体" w:cs="Times New Roman"/>
      <w:i/>
      <w:iCs/>
      <w:sz w:val="24"/>
      <w:szCs w:val="24"/>
    </w:rPr>
  </w:style>
  <w:style w:type="character" w:customStyle="1" w:styleId="282">
    <w:name w:val="电子邮件签名 Char2"/>
    <w:qFormat/>
    <w:locked/>
    <w:uiPriority w:val="99"/>
    <w:rPr>
      <w:rFonts w:ascii="Times New Roman" w:hAnsi="Times New Roman" w:eastAsia="宋体"/>
      <w:kern w:val="2"/>
      <w:sz w:val="21"/>
      <w:szCs w:val="24"/>
    </w:rPr>
  </w:style>
  <w:style w:type="character" w:customStyle="1" w:styleId="283">
    <w:name w:val="正文文本 + 11 pt"/>
    <w:qFormat/>
    <w:uiPriority w:val="0"/>
    <w:rPr>
      <w:rFonts w:hint="eastAsia" w:ascii="MingLiU" w:hAnsi="MingLiU" w:eastAsia="MingLiU" w:cs="MingLiU"/>
      <w:color w:val="000000"/>
      <w:spacing w:val="130"/>
      <w:w w:val="100"/>
      <w:position w:val="0"/>
      <w:sz w:val="22"/>
      <w:szCs w:val="22"/>
      <w:u w:val="none"/>
      <w:shd w:val="clear" w:color="auto" w:fill="FFFFFF"/>
      <w:lang w:val="zh-CN"/>
    </w:rPr>
  </w:style>
  <w:style w:type="character" w:customStyle="1" w:styleId="284">
    <w:name w:val="批注主题 Char2"/>
    <w:qFormat/>
    <w:uiPriority w:val="99"/>
    <w:rPr>
      <w:rFonts w:ascii="Calibri" w:hAnsi="Calibri"/>
      <w:b/>
      <w:bCs/>
      <w:szCs w:val="21"/>
    </w:rPr>
  </w:style>
  <w:style w:type="character" w:customStyle="1" w:styleId="285">
    <w:name w:val="结束语 Char1"/>
    <w:qFormat/>
    <w:uiPriority w:val="0"/>
    <w:rPr>
      <w:rFonts w:ascii="Times New Roman" w:hAnsi="Times New Roman" w:eastAsia="宋体" w:cs="Times New Roman"/>
      <w:szCs w:val="24"/>
    </w:rPr>
  </w:style>
  <w:style w:type="character" w:customStyle="1" w:styleId="286">
    <w:name w:val="正文文本缩进 Char2"/>
    <w:qFormat/>
    <w:uiPriority w:val="0"/>
    <w:rPr>
      <w:rFonts w:ascii="Calibri" w:hAnsi="Calibri"/>
      <w:szCs w:val="21"/>
    </w:rPr>
  </w:style>
  <w:style w:type="character" w:customStyle="1" w:styleId="287">
    <w:name w:val="f9wen"/>
    <w:qFormat/>
    <w:uiPriority w:val="0"/>
  </w:style>
  <w:style w:type="character" w:customStyle="1" w:styleId="288">
    <w:name w:val="正文文本 3 字符1"/>
    <w:semiHidden/>
    <w:qFormat/>
    <w:uiPriority w:val="99"/>
    <w:rPr>
      <w:rFonts w:ascii="Times New Roman" w:hAnsi="Times New Roman" w:eastAsia="宋体" w:cs="Times New Roman"/>
      <w:sz w:val="16"/>
      <w:szCs w:val="16"/>
    </w:rPr>
  </w:style>
  <w:style w:type="character" w:customStyle="1" w:styleId="289">
    <w:name w:val="标题 3 Char"/>
    <w:qFormat/>
    <w:uiPriority w:val="9"/>
    <w:rPr>
      <w:b/>
      <w:bCs/>
      <w:kern w:val="2"/>
      <w:sz w:val="32"/>
      <w:szCs w:val="32"/>
    </w:rPr>
  </w:style>
  <w:style w:type="character" w:customStyle="1" w:styleId="290">
    <w:name w:val="fblack1"/>
    <w:qFormat/>
    <w:uiPriority w:val="0"/>
    <w:rPr>
      <w:color w:val="000000"/>
    </w:rPr>
  </w:style>
  <w:style w:type="character" w:customStyle="1" w:styleId="291">
    <w:name w:val="批注主题 Char Char"/>
    <w:link w:val="292"/>
    <w:qFormat/>
    <w:uiPriority w:val="0"/>
    <w:rPr>
      <w:b/>
      <w:bCs/>
      <w:szCs w:val="24"/>
    </w:rPr>
  </w:style>
  <w:style w:type="paragraph" w:customStyle="1" w:styleId="292">
    <w:name w:val="批注主题1"/>
    <w:basedOn w:val="23"/>
    <w:next w:val="23"/>
    <w:link w:val="291"/>
    <w:qFormat/>
    <w:uiPriority w:val="0"/>
    <w:pPr>
      <w:spacing w:line="240" w:lineRule="auto"/>
    </w:pPr>
    <w:rPr>
      <w:rFonts w:asciiTheme="minorHAnsi" w:hAnsiTheme="minorHAnsi" w:eastAsiaTheme="minorEastAsia" w:cstheme="minorBidi"/>
      <w:b/>
      <w:bCs/>
      <w:sz w:val="21"/>
    </w:rPr>
  </w:style>
  <w:style w:type="character" w:customStyle="1" w:styleId="293">
    <w:name w:val="p0 Char"/>
    <w:qFormat/>
    <w:uiPriority w:val="0"/>
    <w:rPr>
      <w:rFonts w:ascii="Calibri" w:hAnsi="Calibri" w:eastAsia="宋体" w:cs="宋体"/>
      <w:sz w:val="21"/>
      <w:szCs w:val="21"/>
      <w:lang w:val="en-US" w:eastAsia="zh-CN" w:bidi="ar-SA"/>
    </w:rPr>
  </w:style>
  <w:style w:type="character" w:customStyle="1" w:styleId="294">
    <w:name w:val="不明显强调11"/>
    <w:qFormat/>
    <w:uiPriority w:val="19"/>
    <w:rPr>
      <w:i/>
      <w:iCs/>
      <w:color w:val="808080"/>
    </w:rPr>
  </w:style>
  <w:style w:type="character" w:customStyle="1" w:styleId="295">
    <w:name w:val="正文首行缩进 2 Char2"/>
    <w:semiHidden/>
    <w:qFormat/>
    <w:uiPriority w:val="99"/>
    <w:rPr>
      <w:rFonts w:ascii="Times New Roman" w:hAnsi="Times New Roman" w:eastAsia="宋体" w:cs="Times New Roman"/>
      <w:kern w:val="0"/>
      <w:sz w:val="20"/>
      <w:szCs w:val="21"/>
    </w:rPr>
  </w:style>
  <w:style w:type="character" w:customStyle="1" w:styleId="296">
    <w:name w:val="Char Char15"/>
    <w:qFormat/>
    <w:uiPriority w:val="0"/>
    <w:rPr>
      <w:rFonts w:ascii="Arial" w:hAnsi="Arial" w:eastAsia="黑体"/>
      <w:sz w:val="21"/>
      <w:szCs w:val="21"/>
      <w:lang w:val="en-US" w:eastAsia="zh-CN" w:bidi="ar-SA"/>
    </w:rPr>
  </w:style>
  <w:style w:type="character" w:customStyle="1" w:styleId="297">
    <w:name w:val="Char Char5"/>
    <w:qFormat/>
    <w:uiPriority w:val="0"/>
    <w:rPr>
      <w:rFonts w:eastAsia="宋体"/>
      <w:b/>
      <w:kern w:val="2"/>
      <w:sz w:val="24"/>
      <w:szCs w:val="24"/>
      <w:lang w:val="en-US" w:eastAsia="zh-CN" w:bidi="ar-SA"/>
    </w:rPr>
  </w:style>
  <w:style w:type="character" w:customStyle="1" w:styleId="298">
    <w:name w:val="EmailStyle247"/>
    <w:qFormat/>
    <w:uiPriority w:val="0"/>
    <w:rPr>
      <w:rFonts w:ascii="Arial" w:hAnsi="Arial" w:eastAsia="宋体" w:cs="Arial"/>
      <w:color w:val="auto"/>
      <w:sz w:val="20"/>
    </w:rPr>
  </w:style>
  <w:style w:type="character" w:customStyle="1" w:styleId="299">
    <w:name w:val="EmailStyle246"/>
    <w:qFormat/>
    <w:uiPriority w:val="0"/>
    <w:rPr>
      <w:rFonts w:ascii="Arial" w:hAnsi="Arial" w:eastAsia="宋体" w:cs="Arial"/>
      <w:color w:val="auto"/>
      <w:sz w:val="20"/>
    </w:rPr>
  </w:style>
  <w:style w:type="character" w:customStyle="1" w:styleId="300">
    <w:name w:val="HTML 预设格式 Char"/>
    <w:qFormat/>
    <w:uiPriority w:val="99"/>
    <w:rPr>
      <w:rFonts w:ascii="宋体" w:hAnsi="宋体" w:eastAsia="宋体"/>
      <w:sz w:val="24"/>
      <w:szCs w:val="24"/>
    </w:rPr>
  </w:style>
  <w:style w:type="character" w:customStyle="1" w:styleId="301">
    <w:name w:val="标题 1 Char3"/>
    <w:qFormat/>
    <w:uiPriority w:val="9"/>
    <w:rPr>
      <w:rFonts w:ascii="黑体" w:hAnsi="黑体" w:eastAsia="黑体" w:cs="Times New Roman"/>
      <w:b/>
      <w:color w:val="000000"/>
      <w:kern w:val="0"/>
      <w:sz w:val="44"/>
      <w:szCs w:val="44"/>
    </w:rPr>
  </w:style>
  <w:style w:type="character" w:customStyle="1" w:styleId="302">
    <w:name w:val="HTML 预设格式 字符1"/>
    <w:qFormat/>
    <w:uiPriority w:val="99"/>
    <w:rPr>
      <w:rFonts w:ascii="Courier New" w:hAnsi="Courier New" w:eastAsia="宋体" w:cs="Courier New"/>
      <w:sz w:val="20"/>
      <w:szCs w:val="20"/>
    </w:rPr>
  </w:style>
  <w:style w:type="character" w:customStyle="1" w:styleId="303">
    <w:name w:val="Footnote Text Char1"/>
    <w:semiHidden/>
    <w:qFormat/>
    <w:locked/>
    <w:uiPriority w:val="99"/>
    <w:rPr>
      <w:rFonts w:eastAsia="方正仿宋_GBK" w:cs="Times New Roman"/>
      <w:kern w:val="0"/>
      <w:sz w:val="18"/>
      <w:szCs w:val="18"/>
    </w:rPr>
  </w:style>
  <w:style w:type="character" w:customStyle="1" w:styleId="304">
    <w:name w:val="正文文本缩进 Char"/>
    <w:semiHidden/>
    <w:qFormat/>
    <w:uiPriority w:val="99"/>
    <w:rPr>
      <w:rFonts w:ascii="Calibri" w:hAnsi="Calibri" w:eastAsia="宋体" w:cs="Times New Roman"/>
      <w:kern w:val="0"/>
      <w:sz w:val="20"/>
      <w:szCs w:val="21"/>
    </w:rPr>
  </w:style>
  <w:style w:type="character" w:customStyle="1" w:styleId="305">
    <w:name w:val="正文缩进2字符 Char"/>
    <w:link w:val="306"/>
    <w:qFormat/>
    <w:uiPriority w:val="0"/>
    <w:rPr>
      <w:sz w:val="24"/>
      <w:szCs w:val="24"/>
    </w:rPr>
  </w:style>
  <w:style w:type="paragraph" w:customStyle="1" w:styleId="306">
    <w:name w:val="正文缩进2字符"/>
    <w:basedOn w:val="1"/>
    <w:link w:val="305"/>
    <w:qFormat/>
    <w:uiPriority w:val="0"/>
    <w:rPr>
      <w:rFonts w:asciiTheme="minorHAnsi" w:hAnsiTheme="minorHAnsi" w:eastAsiaTheme="minorEastAsia" w:cstheme="minorBidi"/>
    </w:rPr>
  </w:style>
  <w:style w:type="character" w:customStyle="1" w:styleId="307">
    <w:name w:val="标题 9 Char"/>
    <w:qFormat/>
    <w:uiPriority w:val="9"/>
    <w:rPr>
      <w:rFonts w:ascii="Cambria" w:hAnsi="Cambria" w:eastAsia="宋体"/>
      <w:szCs w:val="21"/>
    </w:rPr>
  </w:style>
  <w:style w:type="character" w:customStyle="1" w:styleId="308">
    <w:name w:val="明显引用 Char2"/>
    <w:qFormat/>
    <w:uiPriority w:val="30"/>
    <w:rPr>
      <w:b/>
      <w:bCs/>
      <w:i/>
      <w:iCs/>
      <w:color w:val="4F81BD"/>
      <w:kern w:val="2"/>
      <w:sz w:val="21"/>
      <w:szCs w:val="24"/>
    </w:rPr>
  </w:style>
  <w:style w:type="character" w:customStyle="1" w:styleId="309">
    <w:name w:val="EmailStyle1451"/>
    <w:qFormat/>
    <w:uiPriority w:val="0"/>
    <w:rPr>
      <w:rFonts w:ascii="Arial" w:hAnsi="Arial" w:eastAsia="宋体" w:cs="Arial"/>
      <w:color w:val="auto"/>
      <w:sz w:val="20"/>
    </w:rPr>
  </w:style>
  <w:style w:type="character" w:customStyle="1" w:styleId="310">
    <w:name w:val="txtmain1"/>
    <w:qFormat/>
    <w:uiPriority w:val="0"/>
    <w:rPr>
      <w:rFonts w:hint="default" w:ascii="ˎ̥" w:hAnsi="ˎ̥"/>
      <w:sz w:val="21"/>
      <w:szCs w:val="21"/>
    </w:rPr>
  </w:style>
  <w:style w:type="character" w:customStyle="1" w:styleId="311">
    <w:name w:val="副标题 Char3"/>
    <w:qFormat/>
    <w:uiPriority w:val="11"/>
    <w:rPr>
      <w:rFonts w:ascii="Cambria" w:hAnsi="Cambria"/>
      <w:i/>
      <w:iCs/>
      <w:spacing w:val="13"/>
      <w:sz w:val="24"/>
      <w:szCs w:val="24"/>
    </w:rPr>
  </w:style>
  <w:style w:type="character" w:customStyle="1" w:styleId="312">
    <w:name w:val="Header Char1"/>
    <w:semiHidden/>
    <w:qFormat/>
    <w:locked/>
    <w:uiPriority w:val="99"/>
    <w:rPr>
      <w:rFonts w:eastAsia="方正仿宋_GBK" w:cs="Times New Roman"/>
      <w:kern w:val="0"/>
      <w:sz w:val="18"/>
      <w:szCs w:val="18"/>
    </w:rPr>
  </w:style>
  <w:style w:type="character" w:customStyle="1" w:styleId="313">
    <w:name w:val="日期 Char"/>
    <w:qFormat/>
    <w:uiPriority w:val="99"/>
    <w:rPr>
      <w:rFonts w:ascii="Times New Roman" w:hAnsi="Times New Roman" w:eastAsia="仿宋"/>
      <w:sz w:val="28"/>
    </w:rPr>
  </w:style>
  <w:style w:type="character" w:customStyle="1" w:styleId="314">
    <w:name w:val="z-窗体顶端 Char2"/>
    <w:semiHidden/>
    <w:qFormat/>
    <w:uiPriority w:val="99"/>
    <w:rPr>
      <w:rFonts w:hint="default" w:ascii="Arial" w:hAnsi="Arial" w:cs="Arial"/>
      <w:vanish/>
      <w:kern w:val="2"/>
      <w:sz w:val="16"/>
      <w:szCs w:val="16"/>
    </w:rPr>
  </w:style>
  <w:style w:type="character" w:customStyle="1" w:styleId="315">
    <w:name w:val="文档结构图 Char2"/>
    <w:qFormat/>
    <w:uiPriority w:val="99"/>
    <w:rPr>
      <w:rFonts w:ascii="宋体" w:hAnsi="Calibri"/>
      <w:sz w:val="18"/>
      <w:szCs w:val="18"/>
    </w:rPr>
  </w:style>
  <w:style w:type="character" w:customStyle="1" w:styleId="316">
    <w:name w:val="明显强调11"/>
    <w:qFormat/>
    <w:uiPriority w:val="21"/>
    <w:rPr>
      <w:b/>
      <w:bCs/>
    </w:rPr>
  </w:style>
  <w:style w:type="character" w:customStyle="1" w:styleId="317">
    <w:name w:val="结束语 Char2"/>
    <w:semiHidden/>
    <w:qFormat/>
    <w:locked/>
    <w:uiPriority w:val="99"/>
    <w:rPr>
      <w:rFonts w:ascii="Times New Roman" w:hAnsi="Times New Roman" w:eastAsia="宋体"/>
      <w:kern w:val="2"/>
      <w:sz w:val="21"/>
      <w:szCs w:val="24"/>
    </w:rPr>
  </w:style>
  <w:style w:type="character" w:customStyle="1" w:styleId="318">
    <w:name w:val="正文文本缩进 3 Char"/>
    <w:qFormat/>
    <w:uiPriority w:val="99"/>
    <w:rPr>
      <w:rFonts w:ascii="楷体_GB2312" w:hAnsi="Times New Roman" w:eastAsia="楷体_GB2312"/>
      <w:kern w:val="2"/>
      <w:sz w:val="28"/>
    </w:rPr>
  </w:style>
  <w:style w:type="character" w:customStyle="1" w:styleId="319">
    <w:name w:val="正文文本_"/>
    <w:link w:val="320"/>
    <w:qFormat/>
    <w:locked/>
    <w:uiPriority w:val="0"/>
    <w:rPr>
      <w:rFonts w:ascii="MingLiU" w:hAnsi="MingLiU" w:eastAsia="MingLiU" w:cs="MingLiU"/>
      <w:spacing w:val="10"/>
      <w:sz w:val="25"/>
      <w:szCs w:val="25"/>
      <w:shd w:val="clear" w:color="auto" w:fill="FFFFFF"/>
    </w:rPr>
  </w:style>
  <w:style w:type="paragraph" w:customStyle="1" w:styleId="320">
    <w:name w:val="正文文本1"/>
    <w:basedOn w:val="1"/>
    <w:link w:val="319"/>
    <w:qFormat/>
    <w:uiPriority w:val="99"/>
    <w:pPr>
      <w:shd w:val="clear" w:color="auto" w:fill="FFFFFF"/>
      <w:spacing w:before="120" w:after="180" w:line="0" w:lineRule="atLeast"/>
      <w:jc w:val="distribute"/>
    </w:pPr>
    <w:rPr>
      <w:rFonts w:ascii="MingLiU" w:hAnsi="MingLiU" w:eastAsia="MingLiU" w:cs="MingLiU"/>
      <w:spacing w:val="10"/>
      <w:sz w:val="25"/>
      <w:szCs w:val="25"/>
    </w:rPr>
  </w:style>
  <w:style w:type="character" w:customStyle="1" w:styleId="321">
    <w:name w:val="HTML 预设格式 Char2"/>
    <w:qFormat/>
    <w:uiPriority w:val="99"/>
    <w:rPr>
      <w:rFonts w:ascii="宋体" w:hAnsi="宋体"/>
      <w:sz w:val="24"/>
      <w:szCs w:val="24"/>
    </w:rPr>
  </w:style>
  <w:style w:type="character" w:customStyle="1" w:styleId="322">
    <w:name w:val="正文文本 2 Char2"/>
    <w:qFormat/>
    <w:uiPriority w:val="0"/>
    <w:rPr>
      <w:rFonts w:ascii="Calibri" w:hAnsi="Calibri"/>
      <w:sz w:val="24"/>
      <w:szCs w:val="24"/>
    </w:rPr>
  </w:style>
  <w:style w:type="character" w:customStyle="1" w:styleId="323">
    <w:name w:val="Char Char17"/>
    <w:qFormat/>
    <w:uiPriority w:val="0"/>
    <w:rPr>
      <w:rFonts w:eastAsia="宋体"/>
      <w:b/>
      <w:bCs/>
      <w:kern w:val="2"/>
      <w:sz w:val="24"/>
      <w:szCs w:val="24"/>
      <w:lang w:val="en-US" w:eastAsia="zh-CN" w:bidi="ar-SA"/>
    </w:rPr>
  </w:style>
  <w:style w:type="character" w:customStyle="1" w:styleId="324">
    <w:name w:val="页码1"/>
    <w:qFormat/>
    <w:uiPriority w:val="0"/>
  </w:style>
  <w:style w:type="character" w:customStyle="1" w:styleId="325">
    <w:name w:val="表格内容6号字 Char"/>
    <w:link w:val="326"/>
    <w:qFormat/>
    <w:locked/>
    <w:uiPriority w:val="0"/>
  </w:style>
  <w:style w:type="paragraph" w:customStyle="1" w:styleId="326">
    <w:name w:val="表格内容6号字"/>
    <w:basedOn w:val="1"/>
    <w:link w:val="325"/>
    <w:qFormat/>
    <w:uiPriority w:val="0"/>
    <w:pPr>
      <w:widowControl/>
      <w:adjustRightInd w:val="0"/>
      <w:snapToGrid w:val="0"/>
      <w:spacing w:beforeLines="50" w:line="300" w:lineRule="auto"/>
      <w:jc w:val="center"/>
    </w:pPr>
    <w:rPr>
      <w:rFonts w:asciiTheme="minorHAnsi" w:hAnsiTheme="minorHAnsi" w:eastAsiaTheme="minorEastAsia" w:cstheme="minorBidi"/>
      <w:sz w:val="21"/>
      <w:szCs w:val="22"/>
    </w:rPr>
  </w:style>
  <w:style w:type="character" w:customStyle="1" w:styleId="327">
    <w:name w:val="批注文字 Char2"/>
    <w:qFormat/>
    <w:uiPriority w:val="0"/>
    <w:rPr>
      <w:rFonts w:ascii="Calibri" w:hAnsi="Calibri"/>
      <w:szCs w:val="21"/>
    </w:rPr>
  </w:style>
  <w:style w:type="character" w:customStyle="1" w:styleId="328">
    <w:name w:val="表的单位 Char Char"/>
    <w:qFormat/>
    <w:uiPriority w:val="0"/>
    <w:rPr>
      <w:rFonts w:ascii="Times New Roman" w:hAnsi="Times New Roman" w:eastAsia="楷体_GB2312" w:cs="Times New Roman"/>
      <w:sz w:val="26"/>
      <w:szCs w:val="28"/>
    </w:rPr>
  </w:style>
  <w:style w:type="character" w:customStyle="1" w:styleId="329">
    <w:name w:val="Balloon Text Char1"/>
    <w:semiHidden/>
    <w:qFormat/>
    <w:locked/>
    <w:uiPriority w:val="99"/>
    <w:rPr>
      <w:rFonts w:eastAsia="方正仿宋_GBK" w:cs="Times New Roman"/>
      <w:kern w:val="0"/>
      <w:sz w:val="2"/>
    </w:rPr>
  </w:style>
  <w:style w:type="character" w:customStyle="1" w:styleId="330">
    <w:name w:val="HTML 地址 Char"/>
    <w:qFormat/>
    <w:uiPriority w:val="0"/>
    <w:rPr>
      <w:sz w:val="18"/>
      <w:szCs w:val="18"/>
    </w:rPr>
  </w:style>
  <w:style w:type="character" w:customStyle="1" w:styleId="331">
    <w:name w:val="样式 宋体 小四 Char"/>
    <w:link w:val="332"/>
    <w:qFormat/>
    <w:locked/>
    <w:uiPriority w:val="0"/>
    <w:rPr>
      <w:rFonts w:ascii="宋体" w:hAnsi="宋体"/>
      <w:sz w:val="24"/>
      <w:szCs w:val="24"/>
    </w:rPr>
  </w:style>
  <w:style w:type="paragraph" w:customStyle="1" w:styleId="332">
    <w:name w:val="样式 宋体 小四"/>
    <w:basedOn w:val="1"/>
    <w:link w:val="331"/>
    <w:qFormat/>
    <w:uiPriority w:val="0"/>
    <w:rPr>
      <w:rFonts w:ascii="宋体" w:hAnsi="宋体" w:eastAsiaTheme="minorEastAsia" w:cstheme="minorBidi"/>
    </w:rPr>
  </w:style>
  <w:style w:type="character" w:customStyle="1" w:styleId="333">
    <w:name w:val="称呼 Char"/>
    <w:qFormat/>
    <w:uiPriority w:val="0"/>
    <w:rPr>
      <w:rFonts w:ascii="方正楷体简体" w:eastAsia="方正楷体简体"/>
      <w:sz w:val="28"/>
    </w:rPr>
  </w:style>
  <w:style w:type="character" w:customStyle="1" w:styleId="334">
    <w:name w:val="签名 Char3"/>
    <w:semiHidden/>
    <w:qFormat/>
    <w:uiPriority w:val="99"/>
    <w:rPr>
      <w:kern w:val="2"/>
      <w:sz w:val="21"/>
      <w:szCs w:val="24"/>
    </w:rPr>
  </w:style>
  <w:style w:type="character" w:customStyle="1" w:styleId="335">
    <w:name w:val="我的正文 Char Char"/>
    <w:link w:val="336"/>
    <w:qFormat/>
    <w:uiPriority w:val="0"/>
    <w:rPr>
      <w:sz w:val="24"/>
    </w:rPr>
  </w:style>
  <w:style w:type="paragraph" w:customStyle="1" w:styleId="336">
    <w:name w:val="我的正文"/>
    <w:basedOn w:val="1"/>
    <w:link w:val="335"/>
    <w:qFormat/>
    <w:uiPriority w:val="0"/>
    <w:pPr>
      <w:ind w:firstLine="1040"/>
    </w:pPr>
    <w:rPr>
      <w:rFonts w:asciiTheme="minorHAnsi" w:hAnsiTheme="minorHAnsi" w:eastAsiaTheme="minorEastAsia" w:cstheme="minorBidi"/>
      <w:szCs w:val="22"/>
    </w:rPr>
  </w:style>
  <w:style w:type="character" w:customStyle="1" w:styleId="337">
    <w:name w:val="标题节 Char Char"/>
    <w:qFormat/>
    <w:uiPriority w:val="0"/>
    <w:rPr>
      <w:rFonts w:ascii="Cambria" w:hAnsi="Cambria" w:eastAsia="宋体" w:cs="Times New Roman"/>
      <w:b/>
      <w:bCs/>
      <w:kern w:val="0"/>
      <w:sz w:val="32"/>
      <w:szCs w:val="32"/>
    </w:rPr>
  </w:style>
  <w:style w:type="character" w:customStyle="1" w:styleId="338">
    <w:name w:val="杭州研究报告-节 Char Char"/>
    <w:qFormat/>
    <w:uiPriority w:val="0"/>
    <w:rPr>
      <w:rFonts w:ascii="Calibri" w:hAnsi="Calibri" w:eastAsia="宋体" w:cs="Times New Roman"/>
      <w:b/>
      <w:bCs/>
      <w:sz w:val="24"/>
      <w:szCs w:val="32"/>
    </w:rPr>
  </w:style>
  <w:style w:type="character" w:customStyle="1" w:styleId="339">
    <w:name w:val="样式 标题 1 + (西文) 黑体 (中文) 黑体 三号 段前: 5 磅 段后: 5 磅 行距: 单倍行距 右  -... Char"/>
    <w:link w:val="340"/>
    <w:qFormat/>
    <w:uiPriority w:val="0"/>
    <w:rPr>
      <w:rFonts w:ascii="黑体" w:eastAsia="黑体"/>
      <w:b/>
      <w:bCs/>
      <w:kern w:val="44"/>
      <w:sz w:val="32"/>
    </w:rPr>
  </w:style>
  <w:style w:type="paragraph" w:customStyle="1" w:styleId="340">
    <w:name w:val="样式 标题 1 + (西文) 黑体 (中文) 黑体 三号 段前: 5 磅 段后: 5 磅 行距: 单倍行距 右  -..."/>
    <w:basedOn w:val="4"/>
    <w:link w:val="339"/>
    <w:qFormat/>
    <w:uiPriority w:val="0"/>
    <w:pPr>
      <w:adjustRightInd/>
      <w:spacing w:before="100" w:afterAutospacing="0" w:line="240" w:lineRule="auto"/>
      <w:ind w:right="-340" w:rightChars="-162"/>
      <w:jc w:val="both"/>
    </w:pPr>
    <w:rPr>
      <w:rFonts w:hAnsiTheme="minorHAnsi" w:cstheme="minorBidi"/>
      <w:bCs/>
      <w:color w:val="auto"/>
      <w:kern w:val="44"/>
      <w:sz w:val="32"/>
      <w:szCs w:val="22"/>
    </w:rPr>
  </w:style>
  <w:style w:type="character" w:customStyle="1" w:styleId="341">
    <w:name w:val="Char Char6"/>
    <w:qFormat/>
    <w:uiPriority w:val="0"/>
    <w:rPr>
      <w:rFonts w:eastAsia="宋体"/>
      <w:kern w:val="2"/>
      <w:sz w:val="24"/>
      <w:lang w:val="en-US" w:eastAsia="zh-CN" w:bidi="ar-SA"/>
    </w:rPr>
  </w:style>
  <w:style w:type="character" w:customStyle="1" w:styleId="342">
    <w:name w:val="bb1"/>
    <w:qFormat/>
    <w:uiPriority w:val="0"/>
    <w:rPr>
      <w:color w:val="000000"/>
      <w:sz w:val="18"/>
      <w:szCs w:val="18"/>
    </w:rPr>
  </w:style>
  <w:style w:type="character" w:customStyle="1" w:styleId="343">
    <w:name w:val="表格和图表标题 Char Char"/>
    <w:qFormat/>
    <w:uiPriority w:val="0"/>
    <w:rPr>
      <w:rFonts w:eastAsia="宋体"/>
      <w:kern w:val="2"/>
      <w:sz w:val="24"/>
      <w:szCs w:val="22"/>
      <w:lang w:val="en-US" w:eastAsia="zh-CN" w:bidi="ar-SA"/>
    </w:rPr>
  </w:style>
  <w:style w:type="character" w:customStyle="1" w:styleId="344">
    <w:name w:val="z-窗体顶端 字符"/>
    <w:link w:val="345"/>
    <w:qFormat/>
    <w:uiPriority w:val="99"/>
    <w:rPr>
      <w:rFonts w:ascii="Arial" w:hAnsi="Arial" w:cs="Arial"/>
      <w:vanish/>
      <w:sz w:val="16"/>
      <w:szCs w:val="16"/>
    </w:rPr>
  </w:style>
  <w:style w:type="paragraph" w:customStyle="1" w:styleId="345">
    <w:name w:val="z-窗体顶端1"/>
    <w:basedOn w:val="1"/>
    <w:next w:val="1"/>
    <w:link w:val="344"/>
    <w:qFormat/>
    <w:uiPriority w:val="99"/>
    <w:pPr>
      <w:widowControl/>
      <w:pBdr>
        <w:bottom w:val="single" w:color="auto" w:sz="6" w:space="1"/>
      </w:pBdr>
      <w:jc w:val="center"/>
    </w:pPr>
    <w:rPr>
      <w:rFonts w:ascii="Arial" w:hAnsi="Arial" w:cs="Arial" w:eastAsiaTheme="minorEastAsia"/>
      <w:vanish/>
      <w:sz w:val="16"/>
      <w:szCs w:val="16"/>
    </w:rPr>
  </w:style>
  <w:style w:type="character" w:customStyle="1" w:styleId="346">
    <w:name w:val="注释标题 Char2"/>
    <w:semiHidden/>
    <w:qFormat/>
    <w:locked/>
    <w:uiPriority w:val="99"/>
    <w:rPr>
      <w:rFonts w:ascii="Times New Roman" w:hAnsi="Times New Roman" w:eastAsia="宋体"/>
      <w:kern w:val="2"/>
      <w:sz w:val="21"/>
      <w:szCs w:val="24"/>
    </w:rPr>
  </w:style>
  <w:style w:type="character" w:customStyle="1" w:styleId="347">
    <w:name w:val="注释标题 Char"/>
    <w:qFormat/>
    <w:uiPriority w:val="0"/>
    <w:rPr>
      <w:rFonts w:ascii="方正楷体简体" w:eastAsia="方正楷体简体"/>
      <w:sz w:val="28"/>
    </w:rPr>
  </w:style>
  <w:style w:type="character" w:customStyle="1" w:styleId="348">
    <w:name w:val="页眉或页脚 + Sylfaen"/>
    <w:qFormat/>
    <w:uiPriority w:val="0"/>
    <w:rPr>
      <w:rFonts w:ascii="Sylfaen" w:hAnsi="Sylfaen" w:eastAsia="Sylfaen" w:cs="Sylfaen"/>
      <w:color w:val="000000"/>
      <w:spacing w:val="100"/>
      <w:w w:val="100"/>
      <w:position w:val="0"/>
      <w:sz w:val="26"/>
      <w:szCs w:val="26"/>
      <w:u w:val="none"/>
      <w:lang w:val="zh-TW" w:eastAsia="zh-TW" w:bidi="zh-TW"/>
    </w:rPr>
  </w:style>
  <w:style w:type="character" w:customStyle="1" w:styleId="349">
    <w:name w:val="Char Char121"/>
    <w:qFormat/>
    <w:uiPriority w:val="0"/>
    <w:rPr>
      <w:rFonts w:ascii="Times New Roman" w:hAnsi="Times New Roman"/>
      <w:kern w:val="2"/>
      <w:sz w:val="24"/>
      <w:szCs w:val="24"/>
    </w:rPr>
  </w:style>
  <w:style w:type="character" w:customStyle="1" w:styleId="350">
    <w:name w:val="列出段落 Char"/>
    <w:qFormat/>
    <w:locked/>
    <w:uiPriority w:val="34"/>
    <w:rPr>
      <w:rFonts w:ascii="Calibri" w:hAnsi="Calibri" w:cs="Calibri"/>
      <w:kern w:val="2"/>
      <w:sz w:val="21"/>
      <w:szCs w:val="21"/>
    </w:rPr>
  </w:style>
  <w:style w:type="character" w:customStyle="1" w:styleId="351">
    <w:name w:val="公式 Char"/>
    <w:link w:val="352"/>
    <w:qFormat/>
    <w:uiPriority w:val="0"/>
    <w:rPr>
      <w:rFonts w:ascii="Calibri" w:hAnsi="Calibri" w:eastAsia="仿宋_GB2312"/>
      <w:sz w:val="32"/>
    </w:rPr>
  </w:style>
  <w:style w:type="paragraph" w:customStyle="1" w:styleId="352">
    <w:name w:val="公式"/>
    <w:basedOn w:val="1"/>
    <w:link w:val="351"/>
    <w:qFormat/>
    <w:uiPriority w:val="0"/>
    <w:pPr>
      <w:jc w:val="center"/>
    </w:pPr>
    <w:rPr>
      <w:rFonts w:ascii="Calibri" w:hAnsi="Calibri" w:eastAsia="仿宋_GB2312" w:cstheme="minorBidi"/>
      <w:sz w:val="32"/>
      <w:szCs w:val="22"/>
    </w:rPr>
  </w:style>
  <w:style w:type="character" w:customStyle="1" w:styleId="353">
    <w:name w:val="Char Char20"/>
    <w:qFormat/>
    <w:uiPriority w:val="0"/>
    <w:rPr>
      <w:rFonts w:ascii="黑体" w:hAnsi="宋体" w:eastAsia="黑体"/>
      <w:b/>
      <w:bCs/>
      <w:sz w:val="28"/>
      <w:szCs w:val="32"/>
      <w:lang w:val="zh-CN" w:eastAsia="zh-CN" w:bidi="ar-SA"/>
    </w:rPr>
  </w:style>
  <w:style w:type="character" w:customStyle="1" w:styleId="354">
    <w:name w:val="EmailStyle243"/>
    <w:qFormat/>
    <w:uiPriority w:val="0"/>
    <w:rPr>
      <w:rFonts w:ascii="Arial" w:hAnsi="Arial" w:eastAsia="宋体" w:cs="Arial"/>
      <w:color w:val="auto"/>
      <w:sz w:val="20"/>
    </w:rPr>
  </w:style>
  <w:style w:type="character" w:customStyle="1" w:styleId="355">
    <w:name w:val="正文缩进2字符 Char Char"/>
    <w:qFormat/>
    <w:uiPriority w:val="0"/>
    <w:rPr>
      <w:rFonts w:ascii="Times New Roman" w:hAnsi="Times New Roman" w:eastAsia="宋体" w:cs="Times New Roman"/>
      <w:sz w:val="24"/>
      <w:szCs w:val="24"/>
    </w:rPr>
  </w:style>
  <w:style w:type="character" w:customStyle="1" w:styleId="356">
    <w:name w:val="标题 4 Char2"/>
    <w:qFormat/>
    <w:uiPriority w:val="0"/>
    <w:rPr>
      <w:rFonts w:ascii="宋体" w:hAnsi="宋体"/>
      <w:b/>
      <w:color w:val="000000"/>
      <w:sz w:val="30"/>
      <w:szCs w:val="30"/>
      <w:lang w:bidi="ar-SA"/>
    </w:rPr>
  </w:style>
  <w:style w:type="character" w:customStyle="1" w:styleId="357">
    <w:name w:val="图名 Char"/>
    <w:link w:val="358"/>
    <w:qFormat/>
    <w:locked/>
    <w:uiPriority w:val="0"/>
    <w:rPr>
      <w:rFonts w:ascii="宋体" w:hAnsi="宋体" w:cs="宋体"/>
      <w:color w:val="000000"/>
      <w:sz w:val="24"/>
      <w:szCs w:val="24"/>
    </w:rPr>
  </w:style>
  <w:style w:type="paragraph" w:customStyle="1" w:styleId="358">
    <w:name w:val="图名"/>
    <w:basedOn w:val="1"/>
    <w:link w:val="357"/>
    <w:qFormat/>
    <w:uiPriority w:val="0"/>
    <w:pPr>
      <w:widowControl/>
      <w:spacing w:before="240" w:after="120"/>
      <w:jc w:val="center"/>
    </w:pPr>
    <w:rPr>
      <w:rFonts w:ascii="宋体" w:hAnsi="宋体" w:cs="宋体" w:eastAsiaTheme="minorEastAsia"/>
      <w:color w:val="000000"/>
    </w:rPr>
  </w:style>
  <w:style w:type="character" w:customStyle="1" w:styleId="359">
    <w:name w:val="引用 字符1"/>
    <w:qFormat/>
    <w:uiPriority w:val="29"/>
    <w:rPr>
      <w:rFonts w:ascii="Times New Roman" w:hAnsi="Times New Roman" w:eastAsia="宋体" w:cs="Times New Roman"/>
      <w:i/>
      <w:iCs/>
      <w:color w:val="404040"/>
      <w:sz w:val="24"/>
      <w:szCs w:val="24"/>
    </w:rPr>
  </w:style>
  <w:style w:type="character" w:customStyle="1" w:styleId="360">
    <w:name w:val="Char Char19"/>
    <w:qFormat/>
    <w:uiPriority w:val="0"/>
    <w:rPr>
      <w:rFonts w:eastAsia="宋体"/>
      <w:b/>
      <w:bCs/>
      <w:kern w:val="44"/>
      <w:sz w:val="44"/>
      <w:szCs w:val="44"/>
      <w:lang w:val="en-US" w:eastAsia="zh-CN" w:bidi="ar-SA"/>
    </w:rPr>
  </w:style>
  <w:style w:type="character" w:customStyle="1" w:styleId="361">
    <w:name w:val="副标题 Char"/>
    <w:qFormat/>
    <w:uiPriority w:val="11"/>
    <w:rPr>
      <w:rFonts w:ascii="Cambria" w:hAnsi="Cambria" w:eastAsia="宋体" w:cs="Times New Roman"/>
      <w:i/>
      <w:iCs/>
      <w:spacing w:val="13"/>
      <w:kern w:val="0"/>
      <w:sz w:val="24"/>
      <w:szCs w:val="24"/>
    </w:rPr>
  </w:style>
  <w:style w:type="character" w:customStyle="1" w:styleId="362">
    <w:name w:val="text_edit"/>
    <w:qFormat/>
    <w:uiPriority w:val="0"/>
  </w:style>
  <w:style w:type="character" w:customStyle="1" w:styleId="363">
    <w:name w:val="z-窗体底端 Char1"/>
    <w:semiHidden/>
    <w:qFormat/>
    <w:uiPriority w:val="99"/>
    <w:rPr>
      <w:rFonts w:ascii="Arial" w:hAnsi="Arial" w:eastAsia="宋体" w:cs="Arial"/>
      <w:vanish/>
      <w:kern w:val="2"/>
      <w:sz w:val="16"/>
      <w:szCs w:val="16"/>
    </w:rPr>
  </w:style>
  <w:style w:type="character" w:customStyle="1" w:styleId="364">
    <w:name w:val="称呼 Char3"/>
    <w:semiHidden/>
    <w:qFormat/>
    <w:uiPriority w:val="99"/>
    <w:rPr>
      <w:kern w:val="2"/>
      <w:sz w:val="21"/>
      <w:szCs w:val="24"/>
    </w:rPr>
  </w:style>
  <w:style w:type="character" w:customStyle="1" w:styleId="365">
    <w:name w:val="报告正文 Char"/>
    <w:link w:val="366"/>
    <w:qFormat/>
    <w:uiPriority w:val="0"/>
    <w:rPr>
      <w:rFonts w:eastAsia="宋体"/>
      <w:sz w:val="24"/>
    </w:rPr>
  </w:style>
  <w:style w:type="paragraph" w:customStyle="1" w:styleId="366">
    <w:name w:val="报告正文"/>
    <w:basedOn w:val="1"/>
    <w:link w:val="365"/>
    <w:qFormat/>
    <w:uiPriority w:val="0"/>
    <w:pPr>
      <w:spacing w:before="156" w:after="156"/>
    </w:pPr>
    <w:rPr>
      <w:rFonts w:asciiTheme="minorHAnsi" w:hAnsiTheme="minorHAnsi" w:cstheme="minorBidi"/>
      <w:szCs w:val="22"/>
    </w:rPr>
  </w:style>
  <w:style w:type="character" w:customStyle="1" w:styleId="367">
    <w:name w:val="标题 8 Char"/>
    <w:qFormat/>
    <w:uiPriority w:val="9"/>
    <w:rPr>
      <w:rFonts w:ascii="Cambria" w:hAnsi="Cambria" w:eastAsia="宋体"/>
      <w:sz w:val="24"/>
      <w:szCs w:val="24"/>
    </w:rPr>
  </w:style>
  <w:style w:type="character" w:customStyle="1" w:styleId="368">
    <w:name w:val="不明显参考11"/>
    <w:qFormat/>
    <w:uiPriority w:val="31"/>
    <w:rPr>
      <w:smallCaps/>
    </w:rPr>
  </w:style>
  <w:style w:type="character" w:customStyle="1" w:styleId="369">
    <w:name w:val="正文文本 (2)_"/>
    <w:link w:val="370"/>
    <w:qFormat/>
    <w:uiPriority w:val="0"/>
    <w:rPr>
      <w:rFonts w:ascii="黑体" w:hAnsi="黑体" w:eastAsia="黑体" w:cs="黑体"/>
      <w:spacing w:val="20"/>
      <w:sz w:val="30"/>
      <w:szCs w:val="30"/>
      <w:shd w:val="clear" w:color="auto" w:fill="FFFFFF"/>
    </w:rPr>
  </w:style>
  <w:style w:type="paragraph" w:customStyle="1" w:styleId="370">
    <w:name w:val="正文文本 (2)"/>
    <w:basedOn w:val="1"/>
    <w:link w:val="369"/>
    <w:qFormat/>
    <w:uiPriority w:val="0"/>
    <w:pPr>
      <w:shd w:val="clear" w:color="auto" w:fill="FFFFFF"/>
      <w:spacing w:before="780" w:after="1080" w:line="0" w:lineRule="atLeast"/>
      <w:jc w:val="center"/>
    </w:pPr>
    <w:rPr>
      <w:rFonts w:ascii="黑体" w:hAnsi="黑体" w:eastAsia="黑体" w:cs="黑体"/>
      <w:spacing w:val="20"/>
      <w:sz w:val="30"/>
      <w:szCs w:val="30"/>
    </w:rPr>
  </w:style>
  <w:style w:type="character" w:customStyle="1" w:styleId="371">
    <w:name w:val="unnamed21"/>
    <w:qFormat/>
    <w:uiPriority w:val="0"/>
    <w:rPr>
      <w:rFonts w:hint="eastAsia" w:ascii="宋体" w:hAnsi="宋体" w:eastAsia="宋体"/>
      <w:sz w:val="22"/>
      <w:szCs w:val="22"/>
    </w:rPr>
  </w:style>
  <w:style w:type="character" w:customStyle="1" w:styleId="372">
    <w:name w:val="Char Char37"/>
    <w:qFormat/>
    <w:uiPriority w:val="0"/>
    <w:rPr>
      <w:rFonts w:ascii="Times New Roman" w:hAnsi="Times New Roman" w:eastAsia="宋体" w:cs="Times New Roman"/>
      <w:b/>
      <w:bCs/>
      <w:snapToGrid w:val="0"/>
      <w:kern w:val="0"/>
      <w:sz w:val="24"/>
      <w:szCs w:val="24"/>
    </w:rPr>
  </w:style>
  <w:style w:type="character" w:customStyle="1" w:styleId="373">
    <w:name w:val="Char Char122"/>
    <w:qFormat/>
    <w:uiPriority w:val="0"/>
    <w:rPr>
      <w:rFonts w:ascii="Times New Roman" w:hAnsi="Times New Roman"/>
      <w:kern w:val="2"/>
      <w:sz w:val="24"/>
      <w:szCs w:val="24"/>
    </w:rPr>
  </w:style>
  <w:style w:type="character" w:customStyle="1" w:styleId="374">
    <w:name w:val="HTML 地址 Char3"/>
    <w:semiHidden/>
    <w:qFormat/>
    <w:uiPriority w:val="99"/>
    <w:rPr>
      <w:i/>
      <w:iCs/>
      <w:kern w:val="2"/>
      <w:sz w:val="21"/>
      <w:szCs w:val="24"/>
    </w:rPr>
  </w:style>
  <w:style w:type="character" w:customStyle="1" w:styleId="375">
    <w:name w:val="标题 7 Char"/>
    <w:qFormat/>
    <w:uiPriority w:val="9"/>
    <w:rPr>
      <w:rFonts w:ascii="Times New Roman" w:hAnsi="Times New Roman" w:eastAsia="仿宋_GB2312"/>
      <w:b/>
      <w:bCs/>
      <w:sz w:val="24"/>
      <w:szCs w:val="24"/>
    </w:rPr>
  </w:style>
  <w:style w:type="character" w:customStyle="1" w:styleId="376">
    <w:name w:val="正文首行缩进 Char"/>
    <w:semiHidden/>
    <w:qFormat/>
    <w:uiPriority w:val="99"/>
    <w:rPr>
      <w:rFonts w:ascii="Times New Roman" w:hAnsi="Times New Roman" w:eastAsia="宋体" w:cs="Times New Roman"/>
      <w:kern w:val="2"/>
      <w:sz w:val="21"/>
      <w:szCs w:val="24"/>
    </w:rPr>
  </w:style>
  <w:style w:type="character" w:customStyle="1" w:styleId="377">
    <w:name w:val="个人答复风格"/>
    <w:qFormat/>
    <w:uiPriority w:val="0"/>
    <w:rPr>
      <w:rFonts w:ascii="Arial" w:hAnsi="Arial" w:eastAsia="宋体" w:cs="Arial"/>
      <w:color w:val="auto"/>
      <w:sz w:val="20"/>
    </w:rPr>
  </w:style>
  <w:style w:type="character" w:customStyle="1" w:styleId="378">
    <w:name w:val="样式 黑体 小四 行距: 1.5 倍行距 Char"/>
    <w:link w:val="379"/>
    <w:qFormat/>
    <w:uiPriority w:val="0"/>
    <w:rPr>
      <w:rFonts w:ascii="宋体" w:hAnsi="宋体"/>
      <w:b/>
      <w:sz w:val="24"/>
    </w:rPr>
  </w:style>
  <w:style w:type="paragraph" w:customStyle="1" w:styleId="379">
    <w:name w:val="样式 黑体 小四 行距: 1.5 倍行距"/>
    <w:basedOn w:val="1"/>
    <w:link w:val="378"/>
    <w:qFormat/>
    <w:uiPriority w:val="0"/>
    <w:pPr>
      <w:ind w:left="180"/>
      <w:outlineLvl w:val="3"/>
    </w:pPr>
    <w:rPr>
      <w:rFonts w:ascii="宋体" w:hAnsi="宋体" w:eastAsiaTheme="minorEastAsia" w:cstheme="minorBidi"/>
      <w:b/>
      <w:szCs w:val="22"/>
    </w:rPr>
  </w:style>
  <w:style w:type="character" w:customStyle="1" w:styleId="380">
    <w:name w:val="EmailStyle245"/>
    <w:qFormat/>
    <w:uiPriority w:val="0"/>
    <w:rPr>
      <w:rFonts w:ascii="Arial" w:hAnsi="Arial" w:eastAsia="宋体" w:cs="Arial"/>
      <w:color w:val="auto"/>
      <w:sz w:val="20"/>
    </w:rPr>
  </w:style>
  <w:style w:type="character" w:customStyle="1" w:styleId="381">
    <w:name w:val="EmailStyle244"/>
    <w:qFormat/>
    <w:uiPriority w:val="0"/>
    <w:rPr>
      <w:rFonts w:ascii="Arial" w:hAnsi="Arial" w:eastAsia="宋体" w:cs="Arial"/>
      <w:color w:val="auto"/>
      <w:sz w:val="20"/>
    </w:rPr>
  </w:style>
  <w:style w:type="character" w:customStyle="1" w:styleId="382">
    <w:name w:val="签名 Char1"/>
    <w:qFormat/>
    <w:uiPriority w:val="0"/>
    <w:rPr>
      <w:rFonts w:ascii="Times New Roman" w:hAnsi="Times New Roman" w:eastAsia="宋体" w:cs="Times New Roman"/>
      <w:szCs w:val="24"/>
    </w:rPr>
  </w:style>
  <w:style w:type="character" w:customStyle="1" w:styleId="383">
    <w:name w:val="杭州研究报告-正文 Char Char"/>
    <w:qFormat/>
    <w:uiPriority w:val="0"/>
    <w:rPr>
      <w:rFonts w:ascii="Times New Roman" w:hAnsi="Times New Roman" w:eastAsia="仿宋_GB2312" w:cs="Times New Roman"/>
      <w:bCs/>
      <w:kern w:val="0"/>
      <w:sz w:val="24"/>
      <w:szCs w:val="21"/>
    </w:rPr>
  </w:style>
  <w:style w:type="character" w:customStyle="1" w:styleId="384">
    <w:name w:val="杭州研究报告-节 Char"/>
    <w:link w:val="385"/>
    <w:qFormat/>
    <w:uiPriority w:val="0"/>
    <w:rPr>
      <w:rFonts w:ascii="Calibri" w:hAnsi="Calibri"/>
      <w:b/>
      <w:bCs/>
      <w:sz w:val="24"/>
      <w:szCs w:val="32"/>
    </w:rPr>
  </w:style>
  <w:style w:type="paragraph" w:customStyle="1" w:styleId="385">
    <w:name w:val="杭州研究报告-节"/>
    <w:basedOn w:val="6"/>
    <w:link w:val="384"/>
    <w:qFormat/>
    <w:uiPriority w:val="0"/>
    <w:pPr>
      <w:spacing w:beforeLines="50" w:afterLines="50" w:line="360" w:lineRule="auto"/>
      <w:jc w:val="left"/>
    </w:pPr>
    <w:rPr>
      <w:rFonts w:ascii="Calibri" w:hAnsi="Calibri" w:eastAsiaTheme="minorEastAsia" w:cstheme="minorBidi"/>
      <w:sz w:val="24"/>
    </w:rPr>
  </w:style>
  <w:style w:type="character" w:customStyle="1" w:styleId="386">
    <w:name w:val="z-窗体底端 字符1"/>
    <w:semiHidden/>
    <w:qFormat/>
    <w:uiPriority w:val="99"/>
    <w:rPr>
      <w:rFonts w:ascii="Arial" w:hAnsi="Arial" w:eastAsia="宋体" w:cs="Arial"/>
      <w:vanish/>
      <w:sz w:val="16"/>
      <w:szCs w:val="16"/>
    </w:rPr>
  </w:style>
  <w:style w:type="character" w:customStyle="1" w:styleId="387">
    <w:name w:val="text1"/>
    <w:qFormat/>
    <w:uiPriority w:val="0"/>
    <w:rPr>
      <w:color w:val="006633"/>
      <w:sz w:val="20"/>
      <w:szCs w:val="20"/>
    </w:rPr>
  </w:style>
  <w:style w:type="character" w:customStyle="1" w:styleId="388">
    <w:name w:val="一级标题 Char"/>
    <w:link w:val="389"/>
    <w:qFormat/>
    <w:uiPriority w:val="0"/>
    <w:rPr>
      <w:b/>
      <w:sz w:val="44"/>
      <w:szCs w:val="44"/>
    </w:rPr>
  </w:style>
  <w:style w:type="paragraph" w:customStyle="1" w:styleId="389">
    <w:name w:val="一级标题"/>
    <w:basedOn w:val="1"/>
    <w:link w:val="388"/>
    <w:qFormat/>
    <w:uiPriority w:val="0"/>
    <w:pPr>
      <w:spacing w:afterLines="100"/>
      <w:jc w:val="center"/>
      <w:outlineLvl w:val="0"/>
    </w:pPr>
    <w:rPr>
      <w:rFonts w:asciiTheme="minorHAnsi" w:hAnsiTheme="minorHAnsi" w:eastAsiaTheme="minorEastAsia" w:cstheme="minorBidi"/>
      <w:b/>
      <w:sz w:val="44"/>
      <w:szCs w:val="44"/>
    </w:rPr>
  </w:style>
  <w:style w:type="character" w:customStyle="1" w:styleId="390">
    <w:name w:val="EmailStyle242"/>
    <w:qFormat/>
    <w:uiPriority w:val="0"/>
    <w:rPr>
      <w:rFonts w:ascii="Arial" w:hAnsi="Arial" w:eastAsia="宋体" w:cs="Arial"/>
      <w:color w:val="auto"/>
      <w:sz w:val="20"/>
    </w:rPr>
  </w:style>
  <w:style w:type="character" w:customStyle="1" w:styleId="391">
    <w:name w:val="页脚 Char"/>
    <w:qFormat/>
    <w:uiPriority w:val="99"/>
    <w:rPr>
      <w:sz w:val="18"/>
      <w:szCs w:val="18"/>
    </w:rPr>
  </w:style>
  <w:style w:type="character" w:customStyle="1" w:styleId="392">
    <w:name w:val="article1"/>
    <w:qFormat/>
    <w:uiPriority w:val="0"/>
    <w:rPr>
      <w:sz w:val="21"/>
      <w:szCs w:val="21"/>
    </w:rPr>
  </w:style>
  <w:style w:type="character" w:customStyle="1" w:styleId="393">
    <w:name w:val="脚注文本 Char"/>
    <w:qFormat/>
    <w:uiPriority w:val="99"/>
    <w:rPr>
      <w:rFonts w:ascii="Times New Roman" w:hAnsi="Times New Roman" w:eastAsia="宋体"/>
      <w:sz w:val="18"/>
      <w:szCs w:val="18"/>
    </w:rPr>
  </w:style>
  <w:style w:type="character" w:customStyle="1" w:styleId="394">
    <w:name w:val="unnamed11"/>
    <w:qFormat/>
    <w:uiPriority w:val="0"/>
    <w:rPr>
      <w:rFonts w:hint="eastAsia" w:ascii="宋体" w:hAnsi="宋体" w:eastAsia="宋体"/>
      <w:sz w:val="18"/>
      <w:szCs w:val="18"/>
    </w:rPr>
  </w:style>
  <w:style w:type="character" w:customStyle="1" w:styleId="395">
    <w:name w:val="Char Char26"/>
    <w:qFormat/>
    <w:locked/>
    <w:uiPriority w:val="0"/>
    <w:rPr>
      <w:szCs w:val="24"/>
      <w:lang w:bidi="ar-SA"/>
    </w:rPr>
  </w:style>
  <w:style w:type="character" w:customStyle="1" w:styleId="396">
    <w:name w:val="font21"/>
    <w:qFormat/>
    <w:uiPriority w:val="0"/>
    <w:rPr>
      <w:rFonts w:hint="eastAsia" w:ascii="宋体" w:hAnsi="宋体" w:eastAsia="宋体"/>
      <w:color w:val="000000"/>
      <w:sz w:val="21"/>
      <w:szCs w:val="21"/>
    </w:rPr>
  </w:style>
  <w:style w:type="character" w:customStyle="1" w:styleId="397">
    <w:name w:val="Char Char2"/>
    <w:qFormat/>
    <w:uiPriority w:val="0"/>
    <w:rPr>
      <w:rFonts w:ascii="方正楷体简体" w:eastAsia="宋体"/>
      <w:kern w:val="2"/>
      <w:sz w:val="21"/>
      <w:szCs w:val="24"/>
      <w:lang w:val="en-US" w:eastAsia="zh-CN" w:bidi="ar-SA"/>
    </w:rPr>
  </w:style>
  <w:style w:type="character" w:customStyle="1" w:styleId="398">
    <w:name w:val="批注引用3"/>
    <w:qFormat/>
    <w:uiPriority w:val="0"/>
    <w:rPr>
      <w:sz w:val="21"/>
      <w:szCs w:val="21"/>
    </w:rPr>
  </w:style>
  <w:style w:type="character" w:customStyle="1" w:styleId="399">
    <w:name w:val="style51"/>
    <w:qFormat/>
    <w:uiPriority w:val="0"/>
    <w:rPr>
      <w:color w:val="00487A"/>
    </w:rPr>
  </w:style>
  <w:style w:type="character" w:customStyle="1" w:styleId="400">
    <w:name w:val="列出段落 Char1"/>
    <w:qFormat/>
    <w:uiPriority w:val="0"/>
    <w:rPr>
      <w:rFonts w:ascii="Calibri" w:hAnsi="Calibri" w:eastAsia="宋体"/>
      <w:szCs w:val="21"/>
    </w:rPr>
  </w:style>
  <w:style w:type="character" w:customStyle="1" w:styleId="401">
    <w:name w:val="题注 Char"/>
    <w:qFormat/>
    <w:uiPriority w:val="0"/>
    <w:rPr>
      <w:rFonts w:ascii="Cambria" w:hAnsi="Cambria" w:eastAsia="楷体_GB2312"/>
      <w:b/>
      <w:kern w:val="2"/>
      <w:sz w:val="28"/>
    </w:rPr>
  </w:style>
  <w:style w:type="character" w:customStyle="1" w:styleId="402">
    <w:name w:val="正文文本 (16)_"/>
    <w:link w:val="403"/>
    <w:qFormat/>
    <w:uiPriority w:val="0"/>
    <w:rPr>
      <w:rFonts w:ascii="宋体" w:hAnsi="宋体" w:cs="宋体"/>
      <w:sz w:val="22"/>
      <w:shd w:val="clear" w:color="auto" w:fill="FFFFFF"/>
    </w:rPr>
  </w:style>
  <w:style w:type="paragraph" w:customStyle="1" w:styleId="403">
    <w:name w:val="正文文本 (16)3"/>
    <w:basedOn w:val="1"/>
    <w:link w:val="402"/>
    <w:qFormat/>
    <w:uiPriority w:val="0"/>
    <w:pPr>
      <w:shd w:val="clear" w:color="auto" w:fill="FFFFFF"/>
      <w:spacing w:line="466" w:lineRule="exact"/>
      <w:ind w:firstLine="0" w:firstLineChars="0"/>
      <w:jc w:val="left"/>
    </w:pPr>
    <w:rPr>
      <w:rFonts w:ascii="宋体" w:hAnsi="宋体" w:cs="宋体" w:eastAsiaTheme="minorEastAsia"/>
      <w:sz w:val="22"/>
      <w:szCs w:val="22"/>
    </w:rPr>
  </w:style>
  <w:style w:type="character" w:customStyle="1" w:styleId="404">
    <w:name w:val="表格正文 Char"/>
    <w:link w:val="405"/>
    <w:qFormat/>
    <w:uiPriority w:val="99"/>
    <w:rPr>
      <w:rFonts w:eastAsia="仿宋_GB2312"/>
    </w:rPr>
  </w:style>
  <w:style w:type="paragraph" w:customStyle="1" w:styleId="405">
    <w:name w:val="表格正文"/>
    <w:link w:val="404"/>
    <w:qFormat/>
    <w:uiPriority w:val="99"/>
    <w:pPr>
      <w:autoSpaceDE w:val="0"/>
      <w:autoSpaceDN w:val="0"/>
      <w:adjustRightInd w:val="0"/>
      <w:snapToGrid w:val="0"/>
      <w:spacing w:line="360" w:lineRule="exact"/>
      <w:jc w:val="center"/>
    </w:pPr>
    <w:rPr>
      <w:rFonts w:eastAsia="仿宋_GB2312" w:asciiTheme="minorHAnsi" w:hAnsiTheme="minorHAnsi" w:cstheme="minorBidi"/>
      <w:kern w:val="2"/>
      <w:sz w:val="21"/>
      <w:szCs w:val="22"/>
      <w:lang w:val="en-US" w:eastAsia="zh-CN" w:bidi="ar-SA"/>
    </w:rPr>
  </w:style>
  <w:style w:type="character" w:customStyle="1" w:styleId="406">
    <w:name w:val="明显引用 Char"/>
    <w:link w:val="407"/>
    <w:qFormat/>
    <w:uiPriority w:val="30"/>
    <w:rPr>
      <w:b/>
      <w:bCs/>
      <w:i/>
      <w:iCs/>
      <w:sz w:val="24"/>
    </w:rPr>
  </w:style>
  <w:style w:type="paragraph" w:customStyle="1" w:styleId="407">
    <w:name w:val="明显引用1"/>
    <w:basedOn w:val="1"/>
    <w:next w:val="1"/>
    <w:link w:val="406"/>
    <w:qFormat/>
    <w:uiPriority w:val="30"/>
    <w:pPr>
      <w:pBdr>
        <w:bottom w:val="single" w:color="auto" w:sz="4" w:space="1"/>
      </w:pBdr>
      <w:spacing w:before="200" w:after="280"/>
      <w:ind w:left="1008" w:right="1152"/>
    </w:pPr>
    <w:rPr>
      <w:rFonts w:asciiTheme="minorHAnsi" w:hAnsiTheme="minorHAnsi" w:eastAsiaTheme="minorEastAsia" w:cstheme="minorBidi"/>
      <w:b/>
      <w:bCs/>
      <w:i/>
      <w:iCs/>
      <w:szCs w:val="22"/>
    </w:rPr>
  </w:style>
  <w:style w:type="character" w:customStyle="1" w:styleId="408">
    <w:name w:val="信息标题 Char3"/>
    <w:semiHidden/>
    <w:qFormat/>
    <w:uiPriority w:val="99"/>
    <w:rPr>
      <w:rFonts w:hint="default" w:ascii="Cambria" w:hAnsi="Cambria" w:eastAsia="宋体" w:cs="Times New Roman"/>
      <w:kern w:val="2"/>
      <w:sz w:val="24"/>
      <w:szCs w:val="24"/>
      <w:shd w:val="pct20" w:color="auto" w:fill="auto"/>
    </w:rPr>
  </w:style>
  <w:style w:type="character" w:customStyle="1" w:styleId="409">
    <w:name w:val="尾注文本 字符1"/>
    <w:semiHidden/>
    <w:qFormat/>
    <w:uiPriority w:val="99"/>
    <w:rPr>
      <w:rFonts w:ascii="Times New Roman" w:hAnsi="Times New Roman" w:eastAsia="宋体" w:cs="Times New Roman"/>
      <w:sz w:val="24"/>
      <w:szCs w:val="24"/>
    </w:rPr>
  </w:style>
  <w:style w:type="character" w:customStyle="1" w:styleId="410">
    <w:name w:val="0007 Char"/>
    <w:link w:val="411"/>
    <w:qFormat/>
    <w:locked/>
    <w:uiPriority w:val="0"/>
    <w:rPr>
      <w:rFonts w:ascii="宋体" w:hAnsi="宋体" w:cs="宋体"/>
      <w:b/>
      <w:color w:val="000000"/>
      <w:sz w:val="24"/>
      <w:szCs w:val="21"/>
    </w:rPr>
  </w:style>
  <w:style w:type="paragraph" w:customStyle="1" w:styleId="411">
    <w:name w:val="0007"/>
    <w:basedOn w:val="412"/>
    <w:link w:val="410"/>
    <w:qFormat/>
    <w:uiPriority w:val="0"/>
    <w:pPr>
      <w:spacing w:beforeLines="50" w:afterLines="50"/>
    </w:pPr>
    <w:rPr>
      <w:rFonts w:eastAsiaTheme="minorEastAsia"/>
      <w:b/>
      <w:sz w:val="24"/>
    </w:rPr>
  </w:style>
  <w:style w:type="paragraph" w:customStyle="1" w:styleId="412">
    <w:name w:val="0006"/>
    <w:basedOn w:val="1"/>
    <w:link w:val="413"/>
    <w:qFormat/>
    <w:uiPriority w:val="0"/>
    <w:pPr>
      <w:widowControl/>
      <w:spacing w:line="280" w:lineRule="exact"/>
      <w:jc w:val="center"/>
    </w:pPr>
    <w:rPr>
      <w:rFonts w:ascii="宋体" w:hAnsi="宋体" w:eastAsia="等线" w:cs="宋体"/>
      <w:color w:val="000000"/>
      <w:sz w:val="21"/>
      <w:szCs w:val="21"/>
    </w:rPr>
  </w:style>
  <w:style w:type="character" w:customStyle="1" w:styleId="413">
    <w:name w:val="0006 Char"/>
    <w:link w:val="412"/>
    <w:qFormat/>
    <w:locked/>
    <w:uiPriority w:val="0"/>
    <w:rPr>
      <w:rFonts w:ascii="宋体" w:hAnsi="宋体" w:eastAsia="等线" w:cs="宋体"/>
      <w:color w:val="000000"/>
      <w:szCs w:val="21"/>
    </w:rPr>
  </w:style>
  <w:style w:type="character" w:customStyle="1" w:styleId="414">
    <w:name w:val="表格内容 Char Char"/>
    <w:qFormat/>
    <w:uiPriority w:val="0"/>
    <w:rPr>
      <w:rFonts w:eastAsia="宋体"/>
      <w:kern w:val="2"/>
      <w:sz w:val="24"/>
      <w:szCs w:val="21"/>
      <w:lang w:val="en-US" w:eastAsia="zh-CN" w:bidi="ar-SA"/>
    </w:rPr>
  </w:style>
  <w:style w:type="character" w:customStyle="1" w:styleId="415">
    <w:name w:val="页眉 Char"/>
    <w:qFormat/>
    <w:uiPriority w:val="99"/>
    <w:rPr>
      <w:sz w:val="18"/>
      <w:szCs w:val="18"/>
    </w:rPr>
  </w:style>
  <w:style w:type="character" w:customStyle="1" w:styleId="416">
    <w:name w:val="无间距字符"/>
    <w:link w:val="417"/>
    <w:qFormat/>
    <w:locked/>
    <w:uiPriority w:val="1"/>
    <w:rPr>
      <w:szCs w:val="21"/>
    </w:rPr>
  </w:style>
  <w:style w:type="paragraph" w:customStyle="1" w:styleId="417">
    <w:name w:val="无间距"/>
    <w:link w:val="416"/>
    <w:qFormat/>
    <w:uiPriority w:val="1"/>
    <w:pPr>
      <w:widowControl w:val="0"/>
      <w:spacing w:line="300" w:lineRule="auto"/>
      <w:jc w:val="both"/>
    </w:pPr>
    <w:rPr>
      <w:rFonts w:asciiTheme="minorHAnsi" w:hAnsiTheme="minorHAnsi" w:eastAsiaTheme="minorEastAsia" w:cstheme="minorBidi"/>
      <w:kern w:val="2"/>
      <w:sz w:val="21"/>
      <w:szCs w:val="21"/>
      <w:lang w:val="en-US" w:eastAsia="zh-CN" w:bidi="ar-SA"/>
    </w:rPr>
  </w:style>
  <w:style w:type="character" w:customStyle="1" w:styleId="418">
    <w:name w:val="highlight"/>
    <w:qFormat/>
    <w:uiPriority w:val="0"/>
  </w:style>
  <w:style w:type="character" w:customStyle="1" w:styleId="419">
    <w:name w:val="嘉兴图 Char"/>
    <w:link w:val="420"/>
    <w:qFormat/>
    <w:locked/>
    <w:uiPriority w:val="0"/>
    <w:rPr>
      <w:rFonts w:ascii="宋体" w:hAnsi="宋体"/>
      <w:b/>
      <w:szCs w:val="21"/>
    </w:rPr>
  </w:style>
  <w:style w:type="paragraph" w:customStyle="1" w:styleId="420">
    <w:name w:val="嘉兴图"/>
    <w:link w:val="419"/>
    <w:qFormat/>
    <w:uiPriority w:val="0"/>
    <w:pPr>
      <w:spacing w:line="300" w:lineRule="auto"/>
      <w:jc w:val="center"/>
    </w:pPr>
    <w:rPr>
      <w:rFonts w:ascii="宋体" w:hAnsi="宋体" w:eastAsiaTheme="minorEastAsia" w:cstheme="minorBidi"/>
      <w:b/>
      <w:kern w:val="2"/>
      <w:sz w:val="21"/>
      <w:szCs w:val="21"/>
      <w:lang w:val="en-US" w:eastAsia="zh-CN" w:bidi="ar-SA"/>
    </w:rPr>
  </w:style>
  <w:style w:type="character" w:customStyle="1" w:styleId="421">
    <w:name w:val="正文文本 2 Char"/>
    <w:semiHidden/>
    <w:qFormat/>
    <w:uiPriority w:val="99"/>
    <w:rPr>
      <w:rFonts w:ascii="Calibri" w:hAnsi="Calibri" w:eastAsia="宋体"/>
      <w:sz w:val="24"/>
      <w:szCs w:val="24"/>
    </w:rPr>
  </w:style>
  <w:style w:type="character" w:customStyle="1" w:styleId="422">
    <w:name w:val="页脚 Char1"/>
    <w:qFormat/>
    <w:uiPriority w:val="99"/>
    <w:rPr>
      <w:rFonts w:ascii="Times New Roman" w:hAnsi="Times New Roman" w:eastAsia="方正仿宋_GBK" w:cs="Times New Roman"/>
      <w:kern w:val="0"/>
      <w:sz w:val="18"/>
      <w:szCs w:val="18"/>
    </w:rPr>
  </w:style>
  <w:style w:type="character" w:customStyle="1" w:styleId="423">
    <w:name w:val="注释 Char Char"/>
    <w:qFormat/>
    <w:uiPriority w:val="0"/>
    <w:rPr>
      <w:rFonts w:ascii="Times New Roman" w:hAnsi="Times New Roman" w:eastAsia="宋体" w:cs="Times New Roman"/>
      <w:color w:val="000000"/>
      <w:sz w:val="18"/>
      <w:szCs w:val="18"/>
    </w:rPr>
  </w:style>
  <w:style w:type="character" w:customStyle="1" w:styleId="424">
    <w:name w:val="样式2 Char"/>
    <w:link w:val="425"/>
    <w:qFormat/>
    <w:uiPriority w:val="0"/>
    <w:rPr>
      <w:rFonts w:ascii="仿宋_GB2312" w:hAnsi="宋体" w:eastAsia="仿宋_GB2312"/>
      <w:sz w:val="24"/>
      <w:szCs w:val="24"/>
    </w:rPr>
  </w:style>
  <w:style w:type="paragraph" w:customStyle="1" w:styleId="425">
    <w:name w:val="样式2"/>
    <w:basedOn w:val="1"/>
    <w:link w:val="424"/>
    <w:qFormat/>
    <w:uiPriority w:val="0"/>
    <w:rPr>
      <w:rFonts w:ascii="仿宋_GB2312" w:hAnsi="宋体" w:eastAsia="仿宋_GB2312" w:cstheme="minorBidi"/>
    </w:rPr>
  </w:style>
  <w:style w:type="character" w:customStyle="1" w:styleId="426">
    <w:name w:val="明显引用 Char3"/>
    <w:qFormat/>
    <w:uiPriority w:val="0"/>
    <w:rPr>
      <w:b/>
      <w:bCs/>
      <w:i/>
      <w:iCs/>
      <w:sz w:val="24"/>
    </w:rPr>
  </w:style>
  <w:style w:type="character" w:customStyle="1" w:styleId="427">
    <w:name w:val="我的正文 Char"/>
    <w:qFormat/>
    <w:locked/>
    <w:uiPriority w:val="0"/>
    <w:rPr>
      <w:rFonts w:ascii="Times New Roman" w:hAnsi="Times New Roman" w:eastAsia="Times New Roman" w:cs="Times New Roman"/>
      <w:b/>
      <w:sz w:val="32"/>
      <w:szCs w:val="32"/>
    </w:rPr>
  </w:style>
  <w:style w:type="character" w:customStyle="1" w:styleId="428">
    <w:name w:val="headline-content"/>
    <w:qFormat/>
    <w:uiPriority w:val="0"/>
  </w:style>
  <w:style w:type="character" w:customStyle="1" w:styleId="429">
    <w:name w:val="不明显参考1"/>
    <w:qFormat/>
    <w:uiPriority w:val="31"/>
    <w:rPr>
      <w:smallCaps/>
    </w:rPr>
  </w:style>
  <w:style w:type="character" w:customStyle="1" w:styleId="430">
    <w:name w:val="书籍标题11"/>
    <w:qFormat/>
    <w:uiPriority w:val="33"/>
    <w:rPr>
      <w:i/>
      <w:iCs/>
      <w:smallCaps/>
      <w:spacing w:val="5"/>
    </w:rPr>
  </w:style>
  <w:style w:type="character" w:customStyle="1" w:styleId="431">
    <w:name w:val="标题 5 Char1"/>
    <w:qFormat/>
    <w:uiPriority w:val="9"/>
    <w:rPr>
      <w:rFonts w:ascii="Calibri" w:hAnsi="Calibri" w:eastAsia="宋体" w:cs="Times New Roman"/>
      <w:b/>
      <w:bCs/>
      <w:kern w:val="0"/>
      <w:sz w:val="28"/>
      <w:szCs w:val="28"/>
    </w:rPr>
  </w:style>
  <w:style w:type="character" w:customStyle="1" w:styleId="432">
    <w:name w:val="正文1 Char1"/>
    <w:qFormat/>
    <w:uiPriority w:val="0"/>
    <w:rPr>
      <w:rFonts w:hint="default" w:ascii="Times New Roman" w:hAnsi="Times New Roman" w:eastAsia="宋体" w:cs="Times New Roman"/>
      <w:sz w:val="24"/>
      <w:szCs w:val="24"/>
    </w:rPr>
  </w:style>
  <w:style w:type="character" w:customStyle="1" w:styleId="433">
    <w:name w:val="样式 (西文) 仿宋_GB2312 (中文) 仿宋_GB2312 黑色 Char Char"/>
    <w:link w:val="434"/>
    <w:qFormat/>
    <w:uiPriority w:val="0"/>
    <w:rPr>
      <w:rFonts w:ascii="仿宋_GB2312" w:eastAsia="仿宋_GB2312"/>
      <w:color w:val="000000"/>
      <w:sz w:val="28"/>
      <w:szCs w:val="24"/>
    </w:rPr>
  </w:style>
  <w:style w:type="paragraph" w:customStyle="1" w:styleId="434">
    <w:name w:val="样式 (西文) 仿宋_GB2312 (中文) 仿宋_GB2312 黑色 Char"/>
    <w:basedOn w:val="1"/>
    <w:link w:val="433"/>
    <w:qFormat/>
    <w:uiPriority w:val="0"/>
    <w:pPr>
      <w:adjustRightInd w:val="0"/>
      <w:snapToGrid w:val="0"/>
      <w:spacing w:afterLines="100" w:line="300" w:lineRule="auto"/>
    </w:pPr>
    <w:rPr>
      <w:rFonts w:ascii="仿宋_GB2312" w:eastAsia="仿宋_GB2312" w:hAnsiTheme="minorHAnsi" w:cstheme="minorBidi"/>
      <w:color w:val="000000"/>
      <w:sz w:val="28"/>
    </w:rPr>
  </w:style>
  <w:style w:type="character" w:customStyle="1" w:styleId="435">
    <w:name w:val="列出段落 Char2"/>
    <w:qFormat/>
    <w:uiPriority w:val="0"/>
    <w:rPr>
      <w:rFonts w:ascii="Calibri" w:hAnsi="Calibri" w:eastAsia="宋体"/>
      <w:szCs w:val="21"/>
    </w:rPr>
  </w:style>
  <w:style w:type="character" w:customStyle="1" w:styleId="436">
    <w:name w:val="headline-content6"/>
    <w:qFormat/>
    <w:uiPriority w:val="0"/>
  </w:style>
  <w:style w:type="character" w:customStyle="1" w:styleId="437">
    <w:name w:val="正文首行缩进 Char2"/>
    <w:qFormat/>
    <w:uiPriority w:val="0"/>
    <w:rPr>
      <w:rFonts w:ascii="Times New Roman" w:hAnsi="Times New Roman" w:eastAsia="宋体" w:cs="Times New Roman"/>
      <w:kern w:val="0"/>
      <w:sz w:val="20"/>
      <w:szCs w:val="24"/>
    </w:rPr>
  </w:style>
  <w:style w:type="character" w:customStyle="1" w:styleId="438">
    <w:name w:val="盘锦表格 Char"/>
    <w:link w:val="439"/>
    <w:qFormat/>
    <w:locked/>
    <w:uiPriority w:val="0"/>
    <w:rPr>
      <w:sz w:val="22"/>
    </w:rPr>
  </w:style>
  <w:style w:type="paragraph" w:customStyle="1" w:styleId="439">
    <w:name w:val="盘锦表格"/>
    <w:basedOn w:val="1"/>
    <w:link w:val="438"/>
    <w:qFormat/>
    <w:uiPriority w:val="0"/>
    <w:rPr>
      <w:rFonts w:asciiTheme="minorHAnsi" w:hAnsiTheme="minorHAnsi" w:eastAsiaTheme="minorEastAsia" w:cstheme="minorBidi"/>
      <w:sz w:val="22"/>
      <w:szCs w:val="22"/>
    </w:rPr>
  </w:style>
  <w:style w:type="character" w:customStyle="1" w:styleId="440">
    <w:name w:val="正文文本缩进 2 Char1"/>
    <w:semiHidden/>
    <w:qFormat/>
    <w:uiPriority w:val="99"/>
    <w:rPr>
      <w:rFonts w:ascii="Times New Roman" w:hAnsi="Times New Roman" w:eastAsia="宋体" w:cs="Times New Roman"/>
      <w:szCs w:val="24"/>
    </w:rPr>
  </w:style>
  <w:style w:type="character" w:customStyle="1" w:styleId="441">
    <w:name w:val="a11"/>
    <w:qFormat/>
    <w:uiPriority w:val="0"/>
    <w:rPr>
      <w:color w:val="000000"/>
      <w:sz w:val="18"/>
      <w:szCs w:val="18"/>
    </w:rPr>
  </w:style>
  <w:style w:type="character" w:customStyle="1" w:styleId="442">
    <w:name w:val="htmldw10292"/>
    <w:qFormat/>
    <w:uiPriority w:val="0"/>
  </w:style>
  <w:style w:type="character" w:customStyle="1" w:styleId="443">
    <w:name w:val="电子邮件签名 Char3"/>
    <w:semiHidden/>
    <w:qFormat/>
    <w:uiPriority w:val="99"/>
    <w:rPr>
      <w:kern w:val="2"/>
      <w:sz w:val="21"/>
      <w:szCs w:val="24"/>
    </w:rPr>
  </w:style>
  <w:style w:type="character" w:customStyle="1" w:styleId="444">
    <w:name w:val="重污染结题表格 Char"/>
    <w:link w:val="445"/>
    <w:qFormat/>
    <w:locked/>
    <w:uiPriority w:val="0"/>
    <w:rPr>
      <w:rFonts w:eastAsia="仿宋_GB2312"/>
      <w:b/>
      <w:szCs w:val="24"/>
    </w:rPr>
  </w:style>
  <w:style w:type="paragraph" w:customStyle="1" w:styleId="445">
    <w:name w:val="重污染结题表格"/>
    <w:basedOn w:val="1"/>
    <w:link w:val="444"/>
    <w:qFormat/>
    <w:uiPriority w:val="0"/>
    <w:pPr>
      <w:spacing w:beforeLines="50"/>
      <w:ind w:left="840"/>
      <w:jc w:val="center"/>
    </w:pPr>
    <w:rPr>
      <w:rFonts w:eastAsia="仿宋_GB2312" w:asciiTheme="minorHAnsi" w:hAnsiTheme="minorHAnsi" w:cstheme="minorBidi"/>
      <w:b/>
      <w:sz w:val="21"/>
    </w:rPr>
  </w:style>
  <w:style w:type="character" w:customStyle="1" w:styleId="446">
    <w:name w:val="正文（苏家屯） Char"/>
    <w:link w:val="447"/>
    <w:qFormat/>
    <w:locked/>
    <w:uiPriority w:val="0"/>
    <w:rPr>
      <w:rFonts w:ascii="宋体" w:hAnsi="宋体"/>
      <w:color w:val="000000"/>
      <w:sz w:val="24"/>
      <w:szCs w:val="24"/>
    </w:rPr>
  </w:style>
  <w:style w:type="paragraph" w:customStyle="1" w:styleId="447">
    <w:name w:val="正文（苏家屯）"/>
    <w:basedOn w:val="1"/>
    <w:link w:val="446"/>
    <w:qFormat/>
    <w:uiPriority w:val="0"/>
    <w:pPr>
      <w:jc w:val="center"/>
    </w:pPr>
    <w:rPr>
      <w:rFonts w:ascii="宋体" w:hAnsi="宋体" w:eastAsiaTheme="minorEastAsia" w:cstheme="minorBidi"/>
      <w:color w:val="000000"/>
    </w:rPr>
  </w:style>
  <w:style w:type="character" w:customStyle="1" w:styleId="448">
    <w:name w:val="批注主题 Char"/>
    <w:qFormat/>
    <w:uiPriority w:val="99"/>
    <w:rPr>
      <w:rFonts w:ascii="Calibri" w:hAnsi="Calibri" w:eastAsia="宋体" w:cs="Times New Roman"/>
      <w:b/>
      <w:bCs/>
      <w:kern w:val="2"/>
      <w:sz w:val="21"/>
      <w:szCs w:val="21"/>
    </w:rPr>
  </w:style>
  <w:style w:type="character" w:customStyle="1" w:styleId="449">
    <w:name w:val="tt4 Char"/>
    <w:qFormat/>
    <w:uiPriority w:val="0"/>
    <w:rPr>
      <w:rFonts w:ascii="Arial" w:hAnsi="Arial" w:eastAsia="黑体"/>
      <w:b/>
      <w:color w:val="000000"/>
      <w:kern w:val="2"/>
      <w:sz w:val="24"/>
      <w:lang w:val="en-US" w:eastAsia="zh-CN"/>
    </w:rPr>
  </w:style>
  <w:style w:type="character" w:customStyle="1" w:styleId="450">
    <w:name w:val="标题 2 Char3"/>
    <w:qFormat/>
    <w:uiPriority w:val="9"/>
    <w:rPr>
      <w:rFonts w:ascii="Arial" w:hAnsi="Arial" w:eastAsia="黑体" w:cs="Times New Roman"/>
      <w:b/>
      <w:bCs/>
      <w:snapToGrid w:val="0"/>
      <w:kern w:val="0"/>
      <w:sz w:val="32"/>
      <w:szCs w:val="32"/>
    </w:rPr>
  </w:style>
  <w:style w:type="character" w:customStyle="1" w:styleId="451">
    <w:name w:val="fs121"/>
    <w:qFormat/>
    <w:uiPriority w:val="0"/>
    <w:rPr>
      <w:sz w:val="18"/>
      <w:szCs w:val="18"/>
    </w:rPr>
  </w:style>
  <w:style w:type="character" w:customStyle="1" w:styleId="452">
    <w:name w:val="生态 Char Char"/>
    <w:qFormat/>
    <w:uiPriority w:val="0"/>
    <w:rPr>
      <w:rFonts w:ascii="Calibri" w:hAnsi="Calibri" w:eastAsia="宋体" w:cs="Times New Roman"/>
      <w:kern w:val="0"/>
      <w:sz w:val="24"/>
      <w:szCs w:val="24"/>
      <w:lang w:eastAsia="en-US"/>
    </w:rPr>
  </w:style>
  <w:style w:type="character" w:customStyle="1" w:styleId="453">
    <w:name w:val="正文1 Char"/>
    <w:qFormat/>
    <w:uiPriority w:val="0"/>
    <w:rPr>
      <w:rFonts w:ascii="Times New Roman" w:hAnsi="Times New Roman" w:eastAsia="宋体" w:cs="Times New Roman"/>
      <w:sz w:val="24"/>
      <w:szCs w:val="24"/>
    </w:rPr>
  </w:style>
  <w:style w:type="character" w:customStyle="1" w:styleId="454">
    <w:name w:val="纯文本 Char2"/>
    <w:qFormat/>
    <w:uiPriority w:val="0"/>
    <w:rPr>
      <w:rFonts w:ascii="宋体" w:hAnsi="Courier New" w:eastAsia="宋体" w:cs="Times New Roman"/>
      <w:kern w:val="0"/>
      <w:sz w:val="20"/>
      <w:szCs w:val="20"/>
    </w:rPr>
  </w:style>
  <w:style w:type="character" w:customStyle="1" w:styleId="455">
    <w:name w:val="HTML 地址 Char2"/>
    <w:semiHidden/>
    <w:qFormat/>
    <w:locked/>
    <w:uiPriority w:val="99"/>
    <w:rPr>
      <w:rFonts w:ascii="Times New Roman" w:hAnsi="Times New Roman" w:eastAsia="宋体"/>
      <w:i/>
      <w:iCs/>
      <w:kern w:val="2"/>
      <w:sz w:val="21"/>
      <w:szCs w:val="24"/>
    </w:rPr>
  </w:style>
  <w:style w:type="character" w:customStyle="1" w:styleId="456">
    <w:name w:val="标题 5 Char Char Char Char"/>
    <w:qFormat/>
    <w:uiPriority w:val="0"/>
    <w:rPr>
      <w:rFonts w:eastAsia="宋体"/>
      <w:b/>
      <w:bCs/>
      <w:sz w:val="28"/>
      <w:szCs w:val="28"/>
      <w:lang w:val="en-US" w:eastAsia="zh-CN" w:bidi="ar-SA"/>
    </w:rPr>
  </w:style>
  <w:style w:type="character" w:customStyle="1" w:styleId="457">
    <w:name w:val="正文0817 Char"/>
    <w:qFormat/>
    <w:uiPriority w:val="0"/>
    <w:rPr>
      <w:rFonts w:ascii="宋体" w:eastAsia="宋体" w:cs="宋体"/>
      <w:kern w:val="2"/>
      <w:sz w:val="24"/>
      <w:lang w:val="en-US" w:eastAsia="zh-CN" w:bidi="ar-SA"/>
    </w:rPr>
  </w:style>
  <w:style w:type="character" w:customStyle="1" w:styleId="458">
    <w:name w:val="正文缩进 Char"/>
    <w:qFormat/>
    <w:uiPriority w:val="0"/>
    <w:rPr>
      <w:rFonts w:eastAsia="宋体"/>
      <w:kern w:val="2"/>
      <w:sz w:val="21"/>
      <w:szCs w:val="24"/>
      <w:lang w:val="en-US" w:eastAsia="zh-CN" w:bidi="ar-SA"/>
    </w:rPr>
  </w:style>
  <w:style w:type="character" w:customStyle="1" w:styleId="459">
    <w:name w:val="嘉兴表头 Char"/>
    <w:link w:val="460"/>
    <w:qFormat/>
    <w:locked/>
    <w:uiPriority w:val="0"/>
    <w:rPr>
      <w:rFonts w:ascii="宋体" w:hAnsi="宋体"/>
      <w:b/>
      <w:szCs w:val="21"/>
    </w:rPr>
  </w:style>
  <w:style w:type="paragraph" w:customStyle="1" w:styleId="460">
    <w:name w:val="嘉兴表头"/>
    <w:basedOn w:val="420"/>
    <w:link w:val="459"/>
    <w:qFormat/>
    <w:uiPriority w:val="0"/>
    <w:pPr>
      <w:spacing w:beforeLines="50"/>
    </w:pPr>
  </w:style>
  <w:style w:type="character" w:customStyle="1" w:styleId="461">
    <w:name w:val="正文首行缩进 2 Char1"/>
    <w:qFormat/>
    <w:uiPriority w:val="0"/>
    <w:rPr>
      <w:rFonts w:ascii="仿宋_GB2312" w:eastAsia="仿宋_GB2312"/>
      <w:b/>
      <w:bCs/>
      <w:kern w:val="2"/>
      <w:sz w:val="28"/>
      <w:szCs w:val="52"/>
      <w:lang w:val="en-US" w:eastAsia="zh-CN" w:bidi="ar-SA"/>
    </w:rPr>
  </w:style>
  <w:style w:type="character" w:customStyle="1" w:styleId="462">
    <w:name w:val="明显强调2"/>
    <w:qFormat/>
    <w:uiPriority w:val="0"/>
    <w:rPr>
      <w:b/>
      <w:bCs/>
    </w:rPr>
  </w:style>
  <w:style w:type="character" w:customStyle="1" w:styleId="463">
    <w:name w:val="杭州研究报告-表头 Char"/>
    <w:link w:val="464"/>
    <w:qFormat/>
    <w:uiPriority w:val="0"/>
    <w:rPr>
      <w:rFonts w:ascii="宋体" w:hAnsi="宋体"/>
      <w:szCs w:val="21"/>
    </w:rPr>
  </w:style>
  <w:style w:type="paragraph" w:customStyle="1" w:styleId="464">
    <w:name w:val="杭州研究报告-表头"/>
    <w:basedOn w:val="1"/>
    <w:link w:val="463"/>
    <w:qFormat/>
    <w:uiPriority w:val="0"/>
    <w:pPr>
      <w:widowControl/>
      <w:spacing w:line="480" w:lineRule="exact"/>
      <w:jc w:val="center"/>
    </w:pPr>
    <w:rPr>
      <w:rFonts w:ascii="宋体" w:hAnsi="宋体" w:eastAsiaTheme="minorEastAsia" w:cstheme="minorBidi"/>
      <w:sz w:val="21"/>
      <w:szCs w:val="21"/>
    </w:rPr>
  </w:style>
  <w:style w:type="character" w:customStyle="1" w:styleId="465">
    <w:name w:val="不明显强调12"/>
    <w:qFormat/>
    <w:uiPriority w:val="19"/>
    <w:rPr>
      <w:i/>
      <w:iCs/>
      <w:color w:val="808080"/>
    </w:rPr>
  </w:style>
  <w:style w:type="character" w:customStyle="1" w:styleId="466">
    <w:name w:val="标题 3 Char2"/>
    <w:qFormat/>
    <w:uiPriority w:val="9"/>
    <w:rPr>
      <w:rFonts w:ascii="Times New Roman" w:hAnsi="Times New Roman" w:eastAsia="宋体" w:cs="Times New Roman"/>
      <w:b/>
      <w:bCs/>
      <w:sz w:val="32"/>
      <w:szCs w:val="32"/>
    </w:rPr>
  </w:style>
  <w:style w:type="character" w:customStyle="1" w:styleId="467">
    <w:name w:val="ww"/>
    <w:qFormat/>
    <w:uiPriority w:val="0"/>
  </w:style>
  <w:style w:type="character" w:customStyle="1" w:styleId="468">
    <w:name w:val="EmailStyle240"/>
    <w:qFormat/>
    <w:uiPriority w:val="0"/>
    <w:rPr>
      <w:rFonts w:ascii="Arial" w:hAnsi="Arial" w:eastAsia="宋体" w:cs="Arial"/>
      <w:color w:val="auto"/>
      <w:sz w:val="20"/>
    </w:rPr>
  </w:style>
  <w:style w:type="character" w:customStyle="1" w:styleId="469">
    <w:name w:val="图文区 Char"/>
    <w:link w:val="470"/>
    <w:qFormat/>
    <w:locked/>
    <w:uiPriority w:val="0"/>
  </w:style>
  <w:style w:type="paragraph" w:customStyle="1" w:styleId="470">
    <w:name w:val="图文区"/>
    <w:basedOn w:val="1"/>
    <w:link w:val="469"/>
    <w:qFormat/>
    <w:uiPriority w:val="0"/>
    <w:pPr>
      <w:jc w:val="center"/>
    </w:pPr>
    <w:rPr>
      <w:rFonts w:asciiTheme="minorHAnsi" w:hAnsiTheme="minorHAnsi" w:eastAsiaTheme="minorEastAsia" w:cstheme="minorBidi"/>
      <w:sz w:val="21"/>
      <w:szCs w:val="22"/>
    </w:rPr>
  </w:style>
  <w:style w:type="character" w:customStyle="1" w:styleId="471">
    <w:name w:val="正文首行缩进2(lzy) Char Char"/>
    <w:qFormat/>
    <w:uiPriority w:val="0"/>
    <w:rPr>
      <w:rFonts w:ascii="Times New Roman" w:hAnsi="Times New Roman" w:eastAsia="宋体" w:cs="Times New Roman"/>
      <w:spacing w:val="8"/>
      <w:kern w:val="0"/>
      <w:sz w:val="24"/>
      <w:szCs w:val="18"/>
    </w:rPr>
  </w:style>
  <w:style w:type="character" w:customStyle="1" w:styleId="472">
    <w:name w:val="EmailStyle1511"/>
    <w:qFormat/>
    <w:uiPriority w:val="0"/>
    <w:rPr>
      <w:rFonts w:ascii="Arial" w:hAnsi="Arial" w:eastAsia="宋体" w:cs="Arial"/>
      <w:color w:val="auto"/>
      <w:sz w:val="20"/>
    </w:rPr>
  </w:style>
  <w:style w:type="character" w:customStyle="1" w:styleId="473">
    <w:name w:val="无间隔 Char"/>
    <w:link w:val="474"/>
    <w:qFormat/>
    <w:uiPriority w:val="1"/>
    <w:rPr>
      <w:rFonts w:ascii="Calibri" w:hAnsi="Calibri"/>
      <w:szCs w:val="21"/>
    </w:rPr>
  </w:style>
  <w:style w:type="paragraph" w:customStyle="1" w:styleId="474">
    <w:name w:val="无间隔1"/>
    <w:link w:val="473"/>
    <w:qFormat/>
    <w:uiPriority w:val="1"/>
    <w:pPr>
      <w:widowControl w:val="0"/>
      <w:jc w:val="both"/>
    </w:pPr>
    <w:rPr>
      <w:rFonts w:ascii="Calibri" w:hAnsi="Calibri" w:eastAsiaTheme="minorEastAsia" w:cstheme="minorBidi"/>
      <w:kern w:val="2"/>
      <w:sz w:val="21"/>
      <w:szCs w:val="21"/>
      <w:lang w:val="en-US" w:eastAsia="zh-CN" w:bidi="ar-SA"/>
    </w:rPr>
  </w:style>
  <w:style w:type="character" w:customStyle="1" w:styleId="475">
    <w:name w:val="正文文本 (2) + Georgia"/>
    <w:qFormat/>
    <w:uiPriority w:val="0"/>
    <w:rPr>
      <w:rFonts w:ascii="Georgia" w:hAnsi="Georgia" w:eastAsia="Georgia" w:cs="Georgia"/>
      <w:color w:val="000000"/>
      <w:spacing w:val="0"/>
      <w:w w:val="100"/>
      <w:position w:val="0"/>
      <w:sz w:val="20"/>
      <w:szCs w:val="20"/>
      <w:shd w:val="clear" w:color="auto" w:fill="FFFFFF"/>
      <w:lang w:val="zh-TW" w:eastAsia="zh-TW" w:bidi="zh-TW"/>
    </w:rPr>
  </w:style>
  <w:style w:type="character" w:customStyle="1" w:styleId="476">
    <w:name w:val="z-窗体顶端 Char1"/>
    <w:semiHidden/>
    <w:qFormat/>
    <w:uiPriority w:val="99"/>
    <w:rPr>
      <w:rFonts w:ascii="Arial" w:hAnsi="Arial" w:eastAsia="宋体" w:cs="Arial"/>
      <w:vanish/>
      <w:kern w:val="2"/>
      <w:sz w:val="16"/>
      <w:szCs w:val="16"/>
    </w:rPr>
  </w:style>
  <w:style w:type="character" w:customStyle="1" w:styleId="477">
    <w:name w:val="font11"/>
    <w:qFormat/>
    <w:uiPriority w:val="0"/>
    <w:rPr>
      <w:rFonts w:hint="eastAsia" w:ascii="宋体" w:hAnsi="宋体" w:eastAsia="宋体"/>
      <w:color w:val="000000"/>
      <w:sz w:val="18"/>
      <w:szCs w:val="18"/>
    </w:rPr>
  </w:style>
  <w:style w:type="character" w:customStyle="1" w:styleId="478">
    <w:name w:val="明显引用 字符2"/>
    <w:link w:val="479"/>
    <w:qFormat/>
    <w:uiPriority w:val="0"/>
    <w:rPr>
      <w:b/>
      <w:bCs/>
      <w:i/>
      <w:iCs/>
      <w:sz w:val="24"/>
    </w:rPr>
  </w:style>
  <w:style w:type="paragraph" w:styleId="479">
    <w:name w:val="Intense Quote"/>
    <w:basedOn w:val="1"/>
    <w:next w:val="1"/>
    <w:link w:val="478"/>
    <w:qFormat/>
    <w:uiPriority w:val="0"/>
    <w:pPr>
      <w:pBdr>
        <w:bottom w:val="single" w:color="auto" w:sz="4" w:space="1"/>
      </w:pBdr>
      <w:spacing w:before="200" w:after="280"/>
      <w:ind w:left="1008" w:right="1152"/>
    </w:pPr>
    <w:rPr>
      <w:rFonts w:asciiTheme="minorHAnsi" w:hAnsiTheme="minorHAnsi" w:eastAsiaTheme="minorEastAsia" w:cstheme="minorBidi"/>
      <w:b/>
      <w:bCs/>
      <w:i/>
      <w:iCs/>
      <w:szCs w:val="22"/>
    </w:rPr>
  </w:style>
  <w:style w:type="character" w:customStyle="1" w:styleId="480">
    <w:name w:val="明显引用 字符"/>
    <w:basedOn w:val="63"/>
    <w:qFormat/>
    <w:uiPriority w:val="30"/>
    <w:rPr>
      <w:rFonts w:ascii="Times New Roman" w:hAnsi="Times New Roman" w:eastAsia="宋体" w:cs="Times New Roman"/>
      <w:i/>
      <w:iCs/>
      <w:color w:val="5B9BD5" w:themeColor="accent1"/>
      <w:sz w:val="24"/>
      <w:szCs w:val="24"/>
      <w14:textFill>
        <w14:solidFill>
          <w14:schemeClr w14:val="accent1"/>
        </w14:solidFill>
      </w14:textFill>
    </w:rPr>
  </w:style>
  <w:style w:type="character" w:customStyle="1" w:styleId="481">
    <w:name w:val="正文首行缩进2(lzy) Char"/>
    <w:link w:val="482"/>
    <w:qFormat/>
    <w:uiPriority w:val="0"/>
    <w:rPr>
      <w:spacing w:val="8"/>
      <w:sz w:val="24"/>
      <w:szCs w:val="18"/>
    </w:rPr>
  </w:style>
  <w:style w:type="paragraph" w:customStyle="1" w:styleId="482">
    <w:name w:val="正文首行缩进2(lzy)"/>
    <w:basedOn w:val="306"/>
    <w:link w:val="481"/>
    <w:qFormat/>
    <w:uiPriority w:val="0"/>
    <w:pPr>
      <w:jc w:val="left"/>
    </w:pPr>
    <w:rPr>
      <w:spacing w:val="8"/>
      <w:szCs w:val="18"/>
    </w:rPr>
  </w:style>
  <w:style w:type="character" w:customStyle="1" w:styleId="483">
    <w:name w:val="图表 Char"/>
    <w:link w:val="484"/>
    <w:qFormat/>
    <w:uiPriority w:val="0"/>
    <w:rPr>
      <w:rFonts w:eastAsia="宋体"/>
    </w:rPr>
  </w:style>
  <w:style w:type="paragraph" w:customStyle="1" w:styleId="484">
    <w:name w:val="图表"/>
    <w:basedOn w:val="1"/>
    <w:link w:val="483"/>
    <w:qFormat/>
    <w:uiPriority w:val="0"/>
    <w:pPr>
      <w:spacing w:beforeLines="50" w:line="240" w:lineRule="auto"/>
      <w:ind w:firstLine="0" w:firstLineChars="0"/>
      <w:jc w:val="center"/>
    </w:pPr>
    <w:rPr>
      <w:rFonts w:asciiTheme="minorHAnsi" w:hAnsiTheme="minorHAnsi" w:cstheme="minorBidi"/>
      <w:sz w:val="21"/>
      <w:szCs w:val="22"/>
    </w:rPr>
  </w:style>
  <w:style w:type="character" w:customStyle="1" w:styleId="485">
    <w:name w:val="表头 Char Char"/>
    <w:qFormat/>
    <w:uiPriority w:val="0"/>
    <w:rPr>
      <w:rFonts w:ascii="Times New Roman" w:hAnsi="Times New Roman" w:eastAsia="宋体" w:cs="Times New Roman"/>
      <w:b/>
      <w:sz w:val="24"/>
    </w:rPr>
  </w:style>
  <w:style w:type="character" w:customStyle="1" w:styleId="486">
    <w:name w:val="HTML 预设格式 Char1"/>
    <w:qFormat/>
    <w:uiPriority w:val="99"/>
    <w:rPr>
      <w:rFonts w:ascii="Courier New" w:hAnsi="Courier New" w:eastAsia="宋体" w:cs="Courier New"/>
      <w:sz w:val="20"/>
      <w:szCs w:val="20"/>
    </w:rPr>
  </w:style>
  <w:style w:type="character" w:customStyle="1" w:styleId="487">
    <w:name w:val="Char Char25"/>
    <w:qFormat/>
    <w:uiPriority w:val="0"/>
    <w:rPr>
      <w:rFonts w:eastAsia="宋体"/>
      <w:kern w:val="2"/>
      <w:sz w:val="18"/>
      <w:szCs w:val="18"/>
      <w:lang w:val="en-US" w:eastAsia="zh-CN" w:bidi="ar-SA"/>
    </w:rPr>
  </w:style>
  <w:style w:type="character" w:customStyle="1" w:styleId="488">
    <w:name w:val="1、标题 Char Char"/>
    <w:qFormat/>
    <w:uiPriority w:val="0"/>
    <w:rPr>
      <w:rFonts w:ascii="Times New Roman" w:hAnsi="Times New Roman" w:eastAsia="仿宋_GB2312"/>
      <w:b/>
      <w:sz w:val="24"/>
    </w:rPr>
  </w:style>
  <w:style w:type="character" w:customStyle="1" w:styleId="489">
    <w:name w:val="f_c00"/>
    <w:qFormat/>
    <w:uiPriority w:val="0"/>
  </w:style>
  <w:style w:type="character" w:customStyle="1" w:styleId="490">
    <w:name w:val="引用 Char1"/>
    <w:qFormat/>
    <w:locked/>
    <w:uiPriority w:val="99"/>
    <w:rPr>
      <w:rFonts w:ascii="Times New Roman" w:hAnsi="Times New Roman" w:eastAsia="宋体"/>
      <w:i/>
      <w:iCs/>
      <w:sz w:val="24"/>
    </w:rPr>
  </w:style>
  <w:style w:type="character" w:customStyle="1" w:styleId="491">
    <w:name w:val="信息标题 Char1"/>
    <w:qFormat/>
    <w:uiPriority w:val="0"/>
    <w:rPr>
      <w:rFonts w:ascii="Cambria" w:hAnsi="Cambria" w:eastAsia="宋体" w:cs="Times New Roman"/>
      <w:sz w:val="24"/>
      <w:szCs w:val="24"/>
      <w:shd w:val="pct20" w:color="auto" w:fill="auto"/>
    </w:rPr>
  </w:style>
  <w:style w:type="character" w:customStyle="1" w:styleId="492">
    <w:name w:val="节名2 Char"/>
    <w:link w:val="493"/>
    <w:qFormat/>
    <w:uiPriority w:val="0"/>
    <w:rPr>
      <w:rFonts w:ascii="黑体" w:eastAsia="黑体"/>
      <w:b/>
      <w:bCs/>
      <w:sz w:val="32"/>
      <w:szCs w:val="32"/>
      <w:lang w:val="zh-CN"/>
    </w:rPr>
  </w:style>
  <w:style w:type="paragraph" w:customStyle="1" w:styleId="493">
    <w:name w:val="节名2"/>
    <w:basedOn w:val="5"/>
    <w:link w:val="492"/>
    <w:qFormat/>
    <w:uiPriority w:val="0"/>
    <w:pPr>
      <w:tabs>
        <w:tab w:val="left" w:pos="0"/>
        <w:tab w:val="left" w:pos="1620"/>
      </w:tabs>
      <w:adjustRightInd w:val="0"/>
      <w:spacing w:beforeLines="100" w:afterLines="100" w:line="360" w:lineRule="auto"/>
      <w:ind w:left="600" w:leftChars="600" w:hanging="200" w:hangingChars="200"/>
      <w:jc w:val="left"/>
      <w:textAlignment w:val="baseline"/>
      <w:outlineLvl w:val="2"/>
    </w:pPr>
    <w:rPr>
      <w:rFonts w:ascii="黑体" w:hAnsiTheme="minorHAnsi" w:cstheme="minorBidi"/>
      <w:snapToGrid/>
      <w:kern w:val="2"/>
      <w:lang w:val="zh-CN"/>
    </w:rPr>
  </w:style>
  <w:style w:type="character" w:customStyle="1" w:styleId="494">
    <w:name w:val="样式 宋体"/>
    <w:qFormat/>
    <w:uiPriority w:val="0"/>
    <w:rPr>
      <w:rFonts w:ascii="宋体" w:hAnsi="宋体" w:eastAsia="宋体"/>
      <w:sz w:val="24"/>
    </w:rPr>
  </w:style>
  <w:style w:type="character" w:customStyle="1" w:styleId="495">
    <w:name w:val="小标题 Char"/>
    <w:link w:val="496"/>
    <w:qFormat/>
    <w:uiPriority w:val="0"/>
    <w:rPr>
      <w:rFonts w:hAnsi="宋体"/>
      <w:b/>
      <w:bCs/>
      <w:sz w:val="24"/>
      <w:szCs w:val="24"/>
    </w:rPr>
  </w:style>
  <w:style w:type="paragraph" w:customStyle="1" w:styleId="496">
    <w:name w:val="小标题"/>
    <w:basedOn w:val="223"/>
    <w:link w:val="495"/>
    <w:qFormat/>
    <w:uiPriority w:val="0"/>
    <w:pPr>
      <w:ind w:firstLine="482"/>
    </w:pPr>
    <w:rPr>
      <w:b/>
    </w:rPr>
  </w:style>
  <w:style w:type="character" w:customStyle="1" w:styleId="497">
    <w:name w:val="已访问的超链接1"/>
    <w:qFormat/>
    <w:uiPriority w:val="0"/>
    <w:rPr>
      <w:color w:val="800080"/>
      <w:u w:val="single"/>
    </w:rPr>
  </w:style>
  <w:style w:type="character" w:customStyle="1" w:styleId="498">
    <w:name w:val="标题 2 Char"/>
    <w:qFormat/>
    <w:uiPriority w:val="9"/>
    <w:rPr>
      <w:rFonts w:ascii="Arial" w:hAnsi="Arial" w:eastAsia="黑体"/>
      <w:b/>
      <w:bCs/>
      <w:sz w:val="32"/>
      <w:szCs w:val="32"/>
    </w:rPr>
  </w:style>
  <w:style w:type="character" w:customStyle="1" w:styleId="499">
    <w:name w:val="Char Char40"/>
    <w:qFormat/>
    <w:uiPriority w:val="0"/>
    <w:rPr>
      <w:rFonts w:ascii="Arial Narrow" w:hAnsi="Arial Narrow" w:eastAsia="黑体"/>
      <w:b/>
      <w:bCs/>
      <w:snapToGrid w:val="0"/>
      <w:sz w:val="30"/>
      <w:szCs w:val="32"/>
      <w:lang w:val="en-US" w:eastAsia="zh-CN" w:bidi="ar-SA"/>
    </w:rPr>
  </w:style>
  <w:style w:type="character" w:customStyle="1" w:styleId="500">
    <w:name w:val="正文（于洪区） Char"/>
    <w:link w:val="501"/>
    <w:qFormat/>
    <w:uiPriority w:val="0"/>
    <w:rPr>
      <w:rFonts w:ascii="仿宋_GB2312" w:eastAsia="仿宋_GB2312"/>
      <w:sz w:val="30"/>
      <w:szCs w:val="30"/>
    </w:rPr>
  </w:style>
  <w:style w:type="paragraph" w:customStyle="1" w:styleId="501">
    <w:name w:val="正文（于洪区）"/>
    <w:basedOn w:val="1"/>
    <w:link w:val="500"/>
    <w:qFormat/>
    <w:uiPriority w:val="0"/>
    <w:pPr>
      <w:spacing w:beforeLines="50" w:afterLines="50"/>
      <w:ind w:firstLine="561" w:firstLineChars="187"/>
    </w:pPr>
    <w:rPr>
      <w:rFonts w:ascii="仿宋_GB2312" w:eastAsia="仿宋_GB2312" w:hAnsiTheme="minorHAnsi" w:cstheme="minorBidi"/>
      <w:sz w:val="30"/>
      <w:szCs w:val="30"/>
    </w:rPr>
  </w:style>
  <w:style w:type="character" w:customStyle="1" w:styleId="502">
    <w:name w:val="图表标题 Char Char Char Char"/>
    <w:qFormat/>
    <w:uiPriority w:val="0"/>
    <w:rPr>
      <w:rFonts w:ascii="Times New Roman" w:hAnsi="Times New Roman" w:eastAsia="楷体_GB2312" w:cs="Times New Roman"/>
      <w:sz w:val="26"/>
      <w:szCs w:val="20"/>
    </w:rPr>
  </w:style>
  <w:style w:type="character" w:customStyle="1" w:styleId="503">
    <w:name w:val="正文文本 3 Char"/>
    <w:semiHidden/>
    <w:qFormat/>
    <w:uiPriority w:val="99"/>
    <w:rPr>
      <w:rFonts w:ascii="Calibri" w:hAnsi="Calibri" w:eastAsia="宋体"/>
      <w:sz w:val="16"/>
      <w:szCs w:val="16"/>
    </w:rPr>
  </w:style>
  <w:style w:type="character" w:customStyle="1" w:styleId="504">
    <w:name w:val="页眉 Char1"/>
    <w:qFormat/>
    <w:uiPriority w:val="99"/>
    <w:rPr>
      <w:rFonts w:ascii="Times New Roman" w:hAnsi="Times New Roman" w:eastAsia="方正仿宋_GBK" w:cs="Times New Roman"/>
      <w:kern w:val="0"/>
      <w:sz w:val="18"/>
      <w:szCs w:val="18"/>
    </w:rPr>
  </w:style>
  <w:style w:type="character" w:customStyle="1" w:styleId="505">
    <w:name w:val="正文首行缩进 2 Char"/>
    <w:semiHidden/>
    <w:qFormat/>
    <w:uiPriority w:val="99"/>
  </w:style>
  <w:style w:type="character" w:customStyle="1" w:styleId="506">
    <w:name w:val="正文define Char"/>
    <w:link w:val="507"/>
    <w:qFormat/>
    <w:uiPriority w:val="0"/>
    <w:rPr>
      <w:sz w:val="24"/>
      <w:szCs w:val="24"/>
    </w:rPr>
  </w:style>
  <w:style w:type="paragraph" w:customStyle="1" w:styleId="507">
    <w:name w:val="正文define"/>
    <w:basedOn w:val="1"/>
    <w:link w:val="506"/>
    <w:qFormat/>
    <w:uiPriority w:val="0"/>
    <w:pPr>
      <w:adjustRightInd w:val="0"/>
      <w:snapToGrid w:val="0"/>
      <w:spacing w:beforeLines="20" w:afterLines="20"/>
    </w:pPr>
    <w:rPr>
      <w:rFonts w:asciiTheme="minorHAnsi" w:hAnsiTheme="minorHAnsi" w:eastAsiaTheme="minorEastAsia" w:cstheme="minorBidi"/>
    </w:rPr>
  </w:style>
  <w:style w:type="character" w:customStyle="1" w:styleId="508">
    <w:name w:val="title13"/>
    <w:qFormat/>
    <w:uiPriority w:val="0"/>
  </w:style>
  <w:style w:type="character" w:customStyle="1" w:styleId="509">
    <w:name w:val="表格文字 Char"/>
    <w:link w:val="510"/>
    <w:qFormat/>
    <w:uiPriority w:val="0"/>
    <w:rPr>
      <w:rFonts w:eastAsia="楷体_GB2312"/>
      <w:sz w:val="24"/>
      <w:szCs w:val="24"/>
    </w:rPr>
  </w:style>
  <w:style w:type="paragraph" w:customStyle="1" w:styleId="510">
    <w:name w:val="表格文字"/>
    <w:basedOn w:val="1"/>
    <w:link w:val="509"/>
    <w:qFormat/>
    <w:uiPriority w:val="0"/>
    <w:pPr>
      <w:jc w:val="center"/>
    </w:pPr>
    <w:rPr>
      <w:rFonts w:eastAsia="楷体_GB2312" w:asciiTheme="minorHAnsi" w:hAnsiTheme="minorHAnsi" w:cstheme="minorBidi"/>
    </w:rPr>
  </w:style>
  <w:style w:type="character" w:customStyle="1" w:styleId="511">
    <w:name w:val="正文文本 Char1"/>
    <w:qFormat/>
    <w:uiPriority w:val="0"/>
    <w:rPr>
      <w:rFonts w:ascii="Times New Roman" w:hAnsi="Times New Roman" w:eastAsia="宋体" w:cs="Times New Roman"/>
      <w:szCs w:val="24"/>
    </w:rPr>
  </w:style>
  <w:style w:type="character" w:customStyle="1" w:styleId="512">
    <w:name w:val="杭州研究报告-正文 Char"/>
    <w:link w:val="513"/>
    <w:qFormat/>
    <w:uiPriority w:val="0"/>
    <w:rPr>
      <w:rFonts w:eastAsia="仿宋_GB2312"/>
      <w:bCs/>
      <w:sz w:val="24"/>
      <w:szCs w:val="21"/>
    </w:rPr>
  </w:style>
  <w:style w:type="paragraph" w:customStyle="1" w:styleId="513">
    <w:name w:val="杭州研究报告-正文"/>
    <w:basedOn w:val="1"/>
    <w:link w:val="512"/>
    <w:qFormat/>
    <w:uiPriority w:val="0"/>
    <w:pPr>
      <w:spacing w:line="480" w:lineRule="exact"/>
      <w:ind w:firstLine="480"/>
    </w:pPr>
    <w:rPr>
      <w:rFonts w:eastAsia="仿宋_GB2312" w:asciiTheme="minorHAnsi" w:hAnsiTheme="minorHAnsi" w:cstheme="minorBidi"/>
      <w:bCs/>
      <w:szCs w:val="21"/>
    </w:rPr>
  </w:style>
  <w:style w:type="character" w:customStyle="1" w:styleId="514">
    <w:name w:val="0001 Char"/>
    <w:link w:val="515"/>
    <w:qFormat/>
    <w:locked/>
    <w:uiPriority w:val="0"/>
    <w:rPr>
      <w:rFonts w:ascii="宋体" w:hAnsi="宋体"/>
      <w:b/>
      <w:sz w:val="36"/>
      <w:szCs w:val="36"/>
    </w:rPr>
  </w:style>
  <w:style w:type="paragraph" w:customStyle="1" w:styleId="515">
    <w:name w:val="0001"/>
    <w:basedOn w:val="1"/>
    <w:link w:val="514"/>
    <w:qFormat/>
    <w:uiPriority w:val="0"/>
    <w:pPr>
      <w:spacing w:beforeLines="100" w:afterLines="100" w:line="560" w:lineRule="exact"/>
      <w:jc w:val="left"/>
      <w:outlineLvl w:val="0"/>
    </w:pPr>
    <w:rPr>
      <w:rFonts w:ascii="宋体" w:hAnsi="宋体" w:eastAsiaTheme="minorEastAsia" w:cstheme="minorBidi"/>
      <w:b/>
      <w:sz w:val="36"/>
      <w:szCs w:val="36"/>
    </w:rPr>
  </w:style>
  <w:style w:type="character" w:customStyle="1" w:styleId="516">
    <w:name w:val="文档结构图 Char"/>
    <w:qFormat/>
    <w:uiPriority w:val="99"/>
    <w:rPr>
      <w:rFonts w:ascii="宋体" w:hAnsi="Calibri" w:eastAsia="宋体"/>
      <w:sz w:val="18"/>
      <w:szCs w:val="18"/>
    </w:rPr>
  </w:style>
  <w:style w:type="character" w:customStyle="1" w:styleId="517">
    <w:name w:val="结束语 Char4"/>
    <w:qFormat/>
    <w:uiPriority w:val="99"/>
    <w:rPr>
      <w:szCs w:val="24"/>
    </w:rPr>
  </w:style>
  <w:style w:type="character" w:customStyle="1" w:styleId="518">
    <w:name w:val="信息标题 字符1"/>
    <w:qFormat/>
    <w:uiPriority w:val="99"/>
    <w:rPr>
      <w:rFonts w:ascii="等线 Light" w:hAnsi="等线 Light" w:eastAsia="等线 Light" w:cs="Times New Roman"/>
      <w:sz w:val="24"/>
      <w:szCs w:val="24"/>
      <w:shd w:val="pct20" w:color="auto" w:fill="auto"/>
    </w:rPr>
  </w:style>
  <w:style w:type="character" w:customStyle="1" w:styleId="519">
    <w:name w:val="表格 Char1"/>
    <w:qFormat/>
    <w:uiPriority w:val="0"/>
    <w:rPr>
      <w:rFonts w:ascii="Times New Roman" w:hAnsi="宋体" w:eastAsia="宋体" w:cs="Times New Roman"/>
      <w:szCs w:val="24"/>
    </w:rPr>
  </w:style>
  <w:style w:type="character" w:customStyle="1" w:styleId="520">
    <w:name w:val="注释标题 Char4"/>
    <w:qFormat/>
    <w:uiPriority w:val="99"/>
    <w:rPr>
      <w:szCs w:val="24"/>
    </w:rPr>
  </w:style>
  <w:style w:type="character" w:customStyle="1" w:styleId="521">
    <w:name w:val="正文文本 2 字符1"/>
    <w:semiHidden/>
    <w:qFormat/>
    <w:uiPriority w:val="99"/>
    <w:rPr>
      <w:rFonts w:ascii="Times New Roman" w:hAnsi="Times New Roman" w:eastAsia="宋体" w:cs="Times New Roman"/>
      <w:sz w:val="24"/>
      <w:szCs w:val="24"/>
    </w:rPr>
  </w:style>
  <w:style w:type="character" w:customStyle="1" w:styleId="522">
    <w:name w:val="p91"/>
    <w:qFormat/>
    <w:uiPriority w:val="0"/>
    <w:rPr>
      <w:rFonts w:hint="default" w:ascii="ˎ̥" w:hAnsi="ˎ̥"/>
      <w:sz w:val="21"/>
      <w:szCs w:val="21"/>
    </w:rPr>
  </w:style>
  <w:style w:type="character" w:customStyle="1" w:styleId="523">
    <w:name w:val="表字居中 Char"/>
    <w:link w:val="524"/>
    <w:qFormat/>
    <w:uiPriority w:val="0"/>
    <w:rPr>
      <w:rFonts w:eastAsia="宋体"/>
      <w:spacing w:val="-4"/>
      <w:kern w:val="44"/>
      <w:szCs w:val="21"/>
    </w:rPr>
  </w:style>
  <w:style w:type="paragraph" w:customStyle="1" w:styleId="524">
    <w:name w:val="表字居中"/>
    <w:basedOn w:val="1"/>
    <w:link w:val="523"/>
    <w:qFormat/>
    <w:uiPriority w:val="0"/>
    <w:pPr>
      <w:jc w:val="center"/>
    </w:pPr>
    <w:rPr>
      <w:rFonts w:asciiTheme="minorHAnsi" w:hAnsiTheme="minorHAnsi" w:cstheme="minorBidi"/>
      <w:spacing w:val="-4"/>
      <w:kern w:val="44"/>
      <w:sz w:val="21"/>
      <w:szCs w:val="21"/>
    </w:rPr>
  </w:style>
  <w:style w:type="character" w:customStyle="1" w:styleId="525">
    <w:name w:val="正文 仿宋 小三 Char"/>
    <w:link w:val="526"/>
    <w:qFormat/>
    <w:uiPriority w:val="0"/>
    <w:rPr>
      <w:rFonts w:eastAsia="仿宋"/>
      <w:sz w:val="28"/>
      <w:szCs w:val="30"/>
    </w:rPr>
  </w:style>
  <w:style w:type="paragraph" w:customStyle="1" w:styleId="526">
    <w:name w:val="正文 仿宋 小三"/>
    <w:basedOn w:val="1"/>
    <w:link w:val="525"/>
    <w:qFormat/>
    <w:uiPriority w:val="0"/>
    <w:pPr>
      <w:adjustRightInd w:val="0"/>
      <w:ind w:firstLine="600"/>
      <w:jc w:val="left"/>
    </w:pPr>
    <w:rPr>
      <w:rFonts w:eastAsia="仿宋" w:asciiTheme="minorHAnsi" w:hAnsiTheme="minorHAnsi" w:cstheme="minorBidi"/>
      <w:sz w:val="28"/>
      <w:szCs w:val="30"/>
    </w:rPr>
  </w:style>
  <w:style w:type="character" w:customStyle="1" w:styleId="527">
    <w:name w:val="Char Char3"/>
    <w:qFormat/>
    <w:uiPriority w:val="0"/>
    <w:rPr>
      <w:rFonts w:ascii="Arial" w:hAnsi="Arial" w:eastAsia="黑体"/>
      <w:b/>
      <w:bCs/>
      <w:sz w:val="28"/>
      <w:szCs w:val="28"/>
      <w:lang w:val="en-US" w:eastAsia="zh-CN" w:bidi="ar-SA"/>
    </w:rPr>
  </w:style>
  <w:style w:type="character" w:customStyle="1" w:styleId="528">
    <w:name w:val="Char Char39"/>
    <w:qFormat/>
    <w:uiPriority w:val="0"/>
    <w:rPr>
      <w:rFonts w:eastAsia="宋体"/>
      <w:b/>
      <w:bCs/>
      <w:snapToGrid w:val="0"/>
      <w:sz w:val="24"/>
      <w:szCs w:val="24"/>
      <w:lang w:val="en-US" w:eastAsia="zh-CN" w:bidi="ar-SA"/>
    </w:rPr>
  </w:style>
  <w:style w:type="character" w:customStyle="1" w:styleId="529">
    <w:name w:val="Char Char18"/>
    <w:qFormat/>
    <w:uiPriority w:val="0"/>
    <w:rPr>
      <w:rFonts w:ascii="Arial" w:hAnsi="Arial" w:eastAsia="黑体"/>
      <w:b/>
      <w:bCs/>
      <w:kern w:val="2"/>
      <w:sz w:val="24"/>
      <w:szCs w:val="24"/>
      <w:lang w:val="en-US" w:eastAsia="zh-CN" w:bidi="ar-SA"/>
    </w:rPr>
  </w:style>
  <w:style w:type="character" w:customStyle="1" w:styleId="530">
    <w:name w:val="纯文本 Char1"/>
    <w:qFormat/>
    <w:uiPriority w:val="99"/>
    <w:rPr>
      <w:rFonts w:ascii="宋体" w:hAnsi="Courier New" w:eastAsia="宋体" w:cs="Courier New"/>
      <w:szCs w:val="21"/>
    </w:rPr>
  </w:style>
  <w:style w:type="character" w:customStyle="1" w:styleId="531">
    <w:name w:val="标题 9 Char1"/>
    <w:qFormat/>
    <w:uiPriority w:val="9"/>
    <w:rPr>
      <w:rFonts w:ascii="Cambria" w:hAnsi="Cambria" w:eastAsia="宋体" w:cs="Times New Roman"/>
      <w:kern w:val="0"/>
      <w:sz w:val="20"/>
      <w:szCs w:val="21"/>
    </w:rPr>
  </w:style>
  <w:style w:type="character" w:customStyle="1" w:styleId="532">
    <w:name w:val="Char Char123"/>
    <w:qFormat/>
    <w:uiPriority w:val="0"/>
    <w:rPr>
      <w:rFonts w:ascii="Times New Roman" w:hAnsi="Times New Roman"/>
      <w:kern w:val="2"/>
      <w:sz w:val="24"/>
      <w:szCs w:val="24"/>
    </w:rPr>
  </w:style>
  <w:style w:type="character" w:customStyle="1" w:styleId="533">
    <w:name w:val="文档结构图 Char1"/>
    <w:qFormat/>
    <w:uiPriority w:val="99"/>
    <w:rPr>
      <w:rFonts w:ascii="宋体" w:hAnsi="Times New Roman" w:eastAsia="宋体" w:cs="Times New Roman"/>
      <w:kern w:val="0"/>
      <w:sz w:val="18"/>
      <w:szCs w:val="18"/>
    </w:rPr>
  </w:style>
  <w:style w:type="character" w:customStyle="1" w:styleId="534">
    <w:name w:val="正文1 Char Char"/>
    <w:link w:val="535"/>
    <w:qFormat/>
    <w:uiPriority w:val="0"/>
    <w:rPr>
      <w:sz w:val="24"/>
      <w:szCs w:val="24"/>
    </w:rPr>
  </w:style>
  <w:style w:type="paragraph" w:customStyle="1" w:styleId="535">
    <w:name w:val="正文1"/>
    <w:basedOn w:val="1"/>
    <w:link w:val="534"/>
    <w:qFormat/>
    <w:uiPriority w:val="0"/>
    <w:pPr>
      <w:ind w:firstLine="480"/>
    </w:pPr>
    <w:rPr>
      <w:rFonts w:asciiTheme="minorHAnsi" w:hAnsiTheme="minorHAnsi" w:eastAsiaTheme="minorEastAsia" w:cstheme="minorBidi"/>
    </w:rPr>
  </w:style>
  <w:style w:type="character" w:customStyle="1" w:styleId="536">
    <w:name w:val="标题 1 Char"/>
    <w:qFormat/>
    <w:uiPriority w:val="9"/>
    <w:rPr>
      <w:rFonts w:ascii="Times New Roman" w:hAnsi="Times New Roman" w:eastAsia="黑体" w:cs="Times New Roman"/>
      <w:b/>
      <w:color w:val="000000"/>
      <w:kern w:val="0"/>
      <w:sz w:val="28"/>
      <w:szCs w:val="28"/>
    </w:rPr>
  </w:style>
  <w:style w:type="character" w:customStyle="1" w:styleId="537">
    <w:name w:val="apple-converted-space"/>
    <w:qFormat/>
    <w:uiPriority w:val="0"/>
  </w:style>
  <w:style w:type="character" w:customStyle="1" w:styleId="538">
    <w:name w:val="Char Char16"/>
    <w:qFormat/>
    <w:uiPriority w:val="0"/>
    <w:rPr>
      <w:rFonts w:ascii="Arial" w:hAnsi="Arial" w:eastAsia="黑体"/>
      <w:sz w:val="28"/>
      <w:szCs w:val="24"/>
      <w:lang w:val="en-US" w:eastAsia="zh-CN" w:bidi="ar-SA"/>
    </w:rPr>
  </w:style>
  <w:style w:type="character" w:customStyle="1" w:styleId="539">
    <w:name w:val="副标题 Char2"/>
    <w:qFormat/>
    <w:uiPriority w:val="0"/>
    <w:rPr>
      <w:rFonts w:ascii="Cambria" w:hAnsi="Cambria" w:eastAsia="宋体" w:cs="Times New Roman"/>
      <w:b/>
      <w:bCs/>
      <w:kern w:val="28"/>
      <w:sz w:val="32"/>
      <w:szCs w:val="32"/>
    </w:rPr>
  </w:style>
  <w:style w:type="character" w:customStyle="1" w:styleId="540">
    <w:name w:val="font31"/>
    <w:qFormat/>
    <w:uiPriority w:val="0"/>
    <w:rPr>
      <w:rFonts w:hint="default" w:ascii="Times New Roman" w:hAnsi="Times New Roman" w:cs="Times New Roman"/>
      <w:color w:val="000000"/>
      <w:sz w:val="20"/>
      <w:szCs w:val="20"/>
      <w:u w:val="none"/>
    </w:rPr>
  </w:style>
  <w:style w:type="character" w:customStyle="1" w:styleId="541">
    <w:name w:val="Char Char12"/>
    <w:qFormat/>
    <w:uiPriority w:val="0"/>
    <w:rPr>
      <w:rFonts w:ascii="Times New Roman" w:hAnsi="Times New Roman"/>
      <w:kern w:val="2"/>
      <w:sz w:val="24"/>
      <w:szCs w:val="24"/>
    </w:rPr>
  </w:style>
  <w:style w:type="character" w:customStyle="1" w:styleId="542">
    <w:name w:val="font51"/>
    <w:qFormat/>
    <w:uiPriority w:val="0"/>
    <w:rPr>
      <w:rFonts w:hint="eastAsia" w:ascii="宋体" w:hAnsi="宋体" w:eastAsia="宋体"/>
      <w:color w:val="000000"/>
      <w:sz w:val="21"/>
      <w:szCs w:val="21"/>
    </w:rPr>
  </w:style>
  <w:style w:type="character" w:customStyle="1" w:styleId="543">
    <w:name w:val="EmailStyle1661"/>
    <w:qFormat/>
    <w:uiPriority w:val="0"/>
    <w:rPr>
      <w:rFonts w:ascii="Arial" w:hAnsi="Arial" w:eastAsia="宋体" w:cs="Arial"/>
      <w:color w:val="auto"/>
      <w:sz w:val="20"/>
    </w:rPr>
  </w:style>
  <w:style w:type="character" w:customStyle="1" w:styleId="544">
    <w:name w:val="bds_more"/>
    <w:qFormat/>
    <w:uiPriority w:val="0"/>
  </w:style>
  <w:style w:type="character" w:customStyle="1" w:styleId="545">
    <w:name w:val="不明显参考12"/>
    <w:qFormat/>
    <w:uiPriority w:val="31"/>
    <w:rPr>
      <w:smallCaps/>
    </w:rPr>
  </w:style>
  <w:style w:type="character" w:customStyle="1" w:styleId="546">
    <w:name w:val="Char Char11"/>
    <w:semiHidden/>
    <w:qFormat/>
    <w:uiPriority w:val="0"/>
    <w:rPr>
      <w:rFonts w:eastAsia="宋体"/>
      <w:kern w:val="2"/>
      <w:sz w:val="21"/>
      <w:szCs w:val="24"/>
      <w:lang w:val="en-US" w:eastAsia="zh-CN" w:bidi="ar-SA"/>
    </w:rPr>
  </w:style>
  <w:style w:type="character" w:customStyle="1" w:styleId="547">
    <w:name w:val="Comment Text Char1"/>
    <w:semiHidden/>
    <w:qFormat/>
    <w:locked/>
    <w:uiPriority w:val="99"/>
    <w:rPr>
      <w:rFonts w:eastAsia="方正仿宋_GBK" w:cs="Times New Roman"/>
      <w:kern w:val="0"/>
      <w:sz w:val="20"/>
      <w:szCs w:val="20"/>
    </w:rPr>
  </w:style>
  <w:style w:type="character" w:customStyle="1" w:styleId="548">
    <w:name w:val="标题 6 Char"/>
    <w:qFormat/>
    <w:uiPriority w:val="9"/>
    <w:rPr>
      <w:rFonts w:ascii="Cambria" w:hAnsi="Cambria" w:eastAsia="宋体"/>
      <w:b/>
      <w:bCs/>
      <w:sz w:val="24"/>
      <w:szCs w:val="24"/>
    </w:rPr>
  </w:style>
  <w:style w:type="character" w:customStyle="1" w:styleId="549">
    <w:name w:val="明显引用 Char1"/>
    <w:qFormat/>
    <w:locked/>
    <w:uiPriority w:val="99"/>
    <w:rPr>
      <w:rFonts w:ascii="Times New Roman" w:hAnsi="Times New Roman" w:eastAsia="宋体"/>
      <w:b/>
      <w:bCs/>
      <w:i/>
      <w:iCs/>
      <w:sz w:val="24"/>
    </w:rPr>
  </w:style>
  <w:style w:type="character" w:customStyle="1" w:styleId="550">
    <w:name w:val="正文首行缩进 2 字符1"/>
    <w:semiHidden/>
    <w:qFormat/>
    <w:uiPriority w:val="99"/>
    <w:rPr>
      <w:rFonts w:ascii="Times New Roman" w:hAnsi="Times New Roman" w:eastAsia="宋体" w:cs="Times New Roman"/>
      <w:sz w:val="24"/>
      <w:szCs w:val="24"/>
    </w:rPr>
  </w:style>
  <w:style w:type="character" w:customStyle="1" w:styleId="551">
    <w:name w:val="ftitle1"/>
    <w:qFormat/>
    <w:uiPriority w:val="0"/>
    <w:rPr>
      <w:b/>
      <w:bCs/>
      <w:color w:val="000000"/>
      <w:sz w:val="35"/>
      <w:szCs w:val="35"/>
    </w:rPr>
  </w:style>
  <w:style w:type="character" w:customStyle="1" w:styleId="552">
    <w:name w:val="Char Char41"/>
    <w:qFormat/>
    <w:uiPriority w:val="0"/>
    <w:rPr>
      <w:rFonts w:cs="Times New Roman"/>
      <w:b/>
      <w:bCs/>
      <w:snapToGrid w:val="0"/>
      <w:sz w:val="24"/>
      <w:szCs w:val="24"/>
    </w:rPr>
  </w:style>
  <w:style w:type="character" w:customStyle="1" w:styleId="553">
    <w:name w:val="标题 5 Char"/>
    <w:qFormat/>
    <w:uiPriority w:val="9"/>
    <w:rPr>
      <w:rFonts w:ascii="Calibri" w:hAnsi="Calibri" w:eastAsia="宋体"/>
      <w:b/>
      <w:bCs/>
      <w:sz w:val="28"/>
      <w:szCs w:val="28"/>
    </w:rPr>
  </w:style>
  <w:style w:type="character" w:customStyle="1" w:styleId="554">
    <w:name w:val="EmailStyle150"/>
    <w:qFormat/>
    <w:uiPriority w:val="0"/>
    <w:rPr>
      <w:rFonts w:hint="default" w:ascii="Arial" w:hAnsi="Arial" w:eastAsia="宋体" w:cs="Arial"/>
      <w:color w:val="auto"/>
      <w:sz w:val="20"/>
    </w:rPr>
  </w:style>
  <w:style w:type="character" w:customStyle="1" w:styleId="555">
    <w:name w:val="正文文本 3 Char1"/>
    <w:semiHidden/>
    <w:qFormat/>
    <w:uiPriority w:val="99"/>
    <w:rPr>
      <w:rFonts w:ascii="Times New Roman" w:hAnsi="Times New Roman" w:eastAsia="宋体" w:cs="Times New Roman"/>
      <w:sz w:val="16"/>
      <w:szCs w:val="16"/>
    </w:rPr>
  </w:style>
  <w:style w:type="character" w:customStyle="1" w:styleId="556">
    <w:name w:val="正文首行缩进 2 Char3"/>
    <w:qFormat/>
    <w:uiPriority w:val="99"/>
    <w:rPr>
      <w:rFonts w:ascii="Calibri" w:hAnsi="Calibri"/>
      <w:szCs w:val="21"/>
    </w:rPr>
  </w:style>
  <w:style w:type="character" w:customStyle="1" w:styleId="557">
    <w:name w:val="样式1 Char Char"/>
    <w:qFormat/>
    <w:uiPriority w:val="0"/>
    <w:rPr>
      <w:rFonts w:ascii="Cambria" w:hAnsi="Cambria" w:cs="宋体"/>
      <w:b/>
      <w:bCs/>
      <w:color w:val="000000"/>
      <w:kern w:val="0"/>
      <w:sz w:val="30"/>
      <w:szCs w:val="28"/>
      <w:lang w:val="en-US" w:eastAsia="zh-CN" w:bidi="ar-SA"/>
    </w:rPr>
  </w:style>
  <w:style w:type="character" w:customStyle="1" w:styleId="558">
    <w:name w:val="批注框文本 字符1"/>
    <w:semiHidden/>
    <w:qFormat/>
    <w:uiPriority w:val="99"/>
    <w:rPr>
      <w:rFonts w:ascii="Times New Roman" w:hAnsi="Times New Roman" w:eastAsia="方正仿宋_GBK" w:cs="Times New Roman"/>
      <w:kern w:val="0"/>
      <w:sz w:val="18"/>
      <w:szCs w:val="18"/>
    </w:rPr>
  </w:style>
  <w:style w:type="character" w:customStyle="1" w:styleId="559">
    <w:name w:val="apple-style-span"/>
    <w:qFormat/>
    <w:uiPriority w:val="0"/>
  </w:style>
  <w:style w:type="character" w:customStyle="1" w:styleId="560">
    <w:name w:val="z-窗体底端 Char"/>
    <w:link w:val="561"/>
    <w:qFormat/>
    <w:uiPriority w:val="99"/>
    <w:rPr>
      <w:rFonts w:ascii="Arial" w:hAnsi="Arial" w:cs="Arial"/>
      <w:vanish/>
      <w:sz w:val="16"/>
      <w:szCs w:val="16"/>
    </w:rPr>
  </w:style>
  <w:style w:type="paragraph" w:customStyle="1" w:styleId="561">
    <w:name w:val="z-窗体底端11"/>
    <w:basedOn w:val="1"/>
    <w:next w:val="1"/>
    <w:link w:val="560"/>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562">
    <w:name w:val="pl1"/>
    <w:qFormat/>
    <w:uiPriority w:val="0"/>
  </w:style>
  <w:style w:type="character" w:customStyle="1" w:styleId="563">
    <w:name w:val="javascript"/>
    <w:qFormat/>
    <w:uiPriority w:val="0"/>
  </w:style>
  <w:style w:type="character" w:customStyle="1" w:styleId="564">
    <w:name w:val="标题 3 Char3"/>
    <w:qFormat/>
    <w:uiPriority w:val="9"/>
    <w:rPr>
      <w:rFonts w:ascii="Times New Roman" w:hAnsi="Times New Roman" w:eastAsia="宋体" w:cs="Times New Roman"/>
      <w:b/>
      <w:bCs/>
      <w:sz w:val="32"/>
      <w:szCs w:val="32"/>
    </w:rPr>
  </w:style>
  <w:style w:type="character" w:customStyle="1" w:styleId="565">
    <w:name w:val="注释 Char"/>
    <w:link w:val="566"/>
    <w:qFormat/>
    <w:uiPriority w:val="0"/>
    <w:rPr>
      <w:color w:val="000000"/>
      <w:sz w:val="18"/>
      <w:szCs w:val="18"/>
    </w:rPr>
  </w:style>
  <w:style w:type="paragraph" w:customStyle="1" w:styleId="566">
    <w:name w:val="注释"/>
    <w:basedOn w:val="1"/>
    <w:link w:val="565"/>
    <w:qFormat/>
    <w:uiPriority w:val="0"/>
    <w:pPr>
      <w:ind w:firstLine="360"/>
    </w:pPr>
    <w:rPr>
      <w:rFonts w:asciiTheme="minorHAnsi" w:hAnsiTheme="minorHAnsi" w:eastAsiaTheme="minorEastAsia" w:cstheme="minorBidi"/>
      <w:color w:val="000000"/>
      <w:sz w:val="18"/>
      <w:szCs w:val="18"/>
    </w:rPr>
  </w:style>
  <w:style w:type="character" w:customStyle="1" w:styleId="567">
    <w:name w:val="Footer Char1"/>
    <w:semiHidden/>
    <w:qFormat/>
    <w:locked/>
    <w:uiPriority w:val="99"/>
    <w:rPr>
      <w:rFonts w:eastAsia="方正仿宋_GBK" w:cs="Times New Roman"/>
      <w:kern w:val="0"/>
      <w:sz w:val="18"/>
      <w:szCs w:val="18"/>
    </w:rPr>
  </w:style>
  <w:style w:type="character" w:customStyle="1" w:styleId="568">
    <w:name w:val="标题2 Char"/>
    <w:link w:val="569"/>
    <w:qFormat/>
    <w:uiPriority w:val="99"/>
    <w:rPr>
      <w:rFonts w:ascii="Times New Roman" w:hAnsi="Times New Roman" w:eastAsia="方正楷体_GBK" w:cs="Times New Roman"/>
      <w:snapToGrid w:val="0"/>
      <w:kern w:val="0"/>
      <w:sz w:val="32"/>
      <w:szCs w:val="20"/>
    </w:rPr>
  </w:style>
  <w:style w:type="paragraph" w:customStyle="1" w:styleId="569">
    <w:name w:val="标题2"/>
    <w:basedOn w:val="1"/>
    <w:next w:val="1"/>
    <w:link w:val="568"/>
    <w:qFormat/>
    <w:uiPriority w:val="99"/>
    <w:pPr>
      <w:autoSpaceDE w:val="0"/>
      <w:autoSpaceDN w:val="0"/>
      <w:snapToGrid w:val="0"/>
      <w:spacing w:line="590" w:lineRule="atLeast"/>
      <w:jc w:val="center"/>
    </w:pPr>
    <w:rPr>
      <w:rFonts w:eastAsia="方正楷体_GBK"/>
      <w:snapToGrid w:val="0"/>
      <w:kern w:val="0"/>
      <w:sz w:val="32"/>
      <w:szCs w:val="20"/>
    </w:rPr>
  </w:style>
  <w:style w:type="character" w:customStyle="1" w:styleId="570">
    <w:name w:val="明显强调12"/>
    <w:qFormat/>
    <w:uiPriority w:val="21"/>
    <w:rPr>
      <w:b/>
      <w:bCs/>
    </w:rPr>
  </w:style>
  <w:style w:type="character" w:customStyle="1" w:styleId="571">
    <w:name w:val="书籍标题12"/>
    <w:qFormat/>
    <w:uiPriority w:val="33"/>
    <w:rPr>
      <w:i/>
      <w:iCs/>
      <w:smallCaps/>
      <w:spacing w:val="5"/>
    </w:rPr>
  </w:style>
  <w:style w:type="character" w:customStyle="1" w:styleId="572">
    <w:name w:val="t_blue_01"/>
    <w:qFormat/>
    <w:uiPriority w:val="0"/>
  </w:style>
  <w:style w:type="character" w:customStyle="1" w:styleId="573">
    <w:name w:val="页眉或页脚_"/>
    <w:qFormat/>
    <w:uiPriority w:val="0"/>
    <w:rPr>
      <w:rFonts w:ascii="Georgia" w:hAnsi="Georgia" w:eastAsia="Georgia" w:cs="Georgia"/>
      <w:sz w:val="8"/>
      <w:szCs w:val="8"/>
      <w:u w:val="none"/>
    </w:rPr>
  </w:style>
  <w:style w:type="character" w:customStyle="1" w:styleId="574">
    <w:name w:val="标题 4 Char1"/>
    <w:qFormat/>
    <w:uiPriority w:val="0"/>
    <w:rPr>
      <w:rFonts w:ascii="宋体" w:hAnsi="宋体" w:eastAsia="宋体"/>
      <w:b/>
      <w:color w:val="000000"/>
      <w:sz w:val="30"/>
      <w:szCs w:val="30"/>
      <w:lang w:bidi="ar-SA"/>
    </w:rPr>
  </w:style>
  <w:style w:type="character" w:customStyle="1" w:styleId="575">
    <w:name w:val="EmailStyle151"/>
    <w:qFormat/>
    <w:uiPriority w:val="0"/>
    <w:rPr>
      <w:rFonts w:hint="default" w:ascii="Arial" w:hAnsi="Arial" w:eastAsia="宋体" w:cs="Arial"/>
      <w:color w:val="auto"/>
      <w:sz w:val="20"/>
    </w:rPr>
  </w:style>
  <w:style w:type="character" w:customStyle="1" w:styleId="576">
    <w:name w:val="批注框文本 Char1"/>
    <w:qFormat/>
    <w:uiPriority w:val="99"/>
    <w:rPr>
      <w:rFonts w:ascii="Times New Roman" w:hAnsi="Times New Roman" w:eastAsia="方正仿宋_GBK" w:cs="Times New Roman"/>
      <w:kern w:val="0"/>
      <w:sz w:val="18"/>
      <w:szCs w:val="18"/>
    </w:rPr>
  </w:style>
  <w:style w:type="character" w:customStyle="1" w:styleId="577">
    <w:name w:val="信息标题 Char4"/>
    <w:qFormat/>
    <w:uiPriority w:val="99"/>
    <w:rPr>
      <w:rFonts w:ascii="Cambria" w:hAnsi="Cambria" w:eastAsia="宋体" w:cs="Times New Roman"/>
      <w:sz w:val="24"/>
      <w:szCs w:val="24"/>
      <w:shd w:val="pct20" w:color="auto" w:fill="auto"/>
    </w:rPr>
  </w:style>
  <w:style w:type="character" w:customStyle="1" w:styleId="578">
    <w:name w:val="z-窗体底端 Char2"/>
    <w:semiHidden/>
    <w:qFormat/>
    <w:uiPriority w:val="99"/>
    <w:rPr>
      <w:rFonts w:hint="default" w:ascii="Arial" w:hAnsi="Arial" w:cs="Arial"/>
      <w:vanish/>
      <w:kern w:val="2"/>
      <w:sz w:val="16"/>
      <w:szCs w:val="16"/>
    </w:rPr>
  </w:style>
  <w:style w:type="character" w:customStyle="1" w:styleId="579">
    <w:name w:val="content"/>
    <w:qFormat/>
    <w:uiPriority w:val="0"/>
  </w:style>
  <w:style w:type="character" w:customStyle="1" w:styleId="580">
    <w:name w:val="font141"/>
    <w:qFormat/>
    <w:uiPriority w:val="0"/>
    <w:rPr>
      <w:rFonts w:hint="eastAsia" w:ascii="宋体" w:hAnsi="宋体" w:eastAsia="宋体" w:cs="宋体"/>
      <w:b/>
      <w:color w:val="000000"/>
      <w:sz w:val="24"/>
      <w:szCs w:val="24"/>
      <w:u w:val="none"/>
    </w:rPr>
  </w:style>
  <w:style w:type="character" w:customStyle="1" w:styleId="581">
    <w:name w:val="标题 8 Char1"/>
    <w:qFormat/>
    <w:uiPriority w:val="9"/>
    <w:rPr>
      <w:rFonts w:ascii="Cambria" w:hAnsi="Cambria" w:eastAsia="宋体" w:cs="Times New Roman"/>
      <w:kern w:val="0"/>
      <w:sz w:val="24"/>
      <w:szCs w:val="24"/>
    </w:rPr>
  </w:style>
  <w:style w:type="character" w:customStyle="1" w:styleId="582">
    <w:name w:val="签名 Char4"/>
    <w:qFormat/>
    <w:uiPriority w:val="99"/>
    <w:rPr>
      <w:szCs w:val="24"/>
    </w:rPr>
  </w:style>
  <w:style w:type="character" w:customStyle="1" w:styleId="583">
    <w:name w:val="正文文本缩进 3 Char1"/>
    <w:semiHidden/>
    <w:qFormat/>
    <w:uiPriority w:val="99"/>
    <w:rPr>
      <w:kern w:val="2"/>
      <w:sz w:val="16"/>
      <w:szCs w:val="16"/>
    </w:rPr>
  </w:style>
  <w:style w:type="character" w:customStyle="1" w:styleId="584">
    <w:name w:val="style11"/>
    <w:qFormat/>
    <w:uiPriority w:val="0"/>
    <w:rPr>
      <w:b/>
      <w:bCs/>
      <w:sz w:val="27"/>
      <w:szCs w:val="27"/>
    </w:rPr>
  </w:style>
  <w:style w:type="character" w:customStyle="1" w:styleId="585">
    <w:name w:val="称呼 Char1"/>
    <w:qFormat/>
    <w:uiPriority w:val="0"/>
    <w:rPr>
      <w:rFonts w:ascii="Times New Roman" w:hAnsi="Times New Roman" w:eastAsia="宋体" w:cs="Times New Roman"/>
      <w:szCs w:val="24"/>
    </w:rPr>
  </w:style>
  <w:style w:type="character" w:customStyle="1" w:styleId="586">
    <w:name w:val="样式3 Char"/>
    <w:link w:val="587"/>
    <w:qFormat/>
    <w:locked/>
    <w:uiPriority w:val="0"/>
    <w:rPr>
      <w:rFonts w:ascii="Times New Roman" w:hAnsi="Times New Roman" w:eastAsia="宋体" w:cs="Times New Roman"/>
      <w:kern w:val="0"/>
      <w:szCs w:val="24"/>
    </w:rPr>
  </w:style>
  <w:style w:type="paragraph" w:customStyle="1" w:styleId="587">
    <w:name w:val="样式3"/>
    <w:basedOn w:val="1"/>
    <w:link w:val="586"/>
    <w:qFormat/>
    <w:uiPriority w:val="0"/>
    <w:pPr>
      <w:spacing w:line="240" w:lineRule="auto"/>
      <w:ind w:firstLine="240"/>
    </w:pPr>
    <w:rPr>
      <w:kern w:val="0"/>
      <w:sz w:val="21"/>
    </w:rPr>
  </w:style>
  <w:style w:type="character" w:customStyle="1" w:styleId="588">
    <w:name w:val="EmailStyle1461"/>
    <w:qFormat/>
    <w:uiPriority w:val="0"/>
    <w:rPr>
      <w:rFonts w:ascii="Arial" w:hAnsi="Arial" w:eastAsia="宋体" w:cs="Arial"/>
      <w:color w:val="auto"/>
      <w:sz w:val="20"/>
    </w:rPr>
  </w:style>
  <w:style w:type="character" w:customStyle="1" w:styleId="589">
    <w:name w:val="Char Char8"/>
    <w:qFormat/>
    <w:uiPriority w:val="0"/>
    <w:rPr>
      <w:rFonts w:ascii="宋体" w:hAnsi="Courier New" w:eastAsia="宋体"/>
      <w:kern w:val="2"/>
      <w:sz w:val="21"/>
      <w:lang w:val="en-US" w:eastAsia="zh-CN" w:bidi="ar-SA"/>
    </w:rPr>
  </w:style>
  <w:style w:type="character" w:customStyle="1" w:styleId="590">
    <w:name w:val="正文文本缩进 3 字符1"/>
    <w:qFormat/>
    <w:uiPriority w:val="99"/>
    <w:rPr>
      <w:rFonts w:ascii="Times New Roman" w:hAnsi="Times New Roman" w:eastAsia="宋体" w:cs="Times New Roman"/>
      <w:sz w:val="16"/>
      <w:szCs w:val="16"/>
    </w:rPr>
  </w:style>
  <w:style w:type="character" w:customStyle="1" w:styleId="591">
    <w:name w:val="wz1"/>
    <w:qFormat/>
    <w:uiPriority w:val="0"/>
    <w:rPr>
      <w:rFonts w:hint="default" w:ascii="ˎ̥" w:hAnsi="ˎ̥"/>
      <w:color w:val="000000"/>
      <w:sz w:val="22"/>
      <w:szCs w:val="22"/>
    </w:rPr>
  </w:style>
  <w:style w:type="character" w:customStyle="1" w:styleId="592">
    <w:name w:val="contenttext11"/>
    <w:qFormat/>
    <w:uiPriority w:val="0"/>
    <w:rPr>
      <w:rFonts w:hint="eastAsia" w:ascii="宋体" w:hAnsi="宋体" w:eastAsia="宋体"/>
      <w:sz w:val="20"/>
      <w:szCs w:val="20"/>
    </w:rPr>
  </w:style>
  <w:style w:type="character" w:customStyle="1" w:styleId="593">
    <w:name w:val="条款7月 Char"/>
    <w:link w:val="594"/>
    <w:qFormat/>
    <w:uiPriority w:val="0"/>
    <w:rPr>
      <w:sz w:val="24"/>
      <w:szCs w:val="24"/>
    </w:rPr>
  </w:style>
  <w:style w:type="paragraph" w:customStyle="1" w:styleId="594">
    <w:name w:val="条款7月"/>
    <w:basedOn w:val="230"/>
    <w:link w:val="593"/>
    <w:qFormat/>
    <w:uiPriority w:val="0"/>
    <w:pPr>
      <w:ind w:left="0" w:leftChars="0" w:firstLine="480"/>
    </w:pPr>
    <w:rPr>
      <w:rFonts w:asciiTheme="minorHAnsi" w:hAnsiTheme="minorHAnsi" w:eastAsiaTheme="minorEastAsia" w:cstheme="minorBidi"/>
      <w:kern w:val="2"/>
    </w:rPr>
  </w:style>
  <w:style w:type="character" w:customStyle="1" w:styleId="595">
    <w:name w:val="引用 Char3"/>
    <w:qFormat/>
    <w:uiPriority w:val="0"/>
    <w:rPr>
      <w:i/>
      <w:iCs/>
      <w:sz w:val="24"/>
    </w:rPr>
  </w:style>
  <w:style w:type="character" w:customStyle="1" w:styleId="596">
    <w:name w:val="页眉 Char2"/>
    <w:qFormat/>
    <w:uiPriority w:val="99"/>
    <w:rPr>
      <w:sz w:val="18"/>
      <w:szCs w:val="18"/>
    </w:rPr>
  </w:style>
  <w:style w:type="character" w:customStyle="1" w:styleId="597">
    <w:name w:val="不明显强调1"/>
    <w:qFormat/>
    <w:uiPriority w:val="0"/>
    <w:rPr>
      <w:i/>
      <w:iCs/>
      <w:color w:val="808080"/>
    </w:rPr>
  </w:style>
  <w:style w:type="character" w:customStyle="1" w:styleId="598">
    <w:name w:val="标题 2 Char1"/>
    <w:qFormat/>
    <w:uiPriority w:val="9"/>
    <w:rPr>
      <w:rFonts w:ascii="Cambria" w:hAnsi="Cambria" w:eastAsia="宋体" w:cs="Times New Roman"/>
      <w:b/>
      <w:bCs/>
      <w:kern w:val="2"/>
      <w:sz w:val="32"/>
      <w:szCs w:val="40"/>
      <w:lang w:bidi="mn-Mong-CN"/>
    </w:rPr>
  </w:style>
  <w:style w:type="character" w:customStyle="1" w:styleId="599">
    <w:name w:val="表格内容 Char"/>
    <w:link w:val="600"/>
    <w:qFormat/>
    <w:uiPriority w:val="0"/>
    <w:rPr>
      <w:szCs w:val="21"/>
    </w:rPr>
  </w:style>
  <w:style w:type="paragraph" w:customStyle="1" w:styleId="600">
    <w:name w:val="表格内容"/>
    <w:basedOn w:val="1"/>
    <w:link w:val="599"/>
    <w:qFormat/>
    <w:uiPriority w:val="0"/>
    <w:pPr>
      <w:jc w:val="center"/>
    </w:pPr>
    <w:rPr>
      <w:rFonts w:asciiTheme="minorHAnsi" w:hAnsiTheme="minorHAnsi" w:eastAsiaTheme="minorEastAsia" w:cstheme="minorBidi"/>
      <w:sz w:val="21"/>
      <w:szCs w:val="21"/>
    </w:rPr>
  </w:style>
  <w:style w:type="character" w:customStyle="1" w:styleId="601">
    <w:name w:val="图表内容 Char"/>
    <w:link w:val="602"/>
    <w:qFormat/>
    <w:uiPriority w:val="0"/>
    <w:rPr>
      <w:sz w:val="18"/>
      <w:szCs w:val="18"/>
    </w:rPr>
  </w:style>
  <w:style w:type="paragraph" w:customStyle="1" w:styleId="602">
    <w:name w:val="图表内容"/>
    <w:basedOn w:val="1"/>
    <w:link w:val="601"/>
    <w:qFormat/>
    <w:uiPriority w:val="0"/>
    <w:pPr>
      <w:widowControl/>
    </w:pPr>
    <w:rPr>
      <w:rFonts w:asciiTheme="minorHAnsi" w:hAnsiTheme="minorHAnsi" w:eastAsiaTheme="minorEastAsia" w:cstheme="minorBidi"/>
      <w:sz w:val="18"/>
      <w:szCs w:val="18"/>
    </w:rPr>
  </w:style>
  <w:style w:type="character" w:customStyle="1" w:styleId="603">
    <w:name w:val="正文define Char Char"/>
    <w:qFormat/>
    <w:uiPriority w:val="0"/>
    <w:rPr>
      <w:rFonts w:ascii="Times New Roman" w:hAnsi="Times New Roman" w:eastAsia="宋体" w:cs="Times New Roman"/>
      <w:sz w:val="24"/>
      <w:szCs w:val="24"/>
    </w:rPr>
  </w:style>
  <w:style w:type="character" w:customStyle="1" w:styleId="604">
    <w:name w:val="明显强调1"/>
    <w:qFormat/>
    <w:uiPriority w:val="21"/>
    <w:rPr>
      <w:b/>
      <w:bCs/>
    </w:rPr>
  </w:style>
  <w:style w:type="character" w:customStyle="1" w:styleId="605">
    <w:name w:val="书籍标题1"/>
    <w:qFormat/>
    <w:uiPriority w:val="0"/>
    <w:rPr>
      <w:i/>
      <w:iCs/>
      <w:smallCaps/>
      <w:spacing w:val="5"/>
    </w:rPr>
  </w:style>
  <w:style w:type="character" w:styleId="606">
    <w:name w:val="Placeholder Text"/>
    <w:semiHidden/>
    <w:qFormat/>
    <w:uiPriority w:val="0"/>
    <w:rPr>
      <w:color w:val="808080"/>
    </w:rPr>
  </w:style>
  <w:style w:type="character" w:customStyle="1" w:styleId="607">
    <w:name w:val="标题 Char1"/>
    <w:qFormat/>
    <w:uiPriority w:val="0"/>
    <w:rPr>
      <w:rFonts w:ascii="Cambria" w:hAnsi="Cambria" w:eastAsia="宋体" w:cs="Times New Roman"/>
      <w:b/>
      <w:bCs/>
      <w:sz w:val="32"/>
      <w:szCs w:val="32"/>
    </w:rPr>
  </w:style>
  <w:style w:type="character" w:customStyle="1" w:styleId="608">
    <w:name w:val="Char Char36"/>
    <w:qFormat/>
    <w:uiPriority w:val="0"/>
    <w:rPr>
      <w:rFonts w:ascii="Arial Narrow" w:hAnsi="Arial Narrow" w:eastAsia="黑体"/>
      <w:b/>
      <w:bCs/>
      <w:snapToGrid w:val="0"/>
      <w:sz w:val="30"/>
      <w:szCs w:val="32"/>
    </w:rPr>
  </w:style>
  <w:style w:type="character" w:customStyle="1" w:styleId="609">
    <w:name w:val="标题 3 Char1"/>
    <w:qFormat/>
    <w:locked/>
    <w:uiPriority w:val="0"/>
    <w:rPr>
      <w:rFonts w:ascii="Times New Roman" w:hAnsi="Times New Roman" w:eastAsia="宋体"/>
      <w:b/>
      <w:bCs/>
      <w:sz w:val="32"/>
      <w:szCs w:val="32"/>
    </w:rPr>
  </w:style>
  <w:style w:type="character" w:customStyle="1" w:styleId="610">
    <w:name w:val="font91"/>
    <w:qFormat/>
    <w:uiPriority w:val="0"/>
    <w:rPr>
      <w:rFonts w:hint="eastAsia" w:ascii="宋体" w:hAnsi="宋体" w:eastAsia="宋体"/>
      <w:color w:val="000000"/>
      <w:sz w:val="20"/>
      <w:szCs w:val="20"/>
      <w:u w:val="none"/>
    </w:rPr>
  </w:style>
  <w:style w:type="character" w:customStyle="1" w:styleId="611">
    <w:name w:val="font01"/>
    <w:qFormat/>
    <w:uiPriority w:val="0"/>
    <w:rPr>
      <w:rFonts w:hint="default" w:ascii="Times New Roman" w:hAnsi="Times New Roman" w:cs="Times New Roman"/>
      <w:color w:val="000000"/>
      <w:sz w:val="21"/>
      <w:szCs w:val="21"/>
      <w:u w:val="none"/>
    </w:rPr>
  </w:style>
  <w:style w:type="character" w:customStyle="1" w:styleId="612">
    <w:name w:val="杭州研究报告-章 Char"/>
    <w:link w:val="613"/>
    <w:qFormat/>
    <w:uiPriority w:val="0"/>
    <w:rPr>
      <w:rFonts w:ascii="Cambria" w:hAnsi="Cambria" w:eastAsia="黑体"/>
      <w:b/>
      <w:kern w:val="44"/>
      <w:sz w:val="30"/>
      <w:szCs w:val="30"/>
    </w:rPr>
  </w:style>
  <w:style w:type="paragraph" w:customStyle="1" w:styleId="613">
    <w:name w:val="杭州研究报告-章"/>
    <w:basedOn w:val="4"/>
    <w:link w:val="612"/>
    <w:qFormat/>
    <w:uiPriority w:val="0"/>
    <w:pPr>
      <w:spacing w:beforeLines="100" w:afterLines="150" w:line="360" w:lineRule="auto"/>
      <w:jc w:val="both"/>
    </w:pPr>
    <w:rPr>
      <w:rFonts w:ascii="Cambria" w:hAnsi="Cambria" w:cstheme="minorBidi"/>
      <w:color w:val="auto"/>
      <w:kern w:val="44"/>
      <w:sz w:val="30"/>
      <w:szCs w:val="30"/>
    </w:rPr>
  </w:style>
  <w:style w:type="character" w:customStyle="1" w:styleId="614">
    <w:name w:val="批注文字 Char1"/>
    <w:qFormat/>
    <w:uiPriority w:val="99"/>
    <w:rPr>
      <w:rFonts w:eastAsia="宋体"/>
      <w:kern w:val="2"/>
      <w:sz w:val="21"/>
      <w:szCs w:val="24"/>
      <w:lang w:val="en-US" w:eastAsia="zh-CN" w:bidi="ar-SA"/>
    </w:rPr>
  </w:style>
  <w:style w:type="character" w:customStyle="1" w:styleId="615">
    <w:name w:val="批注引用1"/>
    <w:qFormat/>
    <w:uiPriority w:val="0"/>
    <w:rPr>
      <w:sz w:val="21"/>
      <w:szCs w:val="21"/>
    </w:rPr>
  </w:style>
  <w:style w:type="character" w:customStyle="1" w:styleId="616">
    <w:name w:val="正文* Char"/>
    <w:link w:val="617"/>
    <w:qFormat/>
    <w:uiPriority w:val="0"/>
    <w:rPr>
      <w:rFonts w:hAnsi="宋体"/>
      <w:sz w:val="24"/>
      <w:szCs w:val="24"/>
    </w:rPr>
  </w:style>
  <w:style w:type="paragraph" w:customStyle="1" w:styleId="617">
    <w:name w:val="正文*"/>
    <w:basedOn w:val="1"/>
    <w:link w:val="616"/>
    <w:qFormat/>
    <w:uiPriority w:val="0"/>
    <w:pPr>
      <w:spacing w:beforeLines="30" w:line="420" w:lineRule="exact"/>
      <w:ind w:firstLine="480"/>
    </w:pPr>
    <w:rPr>
      <w:rFonts w:hAnsi="宋体" w:asciiTheme="minorHAnsi" w:eastAsiaTheme="minorEastAsia" w:cstheme="minorBidi"/>
    </w:rPr>
  </w:style>
  <w:style w:type="character" w:customStyle="1" w:styleId="618">
    <w:name w:val="电子邮件签名 字符1"/>
    <w:qFormat/>
    <w:uiPriority w:val="99"/>
    <w:rPr>
      <w:rFonts w:ascii="Times New Roman" w:hAnsi="Times New Roman" w:eastAsia="宋体" w:cs="Times New Roman"/>
      <w:sz w:val="24"/>
      <w:szCs w:val="24"/>
    </w:rPr>
  </w:style>
  <w:style w:type="character" w:customStyle="1" w:styleId="619">
    <w:name w:val="批注文字 字符1"/>
    <w:qFormat/>
    <w:uiPriority w:val="99"/>
    <w:rPr>
      <w:rFonts w:ascii="Times New Roman" w:hAnsi="Times New Roman" w:eastAsia="宋体" w:cs="Times New Roman"/>
      <w:sz w:val="24"/>
      <w:szCs w:val="24"/>
    </w:rPr>
  </w:style>
  <w:style w:type="character" w:customStyle="1" w:styleId="620">
    <w:name w:val="表的单位 Char"/>
    <w:link w:val="621"/>
    <w:qFormat/>
    <w:uiPriority w:val="0"/>
    <w:rPr>
      <w:rFonts w:eastAsia="楷体_GB2312"/>
      <w:sz w:val="26"/>
      <w:szCs w:val="28"/>
    </w:rPr>
  </w:style>
  <w:style w:type="paragraph" w:customStyle="1" w:styleId="621">
    <w:name w:val="表的单位"/>
    <w:basedOn w:val="1"/>
    <w:link w:val="620"/>
    <w:qFormat/>
    <w:uiPriority w:val="0"/>
    <w:pPr>
      <w:widowControl/>
      <w:spacing w:line="480" w:lineRule="exact"/>
      <w:jc w:val="right"/>
    </w:pPr>
    <w:rPr>
      <w:rFonts w:eastAsia="楷体_GB2312" w:asciiTheme="minorHAnsi" w:hAnsiTheme="minorHAnsi" w:cstheme="minorBidi"/>
      <w:sz w:val="26"/>
      <w:szCs w:val="28"/>
    </w:rPr>
  </w:style>
  <w:style w:type="character" w:customStyle="1" w:styleId="622">
    <w:name w:val="批注文字 Char"/>
    <w:qFormat/>
    <w:uiPriority w:val="99"/>
    <w:rPr>
      <w:rFonts w:ascii="Calibri" w:hAnsi="Calibri" w:eastAsia="宋体" w:cs="Times New Roman"/>
      <w:szCs w:val="21"/>
    </w:rPr>
  </w:style>
  <w:style w:type="character" w:customStyle="1" w:styleId="623">
    <w:name w:val="杭州研究报告-表头 Char Char"/>
    <w:qFormat/>
    <w:uiPriority w:val="0"/>
    <w:rPr>
      <w:rFonts w:ascii="宋体" w:hAnsi="宋体" w:eastAsia="宋体" w:cs="宋体"/>
      <w:szCs w:val="21"/>
    </w:rPr>
  </w:style>
  <w:style w:type="character" w:customStyle="1" w:styleId="624">
    <w:name w:val="尾注文本 Char1"/>
    <w:semiHidden/>
    <w:qFormat/>
    <w:uiPriority w:val="99"/>
    <w:rPr>
      <w:kern w:val="2"/>
      <w:sz w:val="21"/>
      <w:szCs w:val="24"/>
    </w:rPr>
  </w:style>
  <w:style w:type="character" w:customStyle="1" w:styleId="625">
    <w:name w:val="日期 Char1"/>
    <w:semiHidden/>
    <w:qFormat/>
    <w:uiPriority w:val="99"/>
    <w:rPr>
      <w:rFonts w:ascii="Times New Roman" w:hAnsi="Times New Roman" w:eastAsia="宋体" w:cs="Times New Roman"/>
      <w:szCs w:val="24"/>
    </w:rPr>
  </w:style>
  <w:style w:type="character" w:customStyle="1" w:styleId="626">
    <w:name w:val="ggbody1"/>
    <w:qFormat/>
    <w:uiPriority w:val="0"/>
    <w:rPr>
      <w:spacing w:val="400"/>
      <w:sz w:val="21"/>
      <w:szCs w:val="21"/>
      <w:u w:val="none"/>
    </w:rPr>
  </w:style>
  <w:style w:type="character" w:customStyle="1" w:styleId="627">
    <w:name w:val="div1"/>
    <w:qFormat/>
    <w:uiPriority w:val="0"/>
    <w:rPr>
      <w:rFonts w:ascii="宋体" w:eastAsia="宋体" w:cs="Times New Roman"/>
      <w:sz w:val="14"/>
      <w:szCs w:val="14"/>
    </w:rPr>
  </w:style>
  <w:style w:type="character" w:customStyle="1" w:styleId="628">
    <w:name w:val="签名 字符1"/>
    <w:qFormat/>
    <w:uiPriority w:val="99"/>
    <w:rPr>
      <w:rFonts w:ascii="Times New Roman" w:hAnsi="Times New Roman" w:eastAsia="宋体" w:cs="Times New Roman"/>
      <w:sz w:val="24"/>
      <w:szCs w:val="24"/>
    </w:rPr>
  </w:style>
  <w:style w:type="character" w:customStyle="1" w:styleId="629">
    <w:name w:val="Char Char42"/>
    <w:qFormat/>
    <w:uiPriority w:val="0"/>
    <w:rPr>
      <w:rFonts w:ascii="Arial Narrow" w:hAnsi="Arial Narrow" w:eastAsia="黑体" w:cs="Times New Roman"/>
      <w:b/>
      <w:bCs/>
      <w:snapToGrid w:val="0"/>
      <w:sz w:val="30"/>
      <w:szCs w:val="32"/>
    </w:rPr>
  </w:style>
  <w:style w:type="character" w:customStyle="1" w:styleId="630">
    <w:name w:val="脚注文本 Char1"/>
    <w:qFormat/>
    <w:uiPriority w:val="99"/>
    <w:rPr>
      <w:rFonts w:ascii="Calibri" w:hAnsi="Calibri" w:eastAsia="宋体" w:cs="Times New Roman"/>
      <w:sz w:val="18"/>
      <w:szCs w:val="18"/>
    </w:rPr>
  </w:style>
  <w:style w:type="character" w:customStyle="1" w:styleId="631">
    <w:name w:val="小标题 黑体 小三 Char"/>
    <w:link w:val="632"/>
    <w:qFormat/>
    <w:uiPriority w:val="0"/>
    <w:rPr>
      <w:rFonts w:eastAsia="黑体"/>
      <w:sz w:val="28"/>
      <w:szCs w:val="30"/>
    </w:rPr>
  </w:style>
  <w:style w:type="paragraph" w:customStyle="1" w:styleId="632">
    <w:name w:val="小标题 黑体 小三"/>
    <w:basedOn w:val="1"/>
    <w:link w:val="631"/>
    <w:qFormat/>
    <w:uiPriority w:val="0"/>
    <w:pPr>
      <w:adjustRightInd w:val="0"/>
      <w:ind w:firstLine="600"/>
      <w:jc w:val="left"/>
    </w:pPr>
    <w:rPr>
      <w:rFonts w:eastAsia="黑体" w:asciiTheme="minorHAnsi" w:hAnsiTheme="minorHAnsi" w:cstheme="minorBidi"/>
      <w:sz w:val="28"/>
      <w:szCs w:val="30"/>
    </w:rPr>
  </w:style>
  <w:style w:type="character" w:customStyle="1" w:styleId="633">
    <w:name w:val="正文文本 Char"/>
    <w:qFormat/>
    <w:uiPriority w:val="99"/>
    <w:rPr>
      <w:rFonts w:ascii="Calibri" w:hAnsi="Calibri" w:eastAsia="宋体" w:cs="Times New Roman"/>
      <w:szCs w:val="21"/>
    </w:rPr>
  </w:style>
  <w:style w:type="character" w:customStyle="1" w:styleId="634">
    <w:name w:val="样式 (西文) 仿宋_GB2312 (中文) 仿宋_GB2312 Char Char"/>
    <w:link w:val="635"/>
    <w:qFormat/>
    <w:uiPriority w:val="0"/>
    <w:rPr>
      <w:rFonts w:ascii="仿宋_GB2312" w:eastAsia="仿宋_GB2312"/>
      <w:sz w:val="28"/>
      <w:szCs w:val="30"/>
    </w:rPr>
  </w:style>
  <w:style w:type="paragraph" w:customStyle="1" w:styleId="635">
    <w:name w:val="样式 (西文) 仿宋_GB2312 (中文) 仿宋_GB2312 Char"/>
    <w:basedOn w:val="1"/>
    <w:link w:val="634"/>
    <w:qFormat/>
    <w:uiPriority w:val="0"/>
    <w:pPr>
      <w:adjustRightInd w:val="0"/>
      <w:snapToGrid w:val="0"/>
      <w:spacing w:afterLines="100" w:line="300" w:lineRule="auto"/>
      <w:contextualSpacing/>
    </w:pPr>
    <w:rPr>
      <w:rFonts w:ascii="仿宋_GB2312" w:eastAsia="仿宋_GB2312" w:hAnsiTheme="minorHAnsi" w:cstheme="minorBidi"/>
      <w:sz w:val="28"/>
      <w:szCs w:val="30"/>
    </w:rPr>
  </w:style>
  <w:style w:type="character" w:customStyle="1" w:styleId="636">
    <w:name w:val="正文文本缩进 2 Char"/>
    <w:qFormat/>
    <w:uiPriority w:val="99"/>
    <w:rPr>
      <w:rFonts w:ascii="Times New Roman" w:hAnsi="Times New Roman" w:eastAsia="宋体"/>
      <w:color w:val="000000"/>
      <w:szCs w:val="24"/>
    </w:rPr>
  </w:style>
  <w:style w:type="character" w:customStyle="1" w:styleId="637">
    <w:name w:val="页眉或页脚"/>
    <w:qFormat/>
    <w:uiPriority w:val="0"/>
    <w:rPr>
      <w:rFonts w:ascii="Georgia" w:hAnsi="Georgia" w:eastAsia="Georgia" w:cs="Georgia"/>
      <w:color w:val="000000"/>
      <w:spacing w:val="0"/>
      <w:w w:val="100"/>
      <w:position w:val="0"/>
      <w:sz w:val="8"/>
      <w:szCs w:val="8"/>
      <w:u w:val="none"/>
      <w:lang w:val="zh-TW" w:eastAsia="zh-TW" w:bidi="zh-TW"/>
    </w:rPr>
  </w:style>
  <w:style w:type="character" w:customStyle="1" w:styleId="638">
    <w:name w:val="批注框文本 Char"/>
    <w:qFormat/>
    <w:uiPriority w:val="99"/>
    <w:rPr>
      <w:rFonts w:ascii="Calibri" w:hAnsi="Calibri" w:eastAsia="宋体"/>
      <w:sz w:val="18"/>
      <w:szCs w:val="18"/>
    </w:rPr>
  </w:style>
  <w:style w:type="character" w:customStyle="1" w:styleId="639">
    <w:name w:val="表 Char"/>
    <w:link w:val="640"/>
    <w:qFormat/>
    <w:uiPriority w:val="0"/>
    <w:rPr>
      <w:rFonts w:hAnsi="宋体"/>
      <w:szCs w:val="24"/>
    </w:rPr>
  </w:style>
  <w:style w:type="paragraph" w:customStyle="1" w:styleId="640">
    <w:name w:val="表"/>
    <w:basedOn w:val="1"/>
    <w:link w:val="639"/>
    <w:qFormat/>
    <w:uiPriority w:val="0"/>
    <w:pPr>
      <w:adjustRightInd w:val="0"/>
      <w:spacing w:before="50" w:after="50" w:line="240" w:lineRule="atLeast"/>
      <w:jc w:val="left"/>
      <w:textAlignment w:val="baseline"/>
    </w:pPr>
    <w:rPr>
      <w:rFonts w:hAnsi="宋体" w:asciiTheme="minorHAnsi" w:eastAsiaTheme="minorEastAsia" w:cstheme="minorBidi"/>
      <w:sz w:val="21"/>
    </w:rPr>
  </w:style>
  <w:style w:type="character" w:customStyle="1" w:styleId="641">
    <w:name w:val="注释标题 Char3"/>
    <w:semiHidden/>
    <w:qFormat/>
    <w:uiPriority w:val="99"/>
    <w:rPr>
      <w:kern w:val="2"/>
      <w:sz w:val="21"/>
      <w:szCs w:val="24"/>
    </w:rPr>
  </w:style>
  <w:style w:type="character" w:customStyle="1" w:styleId="642">
    <w:name w:val="表题注 Char"/>
    <w:link w:val="643"/>
    <w:qFormat/>
    <w:uiPriority w:val="0"/>
    <w:rPr>
      <w:rFonts w:hAnsi="宋体" w:eastAsia="宋体"/>
      <w:szCs w:val="24"/>
    </w:rPr>
  </w:style>
  <w:style w:type="paragraph" w:customStyle="1" w:styleId="643">
    <w:name w:val="表题注"/>
    <w:basedOn w:val="1"/>
    <w:link w:val="642"/>
    <w:qFormat/>
    <w:uiPriority w:val="0"/>
    <w:pPr>
      <w:spacing w:after="120"/>
    </w:pPr>
    <w:rPr>
      <w:rFonts w:hAnsi="宋体" w:asciiTheme="minorHAnsi" w:cstheme="minorBidi"/>
      <w:sz w:val="21"/>
    </w:rPr>
  </w:style>
  <w:style w:type="character" w:customStyle="1" w:styleId="644">
    <w:name w:val="文档结构图 字符2"/>
    <w:semiHidden/>
    <w:qFormat/>
    <w:uiPriority w:val="0"/>
    <w:rPr>
      <w:rFonts w:ascii="Microsoft YaHei UI" w:eastAsia="Microsoft YaHei UI"/>
      <w:kern w:val="2"/>
      <w:sz w:val="18"/>
      <w:szCs w:val="18"/>
    </w:rPr>
  </w:style>
  <w:style w:type="character" w:customStyle="1" w:styleId="645">
    <w:name w:val="正文文本缩进 2 字符1"/>
    <w:semiHidden/>
    <w:qFormat/>
    <w:uiPriority w:val="99"/>
    <w:rPr>
      <w:rFonts w:ascii="Times New Roman" w:hAnsi="Times New Roman" w:eastAsia="宋体" w:cs="Times New Roman"/>
      <w:sz w:val="24"/>
      <w:szCs w:val="24"/>
    </w:rPr>
  </w:style>
  <w:style w:type="character" w:customStyle="1" w:styleId="646">
    <w:name w:val="中等深浅网格 2 - 强调文字颜色 2 Char"/>
    <w:link w:val="647"/>
    <w:qFormat/>
    <w:locked/>
    <w:uiPriority w:val="29"/>
    <w:rPr>
      <w:i/>
      <w:iCs/>
      <w:sz w:val="24"/>
    </w:rPr>
  </w:style>
  <w:style w:type="paragraph" w:customStyle="1" w:styleId="647">
    <w:name w:val="中等深浅网格 2 - 强调文字颜色 21"/>
    <w:basedOn w:val="1"/>
    <w:next w:val="1"/>
    <w:link w:val="646"/>
    <w:qFormat/>
    <w:uiPriority w:val="29"/>
    <w:pPr>
      <w:widowControl/>
      <w:spacing w:before="200" w:line="300" w:lineRule="auto"/>
      <w:ind w:left="360" w:right="360"/>
      <w:jc w:val="left"/>
    </w:pPr>
    <w:rPr>
      <w:rFonts w:asciiTheme="minorHAnsi" w:hAnsiTheme="minorHAnsi" w:eastAsiaTheme="minorEastAsia" w:cstheme="minorBidi"/>
      <w:i/>
      <w:iCs/>
      <w:szCs w:val="22"/>
    </w:rPr>
  </w:style>
  <w:style w:type="character" w:customStyle="1" w:styleId="648">
    <w:name w:val="1正式正文 Char"/>
    <w:link w:val="649"/>
    <w:qFormat/>
    <w:uiPriority w:val="0"/>
    <w:rPr>
      <w:rFonts w:ascii="宋体" w:hAnsi="宋体"/>
      <w:sz w:val="24"/>
    </w:rPr>
  </w:style>
  <w:style w:type="paragraph" w:customStyle="1" w:styleId="649">
    <w:name w:val="1正式正文"/>
    <w:basedOn w:val="1"/>
    <w:link w:val="648"/>
    <w:qFormat/>
    <w:uiPriority w:val="0"/>
    <w:pPr>
      <w:spacing w:line="400" w:lineRule="exact"/>
    </w:pPr>
    <w:rPr>
      <w:rFonts w:ascii="宋体" w:hAnsi="宋体" w:eastAsiaTheme="minorEastAsia" w:cstheme="minorBidi"/>
      <w:szCs w:val="22"/>
    </w:rPr>
  </w:style>
  <w:style w:type="character" w:customStyle="1" w:styleId="650">
    <w:name w:val="批注文字 Char3"/>
    <w:qFormat/>
    <w:uiPriority w:val="0"/>
    <w:rPr>
      <w:rFonts w:ascii="Calibri" w:hAnsi="Calibri"/>
      <w:szCs w:val="21"/>
    </w:rPr>
  </w:style>
  <w:style w:type="character" w:customStyle="1" w:styleId="651">
    <w:name w:val="明显引用 字符1"/>
    <w:qFormat/>
    <w:uiPriority w:val="30"/>
    <w:rPr>
      <w:rFonts w:ascii="Times New Roman" w:hAnsi="Times New Roman" w:eastAsia="宋体" w:cs="Times New Roman"/>
      <w:i/>
      <w:iCs/>
      <w:color w:val="5B9BD5"/>
      <w:sz w:val="24"/>
      <w:szCs w:val="24"/>
    </w:rPr>
  </w:style>
  <w:style w:type="character" w:customStyle="1" w:styleId="652">
    <w:name w:val="生态 Char"/>
    <w:link w:val="653"/>
    <w:qFormat/>
    <w:uiPriority w:val="0"/>
    <w:rPr>
      <w:rFonts w:ascii="Calibri" w:hAnsi="Calibri"/>
      <w:sz w:val="24"/>
      <w:szCs w:val="24"/>
      <w:lang w:eastAsia="en-US" w:bidi="en-US"/>
    </w:rPr>
  </w:style>
  <w:style w:type="paragraph" w:customStyle="1" w:styleId="653">
    <w:name w:val="生态"/>
    <w:basedOn w:val="1"/>
    <w:link w:val="652"/>
    <w:qFormat/>
    <w:uiPriority w:val="0"/>
    <w:pPr>
      <w:widowControl/>
      <w:spacing w:before="120" w:after="120"/>
      <w:jc w:val="left"/>
    </w:pPr>
    <w:rPr>
      <w:rFonts w:ascii="Calibri" w:hAnsi="Calibri" w:eastAsiaTheme="minorEastAsia" w:cstheme="minorBidi"/>
      <w:lang w:eastAsia="en-US" w:bidi="en-US"/>
    </w:rPr>
  </w:style>
  <w:style w:type="character" w:customStyle="1" w:styleId="654">
    <w:name w:val="结束语 字符1"/>
    <w:qFormat/>
    <w:uiPriority w:val="99"/>
    <w:rPr>
      <w:rFonts w:ascii="Times New Roman" w:hAnsi="Times New Roman" w:eastAsia="宋体" w:cs="Times New Roman"/>
      <w:sz w:val="24"/>
      <w:szCs w:val="24"/>
    </w:rPr>
  </w:style>
  <w:style w:type="character" w:customStyle="1" w:styleId="655">
    <w:name w:val="脚注文本 字符1"/>
    <w:semiHidden/>
    <w:qFormat/>
    <w:uiPriority w:val="99"/>
    <w:rPr>
      <w:rFonts w:ascii="Times New Roman" w:hAnsi="Times New Roman" w:eastAsia="宋体" w:cs="Times New Roman"/>
      <w:sz w:val="18"/>
      <w:szCs w:val="18"/>
    </w:rPr>
  </w:style>
  <w:style w:type="character" w:customStyle="1" w:styleId="656">
    <w:name w:val="z-窗体顶端 Char"/>
    <w:qFormat/>
    <w:uiPriority w:val="0"/>
    <w:rPr>
      <w:rFonts w:ascii="Arial" w:hAnsi="Arial" w:cs="Arial"/>
      <w:vanish/>
      <w:sz w:val="16"/>
      <w:szCs w:val="16"/>
    </w:rPr>
  </w:style>
  <w:style w:type="character" w:customStyle="1" w:styleId="657">
    <w:name w:val="明显参考2"/>
    <w:qFormat/>
    <w:uiPriority w:val="0"/>
    <w:rPr>
      <w:smallCaps/>
      <w:spacing w:val="5"/>
      <w:u w:val="single"/>
    </w:rPr>
  </w:style>
  <w:style w:type="character" w:customStyle="1" w:styleId="658">
    <w:name w:val="日期 字符1"/>
    <w:qFormat/>
    <w:uiPriority w:val="99"/>
    <w:rPr>
      <w:rFonts w:ascii="Times New Roman" w:hAnsi="Times New Roman" w:eastAsia="宋体" w:cs="Times New Roman"/>
      <w:sz w:val="24"/>
      <w:szCs w:val="24"/>
    </w:rPr>
  </w:style>
  <w:style w:type="character" w:customStyle="1" w:styleId="659">
    <w:name w:val="hangju3"/>
    <w:qFormat/>
    <w:uiPriority w:val="0"/>
    <w:rPr>
      <w:sz w:val="21"/>
      <w:szCs w:val="21"/>
    </w:rPr>
  </w:style>
  <w:style w:type="character" w:customStyle="1" w:styleId="660">
    <w:name w:val="尾注文本 Char"/>
    <w:semiHidden/>
    <w:qFormat/>
    <w:uiPriority w:val="99"/>
    <w:rPr>
      <w:rFonts w:ascii="Calibri" w:hAnsi="Calibri" w:eastAsia="宋体"/>
      <w:szCs w:val="21"/>
    </w:rPr>
  </w:style>
  <w:style w:type="character" w:customStyle="1" w:styleId="661">
    <w:name w:val="Document Map Char1"/>
    <w:semiHidden/>
    <w:qFormat/>
    <w:locked/>
    <w:uiPriority w:val="99"/>
    <w:rPr>
      <w:rFonts w:eastAsia="方正仿宋_GBK" w:cs="Times New Roman"/>
      <w:kern w:val="0"/>
      <w:sz w:val="2"/>
    </w:rPr>
  </w:style>
  <w:style w:type="character" w:customStyle="1" w:styleId="662">
    <w:name w:val="正文文本 2 Char1"/>
    <w:qFormat/>
    <w:uiPriority w:val="99"/>
    <w:rPr>
      <w:rFonts w:ascii="Times New Roman" w:hAnsi="Times New Roman" w:eastAsia="宋体" w:cs="Times New Roman"/>
      <w:szCs w:val="24"/>
    </w:rPr>
  </w:style>
  <w:style w:type="character" w:customStyle="1" w:styleId="663">
    <w:name w:val="EmailStyle1671"/>
    <w:qFormat/>
    <w:uiPriority w:val="0"/>
    <w:rPr>
      <w:rFonts w:ascii="Arial" w:hAnsi="Arial" w:eastAsia="宋体" w:cs="Arial"/>
      <w:color w:val="auto"/>
      <w:sz w:val="20"/>
    </w:rPr>
  </w:style>
  <w:style w:type="character" w:customStyle="1" w:styleId="664">
    <w:name w:val="标题 1 Char1"/>
    <w:qFormat/>
    <w:uiPriority w:val="9"/>
    <w:rPr>
      <w:rFonts w:eastAsia="宋体" w:cs="Times New Roman"/>
      <w:b/>
      <w:bCs/>
      <w:kern w:val="44"/>
      <w:sz w:val="44"/>
      <w:szCs w:val="44"/>
    </w:rPr>
  </w:style>
  <w:style w:type="character" w:customStyle="1" w:styleId="665">
    <w:name w:val="副标题 Char1"/>
    <w:qFormat/>
    <w:uiPriority w:val="0"/>
    <w:rPr>
      <w:rFonts w:ascii="Cambria" w:hAnsi="Cambria" w:eastAsia="宋体" w:cs="Times New Roman"/>
      <w:b/>
      <w:bCs/>
      <w:kern w:val="28"/>
      <w:sz w:val="32"/>
      <w:szCs w:val="32"/>
    </w:rPr>
  </w:style>
  <w:style w:type="character" w:customStyle="1" w:styleId="666">
    <w:name w:val="正文＋黑体 Char"/>
    <w:link w:val="667"/>
    <w:qFormat/>
    <w:uiPriority w:val="0"/>
    <w:rPr>
      <w:rFonts w:ascii="Arial" w:hAnsi="Arial" w:eastAsia="黑体"/>
      <w:sz w:val="24"/>
      <w:szCs w:val="24"/>
    </w:rPr>
  </w:style>
  <w:style w:type="paragraph" w:customStyle="1" w:styleId="667">
    <w:name w:val="正文＋黑体"/>
    <w:basedOn w:val="1"/>
    <w:link w:val="666"/>
    <w:qFormat/>
    <w:uiPriority w:val="0"/>
    <w:pPr>
      <w:spacing w:beforeLines="50" w:afterLines="50"/>
      <w:ind w:firstLine="480"/>
      <w:jc w:val="left"/>
    </w:pPr>
    <w:rPr>
      <w:rFonts w:ascii="Arial" w:hAnsi="Arial" w:eastAsia="黑体" w:cstheme="minorBidi"/>
    </w:rPr>
  </w:style>
  <w:style w:type="character" w:customStyle="1" w:styleId="668">
    <w:name w:val="批注引用2"/>
    <w:qFormat/>
    <w:uiPriority w:val="0"/>
    <w:rPr>
      <w:sz w:val="21"/>
      <w:szCs w:val="21"/>
    </w:rPr>
  </w:style>
  <w:style w:type="character" w:customStyle="1" w:styleId="669">
    <w:name w:val="副标题 字符1"/>
    <w:qFormat/>
    <w:uiPriority w:val="11"/>
    <w:rPr>
      <w:b/>
      <w:bCs/>
      <w:kern w:val="28"/>
      <w:sz w:val="32"/>
      <w:szCs w:val="32"/>
    </w:rPr>
  </w:style>
  <w:style w:type="character" w:customStyle="1" w:styleId="670">
    <w:name w:val="注释标题 字符1"/>
    <w:qFormat/>
    <w:uiPriority w:val="99"/>
    <w:rPr>
      <w:rFonts w:ascii="Times New Roman" w:hAnsi="Times New Roman" w:eastAsia="宋体" w:cs="Times New Roman"/>
      <w:sz w:val="24"/>
      <w:szCs w:val="24"/>
    </w:rPr>
  </w:style>
  <w:style w:type="character" w:customStyle="1" w:styleId="671">
    <w:name w:val="中等深浅网格 2 Char"/>
    <w:link w:val="672"/>
    <w:qFormat/>
    <w:locked/>
    <w:uiPriority w:val="1"/>
    <w:rPr>
      <w:rFonts w:ascii="Calibri" w:hAnsi="Calibri"/>
      <w:szCs w:val="21"/>
    </w:rPr>
  </w:style>
  <w:style w:type="paragraph" w:customStyle="1" w:styleId="672">
    <w:name w:val="中等深浅网格 22"/>
    <w:link w:val="671"/>
    <w:qFormat/>
    <w:uiPriority w:val="1"/>
    <w:pPr>
      <w:widowControl w:val="0"/>
      <w:spacing w:line="300" w:lineRule="auto"/>
      <w:jc w:val="both"/>
    </w:pPr>
    <w:rPr>
      <w:rFonts w:ascii="Calibri" w:hAnsi="Calibri" w:eastAsiaTheme="minorEastAsia" w:cstheme="minorBidi"/>
      <w:kern w:val="2"/>
      <w:sz w:val="21"/>
      <w:szCs w:val="21"/>
      <w:lang w:val="en-US" w:eastAsia="zh-CN" w:bidi="ar-SA"/>
    </w:rPr>
  </w:style>
  <w:style w:type="character" w:customStyle="1" w:styleId="673">
    <w:name w:val="Char Char22"/>
    <w:qFormat/>
    <w:uiPriority w:val="0"/>
    <w:rPr>
      <w:rFonts w:eastAsia="宋体"/>
      <w:b/>
      <w:bCs/>
      <w:kern w:val="44"/>
      <w:sz w:val="44"/>
      <w:szCs w:val="44"/>
      <w:lang w:val="en-US" w:eastAsia="zh-CN" w:bidi="ar-SA"/>
    </w:rPr>
  </w:style>
  <w:style w:type="character" w:customStyle="1" w:styleId="674">
    <w:name w:val="脚注文本 Char2"/>
    <w:qFormat/>
    <w:uiPriority w:val="99"/>
    <w:rPr>
      <w:rFonts w:ascii="Times New Roman" w:hAnsi="Times New Roman" w:eastAsia="宋体" w:cs="Times New Roman"/>
      <w:sz w:val="18"/>
      <w:szCs w:val="18"/>
    </w:rPr>
  </w:style>
  <w:style w:type="character" w:customStyle="1" w:styleId="675">
    <w:name w:val="图表 Char Char"/>
    <w:qFormat/>
    <w:uiPriority w:val="0"/>
    <w:rPr>
      <w:rFonts w:ascii="Times New Roman" w:hAnsi="Times New Roman" w:eastAsia="仿宋_GB2312"/>
      <w:sz w:val="24"/>
    </w:rPr>
  </w:style>
  <w:style w:type="character" w:customStyle="1" w:styleId="676">
    <w:name w:val="标题 Char"/>
    <w:qFormat/>
    <w:uiPriority w:val="10"/>
    <w:rPr>
      <w:rFonts w:ascii="Cambria" w:hAnsi="Cambria" w:eastAsia="宋体" w:cs="Times New Roman"/>
      <w:spacing w:val="5"/>
      <w:kern w:val="0"/>
      <w:sz w:val="52"/>
      <w:szCs w:val="52"/>
    </w:rPr>
  </w:style>
  <w:style w:type="character" w:customStyle="1" w:styleId="677">
    <w:name w:val="批注主题 字符1"/>
    <w:semiHidden/>
    <w:qFormat/>
    <w:uiPriority w:val="99"/>
    <w:rPr>
      <w:rFonts w:ascii="Times New Roman" w:hAnsi="Times New Roman" w:eastAsia="宋体" w:cs="Times New Roman"/>
      <w:b/>
      <w:bCs/>
      <w:sz w:val="24"/>
      <w:szCs w:val="24"/>
    </w:rPr>
  </w:style>
  <w:style w:type="character" w:customStyle="1" w:styleId="678">
    <w:name w:val="标题 1 Char2"/>
    <w:qFormat/>
    <w:uiPriority w:val="0"/>
    <w:rPr>
      <w:rFonts w:eastAsia="宋体"/>
      <w:b/>
      <w:bCs/>
      <w:kern w:val="44"/>
      <w:sz w:val="44"/>
      <w:szCs w:val="44"/>
      <w:lang w:val="en-US" w:eastAsia="zh-CN" w:bidi="ar-SA"/>
    </w:rPr>
  </w:style>
  <w:style w:type="character" w:customStyle="1" w:styleId="679">
    <w:name w:val="嘉兴表格内容 Char"/>
    <w:link w:val="680"/>
    <w:qFormat/>
    <w:locked/>
    <w:uiPriority w:val="0"/>
    <w:rPr>
      <w:sz w:val="18"/>
      <w:szCs w:val="21"/>
    </w:rPr>
  </w:style>
  <w:style w:type="paragraph" w:customStyle="1" w:styleId="680">
    <w:name w:val="嘉兴表格内容"/>
    <w:basedOn w:val="1"/>
    <w:link w:val="679"/>
    <w:qFormat/>
    <w:uiPriority w:val="0"/>
    <w:pPr>
      <w:widowControl/>
      <w:adjustRightInd w:val="0"/>
      <w:spacing w:line="120" w:lineRule="atLeast"/>
      <w:jc w:val="left"/>
    </w:pPr>
    <w:rPr>
      <w:rFonts w:asciiTheme="minorHAnsi" w:hAnsiTheme="minorHAnsi" w:eastAsiaTheme="minorEastAsia" w:cstheme="minorBidi"/>
      <w:sz w:val="18"/>
      <w:szCs w:val="21"/>
    </w:rPr>
  </w:style>
  <w:style w:type="character" w:customStyle="1" w:styleId="681">
    <w:name w:val="个人撰写风格"/>
    <w:qFormat/>
    <w:uiPriority w:val="0"/>
    <w:rPr>
      <w:rFonts w:ascii="Arial" w:hAnsi="Arial" w:eastAsia="宋体" w:cs="Arial"/>
      <w:color w:val="auto"/>
      <w:sz w:val="20"/>
    </w:rPr>
  </w:style>
  <w:style w:type="character" w:customStyle="1" w:styleId="682">
    <w:name w:val="0002 Char"/>
    <w:link w:val="683"/>
    <w:qFormat/>
    <w:locked/>
    <w:uiPriority w:val="0"/>
    <w:rPr>
      <w:rFonts w:ascii="仿宋_GB2312" w:eastAsia="仿宋_GB2312"/>
      <w:b/>
      <w:sz w:val="32"/>
      <w:szCs w:val="32"/>
    </w:rPr>
  </w:style>
  <w:style w:type="paragraph" w:customStyle="1" w:styleId="683">
    <w:name w:val="0002"/>
    <w:basedOn w:val="1"/>
    <w:link w:val="682"/>
    <w:qFormat/>
    <w:uiPriority w:val="0"/>
    <w:pPr>
      <w:spacing w:beforeLines="50" w:afterLines="50" w:line="560" w:lineRule="exact"/>
      <w:jc w:val="left"/>
      <w:outlineLvl w:val="1"/>
    </w:pPr>
    <w:rPr>
      <w:rFonts w:ascii="仿宋_GB2312" w:eastAsia="仿宋_GB2312" w:hAnsiTheme="minorHAnsi" w:cstheme="minorBidi"/>
      <w:b/>
      <w:sz w:val="32"/>
      <w:szCs w:val="32"/>
    </w:rPr>
  </w:style>
  <w:style w:type="character" w:customStyle="1" w:styleId="684">
    <w:name w:val="二级标题 Char"/>
    <w:link w:val="685"/>
    <w:qFormat/>
    <w:uiPriority w:val="0"/>
    <w:rPr>
      <w:b/>
      <w:sz w:val="28"/>
      <w:szCs w:val="24"/>
    </w:rPr>
  </w:style>
  <w:style w:type="paragraph" w:customStyle="1" w:styleId="685">
    <w:name w:val="二级标题"/>
    <w:basedOn w:val="1"/>
    <w:link w:val="684"/>
    <w:qFormat/>
    <w:uiPriority w:val="0"/>
    <w:pPr>
      <w:spacing w:before="120" w:line="540" w:lineRule="exact"/>
      <w:outlineLvl w:val="1"/>
    </w:pPr>
    <w:rPr>
      <w:rFonts w:asciiTheme="minorHAnsi" w:hAnsiTheme="minorHAnsi" w:eastAsiaTheme="minorEastAsia" w:cstheme="minorBidi"/>
      <w:b/>
      <w:sz w:val="28"/>
    </w:rPr>
  </w:style>
  <w:style w:type="character" w:customStyle="1" w:styleId="686">
    <w:name w:val="文本正文 Char"/>
    <w:link w:val="687"/>
    <w:qFormat/>
    <w:uiPriority w:val="0"/>
    <w:rPr>
      <w:sz w:val="24"/>
      <w:szCs w:val="24"/>
    </w:rPr>
  </w:style>
  <w:style w:type="paragraph" w:customStyle="1" w:styleId="687">
    <w:name w:val="文本正文"/>
    <w:basedOn w:val="1"/>
    <w:link w:val="686"/>
    <w:qFormat/>
    <w:uiPriority w:val="0"/>
    <w:pPr>
      <w:adjustRightInd w:val="0"/>
      <w:snapToGrid w:val="0"/>
    </w:pPr>
    <w:rPr>
      <w:rFonts w:asciiTheme="minorHAnsi" w:hAnsiTheme="minorHAnsi" w:eastAsiaTheme="minorEastAsia" w:cstheme="minorBidi"/>
    </w:rPr>
  </w:style>
  <w:style w:type="character" w:customStyle="1" w:styleId="688">
    <w:name w:val="标题 2 Char2"/>
    <w:qFormat/>
    <w:uiPriority w:val="9"/>
    <w:rPr>
      <w:rFonts w:ascii="Arial" w:hAnsi="Arial" w:eastAsia="黑体" w:cs="Times New Roman"/>
      <w:b/>
      <w:bCs/>
      <w:snapToGrid w:val="0"/>
      <w:kern w:val="0"/>
      <w:sz w:val="32"/>
      <w:szCs w:val="32"/>
    </w:rPr>
  </w:style>
  <w:style w:type="character" w:customStyle="1" w:styleId="689">
    <w:name w:val="批注框文本 Char2"/>
    <w:qFormat/>
    <w:uiPriority w:val="99"/>
    <w:rPr>
      <w:rFonts w:ascii="Times New Roman" w:hAnsi="Times New Roman" w:eastAsia="宋体" w:cs="Times New Roman"/>
      <w:sz w:val="18"/>
      <w:szCs w:val="18"/>
    </w:rPr>
  </w:style>
  <w:style w:type="character" w:customStyle="1" w:styleId="690">
    <w:name w:val="HTML 地址 Char4"/>
    <w:qFormat/>
    <w:uiPriority w:val="99"/>
    <w:rPr>
      <w:i/>
      <w:iCs/>
      <w:szCs w:val="24"/>
    </w:rPr>
  </w:style>
  <w:style w:type="character" w:customStyle="1" w:styleId="691">
    <w:name w:val="页脚 Char2"/>
    <w:qFormat/>
    <w:uiPriority w:val="99"/>
    <w:rPr>
      <w:sz w:val="18"/>
      <w:szCs w:val="18"/>
    </w:rPr>
  </w:style>
  <w:style w:type="character" w:customStyle="1" w:styleId="692">
    <w:name w:val="日期 Char2"/>
    <w:qFormat/>
    <w:uiPriority w:val="99"/>
    <w:rPr>
      <w:rFonts w:eastAsia="仿宋"/>
      <w:sz w:val="28"/>
    </w:rPr>
  </w:style>
  <w:style w:type="character" w:customStyle="1" w:styleId="693">
    <w:name w:val="正文文本 (16) + Palatino Linotype110"/>
    <w:qFormat/>
    <w:uiPriority w:val="0"/>
    <w:rPr>
      <w:rFonts w:ascii="Palatino Linotype" w:hAnsi="Palatino Linotype" w:eastAsia="Palatino Linotype" w:cs="Palatino Linotype"/>
      <w:b/>
      <w:bCs/>
      <w:color w:val="000000"/>
      <w:spacing w:val="0"/>
      <w:w w:val="100"/>
      <w:position w:val="0"/>
      <w:sz w:val="18"/>
      <w:szCs w:val="18"/>
      <w:u w:val="none"/>
      <w:lang w:val="en-US" w:eastAsia="en-US" w:bidi="en-US"/>
    </w:rPr>
  </w:style>
  <w:style w:type="paragraph" w:customStyle="1" w:styleId="694">
    <w:name w:val="_Style 643"/>
    <w:basedOn w:val="1"/>
    <w:qFormat/>
    <w:uiPriority w:val="0"/>
    <w:pPr>
      <w:ind w:firstLine="420"/>
    </w:pPr>
    <w:rPr>
      <w:rFonts w:ascii="Calibri" w:hAnsi="Calibri"/>
      <w:kern w:val="0"/>
      <w:sz w:val="20"/>
      <w:szCs w:val="21"/>
    </w:rPr>
  </w:style>
  <w:style w:type="paragraph" w:customStyle="1" w:styleId="695">
    <w:name w:val="正文0817"/>
    <w:basedOn w:val="1"/>
    <w:qFormat/>
    <w:uiPriority w:val="99"/>
    <w:pPr>
      <w:spacing w:line="300" w:lineRule="auto"/>
    </w:pPr>
    <w:rPr>
      <w:rFonts w:ascii="宋体" w:cs="宋体"/>
      <w:szCs w:val="20"/>
    </w:rPr>
  </w:style>
  <w:style w:type="paragraph" w:customStyle="1" w:styleId="696">
    <w:name w:val="navitext"/>
    <w:basedOn w:val="1"/>
    <w:qFormat/>
    <w:uiPriority w:val="99"/>
    <w:pPr>
      <w:widowControl/>
      <w:spacing w:before="100" w:beforeAutospacing="1" w:after="100" w:afterAutospacing="1"/>
      <w:jc w:val="left"/>
    </w:pPr>
    <w:rPr>
      <w:rFonts w:ascii="宋体" w:hAnsi="宋体"/>
      <w:color w:val="000000"/>
      <w:kern w:val="0"/>
      <w:sz w:val="18"/>
      <w:szCs w:val="18"/>
    </w:rPr>
  </w:style>
  <w:style w:type="paragraph" w:customStyle="1" w:styleId="697">
    <w:name w:val="正文文字"/>
    <w:basedOn w:val="1"/>
    <w:qFormat/>
    <w:uiPriority w:val="99"/>
    <w:pPr>
      <w:spacing w:beforeLines="50" w:afterLines="50" w:line="312" w:lineRule="auto"/>
    </w:pPr>
    <w:rPr>
      <w:szCs w:val="22"/>
    </w:rPr>
  </w:style>
  <w:style w:type="paragraph" w:customStyle="1" w:styleId="698">
    <w:name w:val="正文文本缩进 21"/>
    <w:basedOn w:val="1"/>
    <w:qFormat/>
    <w:uiPriority w:val="99"/>
    <w:pPr>
      <w:spacing w:line="360" w:lineRule="exact"/>
      <w:ind w:firstLine="420"/>
    </w:pPr>
    <w:rPr>
      <w:color w:val="000000"/>
    </w:rPr>
  </w:style>
  <w:style w:type="paragraph" w:customStyle="1" w:styleId="699">
    <w:name w:val="c_"/>
    <w:qFormat/>
    <w:uiPriority w:val="99"/>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700">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701">
    <w:name w:val="兰州正文"/>
    <w:basedOn w:val="1"/>
    <w:qFormat/>
    <w:uiPriority w:val="99"/>
    <w:pPr>
      <w:spacing w:beforeLines="50"/>
      <w:ind w:firstLine="480"/>
      <w:jc w:val="left"/>
    </w:pPr>
    <w:rPr>
      <w:rFonts w:ascii="仿宋_GB2312" w:hAnsi="宋体" w:eastAsia="仿宋_GB2312" w:cs="宋体"/>
      <w:szCs w:val="28"/>
    </w:rPr>
  </w:style>
  <w:style w:type="paragraph" w:customStyle="1" w:styleId="702">
    <w:name w:val="样式 样式 样式 样式 (西文) 仿宋_GB2312 (中文) 仿宋_GB2312 加粗 段前: 0.5 行 段后: 6 磅 行...1"/>
    <w:basedOn w:val="1"/>
    <w:qFormat/>
    <w:uiPriority w:val="99"/>
    <w:pPr>
      <w:adjustRightInd w:val="0"/>
      <w:snapToGrid w:val="0"/>
      <w:spacing w:line="300" w:lineRule="auto"/>
    </w:pPr>
    <w:rPr>
      <w:rFonts w:eastAsia="仿宋_GB2312" w:cs="宋体"/>
      <w:b/>
      <w:bCs/>
      <w:sz w:val="28"/>
      <w:szCs w:val="20"/>
    </w:rPr>
  </w:style>
  <w:style w:type="paragraph" w:customStyle="1" w:styleId="703">
    <w:name w:val="正式用 表"/>
    <w:qFormat/>
    <w:uiPriority w:val="99"/>
    <w:pPr>
      <w:spacing w:beforeLines="10" w:afterLines="10"/>
      <w:jc w:val="center"/>
    </w:pPr>
    <w:rPr>
      <w:rFonts w:ascii="Times New Roman" w:hAnsi="Times New Roman" w:eastAsia="宋体" w:cs="Times New Roman"/>
      <w:sz w:val="21"/>
      <w:szCs w:val="21"/>
      <w:lang w:val="en-US" w:eastAsia="zh-CN" w:bidi="ar-SA"/>
    </w:rPr>
  </w:style>
  <w:style w:type="paragraph" w:customStyle="1" w:styleId="704">
    <w:name w:val="中等深浅网格 1 - 强调文字颜色 212"/>
    <w:basedOn w:val="1"/>
    <w:qFormat/>
    <w:uiPriority w:val="34"/>
    <w:pPr>
      <w:widowControl/>
      <w:spacing w:line="300" w:lineRule="auto"/>
      <w:ind w:firstLine="420"/>
      <w:jc w:val="left"/>
    </w:pPr>
    <w:rPr>
      <w:rFonts w:ascii="Calibri" w:hAnsi="Calibri"/>
      <w:szCs w:val="21"/>
    </w:rPr>
  </w:style>
  <w:style w:type="paragraph" w:customStyle="1" w:styleId="705">
    <w:name w:val="第一章"/>
    <w:basedOn w:val="4"/>
    <w:qFormat/>
    <w:uiPriority w:val="99"/>
    <w:pPr>
      <w:tabs>
        <w:tab w:val="left" w:pos="420"/>
        <w:tab w:val="left" w:pos="480"/>
      </w:tabs>
      <w:snapToGrid w:val="0"/>
      <w:spacing w:before="340" w:after="330" w:afterAutospacing="0" w:line="500" w:lineRule="atLeast"/>
      <w:ind w:left="420" w:hanging="420"/>
    </w:pPr>
    <w:rPr>
      <w:rFonts w:hAnsi="Times New Roman"/>
      <w:bCs/>
      <w:color w:val="auto"/>
      <w:sz w:val="32"/>
      <w:szCs w:val="32"/>
    </w:rPr>
  </w:style>
  <w:style w:type="paragraph" w:customStyle="1" w:styleId="706">
    <w:name w:val="图题"/>
    <w:basedOn w:val="1"/>
    <w:qFormat/>
    <w:uiPriority w:val="99"/>
    <w:pPr>
      <w:spacing w:beforeLines="50" w:afterLines="50"/>
      <w:jc w:val="center"/>
      <w:outlineLvl w:val="4"/>
    </w:pPr>
    <w:rPr>
      <w:rFonts w:hAnsi="宋体"/>
      <w:b/>
      <w:szCs w:val="22"/>
    </w:rPr>
  </w:style>
  <w:style w:type="paragraph" w:customStyle="1" w:styleId="70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08">
    <w:name w:val="Char Char Char Char Char Char Char Char Char Char"/>
    <w:basedOn w:val="1"/>
    <w:qFormat/>
    <w:uiPriority w:val="99"/>
    <w:pPr>
      <w:tabs>
        <w:tab w:val="left" w:pos="360"/>
      </w:tabs>
      <w:snapToGrid w:val="0"/>
    </w:pPr>
  </w:style>
  <w:style w:type="paragraph" w:customStyle="1" w:styleId="709">
    <w:name w:val="xl1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710">
    <w:name w:val="p0"/>
    <w:basedOn w:val="1"/>
    <w:qFormat/>
    <w:uiPriority w:val="99"/>
    <w:pPr>
      <w:widowControl/>
    </w:pPr>
    <w:rPr>
      <w:kern w:val="0"/>
    </w:rPr>
  </w:style>
  <w:style w:type="paragraph" w:customStyle="1" w:styleId="711">
    <w:name w:val="chu"/>
    <w:basedOn w:val="1"/>
    <w:qFormat/>
    <w:uiPriority w:val="99"/>
    <w:pPr>
      <w:widowControl/>
      <w:spacing w:before="100" w:beforeAutospacing="1" w:after="100" w:afterAutospacing="1"/>
      <w:jc w:val="left"/>
    </w:pPr>
    <w:rPr>
      <w:rFonts w:ascii="宋体" w:hAnsi="宋体"/>
      <w:kern w:val="0"/>
    </w:rPr>
  </w:style>
  <w:style w:type="paragraph" w:customStyle="1" w:styleId="712">
    <w:name w:val="四级标题（苏家屯）"/>
    <w:basedOn w:val="1"/>
    <w:qFormat/>
    <w:uiPriority w:val="99"/>
    <w:pPr>
      <w:keepNext/>
      <w:keepLines/>
      <w:spacing w:before="120" w:after="120"/>
      <w:ind w:firstLine="482"/>
      <w:jc w:val="left"/>
      <w:outlineLvl w:val="3"/>
    </w:pPr>
    <w:rPr>
      <w:rFonts w:ascii="宋体" w:hAnsi="Cambria"/>
      <w:b/>
      <w:bCs/>
      <w:szCs w:val="28"/>
    </w:rPr>
  </w:style>
  <w:style w:type="paragraph" w:customStyle="1" w:styleId="713">
    <w:name w:val="wtext"/>
    <w:basedOn w:val="1"/>
    <w:qFormat/>
    <w:uiPriority w:val="99"/>
    <w:pPr>
      <w:widowControl/>
      <w:spacing w:before="100" w:beforeAutospacing="1" w:after="100" w:afterAutospacing="1"/>
      <w:ind w:firstLine="480"/>
      <w:jc w:val="left"/>
    </w:pPr>
    <w:rPr>
      <w:rFonts w:ascii="ˎ̥" w:hAnsi="ˎ̥"/>
      <w:color w:val="000000"/>
      <w:kern w:val="0"/>
      <w:sz w:val="22"/>
      <w:szCs w:val="22"/>
    </w:rPr>
  </w:style>
  <w:style w:type="paragraph" w:customStyle="1" w:styleId="714">
    <w:name w:val="列出段落3"/>
    <w:basedOn w:val="1"/>
    <w:qFormat/>
    <w:uiPriority w:val="99"/>
    <w:pPr>
      <w:ind w:firstLine="420"/>
    </w:pPr>
    <w:rPr>
      <w:rFonts w:eastAsia="仿宋"/>
    </w:rPr>
  </w:style>
  <w:style w:type="paragraph" w:customStyle="1" w:styleId="715">
    <w:name w:val="样式 样式 仿宋_GB2312 段前: 0.5 行 段后: 6 磅 行距: 1.5 倍行距 + 首行缩进:  2 字符 段后:...2"/>
    <w:basedOn w:val="1"/>
    <w:qFormat/>
    <w:uiPriority w:val="99"/>
    <w:pPr>
      <w:adjustRightInd w:val="0"/>
      <w:snapToGrid w:val="0"/>
      <w:spacing w:afterLines="100" w:line="300" w:lineRule="auto"/>
    </w:pPr>
    <w:rPr>
      <w:rFonts w:ascii="仿宋_GB2312" w:eastAsia="仿宋_GB2312" w:cs="宋体"/>
      <w:sz w:val="28"/>
      <w:szCs w:val="20"/>
    </w:rPr>
  </w:style>
  <w:style w:type="paragraph" w:customStyle="1" w:styleId="716">
    <w:name w:val="标题3（于洪区）"/>
    <w:basedOn w:val="6"/>
    <w:qFormat/>
    <w:uiPriority w:val="99"/>
    <w:pPr>
      <w:keepNext w:val="0"/>
      <w:keepLines w:val="0"/>
      <w:spacing w:beforeLines="50" w:after="0" w:line="360" w:lineRule="auto"/>
      <w:ind w:firstLine="301" w:firstLineChars="100"/>
    </w:pPr>
    <w:rPr>
      <w:rFonts w:ascii="仿宋_GB2312" w:hAnsi="仿宋_GB2312" w:eastAsia="仿宋_GB2312"/>
      <w:color w:val="FF0000"/>
      <w:kern w:val="0"/>
      <w:sz w:val="30"/>
      <w:szCs w:val="30"/>
    </w:rPr>
  </w:style>
  <w:style w:type="paragraph" w:customStyle="1" w:styleId="717">
    <w:name w:val="样式 宋体 首行缩进:  2 字符"/>
    <w:basedOn w:val="1"/>
    <w:qFormat/>
    <w:uiPriority w:val="99"/>
    <w:pPr>
      <w:ind w:firstLine="560"/>
    </w:pPr>
    <w:rPr>
      <w:rFonts w:ascii="宋体" w:hAnsi="宋体" w:cs="宋体"/>
      <w:szCs w:val="20"/>
    </w:rPr>
  </w:style>
  <w:style w:type="paragraph" w:customStyle="1" w:styleId="718">
    <w:name w:val="修订11"/>
    <w:qFormat/>
    <w:uiPriority w:val="99"/>
    <w:rPr>
      <w:rFonts w:ascii="Times New Roman" w:hAnsi="Times New Roman" w:eastAsia="仿宋" w:cs="Times New Roman"/>
      <w:sz w:val="24"/>
      <w:szCs w:val="24"/>
      <w:lang w:val="en-US" w:eastAsia="zh-CN" w:bidi="ar-SA"/>
    </w:rPr>
  </w:style>
  <w:style w:type="paragraph" w:customStyle="1" w:styleId="719">
    <w:name w:val="样式 标题 3 + 黑体 小四 非加粗 段前: 0.5 行 段后: 0 磅 行距: 多倍行距 1.73 字行"/>
    <w:basedOn w:val="6"/>
    <w:qFormat/>
    <w:uiPriority w:val="99"/>
    <w:pPr>
      <w:adjustRightInd w:val="0"/>
      <w:snapToGrid w:val="0"/>
      <w:spacing w:beforeLines="50" w:after="0" w:line="412" w:lineRule="auto"/>
      <w:ind w:firstLine="420"/>
    </w:pPr>
    <w:rPr>
      <w:rFonts w:ascii="黑体" w:hAnsi="仿宋_GB2312" w:eastAsia="黑体" w:cs="宋体"/>
      <w:bCs w:val="0"/>
      <w:kern w:val="0"/>
      <w:sz w:val="28"/>
      <w:szCs w:val="20"/>
    </w:rPr>
  </w:style>
  <w:style w:type="paragraph" w:customStyle="1" w:styleId="720">
    <w:name w:val="xl36"/>
    <w:basedOn w:val="1"/>
    <w:qFormat/>
    <w:uiPriority w:val="99"/>
    <w:pPr>
      <w:widowControl/>
      <w:pBdr>
        <w:top w:val="single" w:color="auto" w:sz="4" w:space="0"/>
        <w:left w:val="single" w:color="auto" w:sz="4" w:space="0"/>
        <w:bottom w:val="single" w:color="auto" w:sz="4" w:space="0"/>
        <w:right w:val="single" w:color="auto" w:sz="4" w:space="0"/>
      </w:pBdr>
      <w:tabs>
        <w:tab w:val="left" w:pos="900"/>
      </w:tabs>
      <w:spacing w:before="100" w:beforeAutospacing="1" w:after="100" w:afterAutospacing="1"/>
      <w:ind w:firstLine="0"/>
      <w:jc w:val="left"/>
      <w:textAlignment w:val="center"/>
    </w:pPr>
    <w:rPr>
      <w:rFonts w:ascii="Arial Unicode MS" w:hAnsi="Arial Unicode MS" w:eastAsia="Arial Unicode MS" w:cs="Arial Unicode MS"/>
      <w:kern w:val="0"/>
      <w:sz w:val="22"/>
      <w:szCs w:val="22"/>
    </w:rPr>
  </w:style>
  <w:style w:type="paragraph" w:customStyle="1" w:styleId="721">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22">
    <w:name w:val="p15"/>
    <w:basedOn w:val="1"/>
    <w:qFormat/>
    <w:uiPriority w:val="0"/>
    <w:pPr>
      <w:widowControl/>
      <w:spacing w:line="240" w:lineRule="auto"/>
      <w:ind w:firstLine="0" w:firstLineChars="0"/>
    </w:pPr>
    <w:rPr>
      <w:kern w:val="0"/>
      <w:sz w:val="21"/>
      <w:szCs w:val="21"/>
    </w:rPr>
  </w:style>
  <w:style w:type="paragraph" w:customStyle="1" w:styleId="723">
    <w:name w:val="印发栏"/>
    <w:basedOn w:val="19"/>
    <w:qFormat/>
    <w:uiPriority w:val="99"/>
    <w:pPr>
      <w:tabs>
        <w:tab w:val="right" w:pos="8465"/>
      </w:tabs>
      <w:autoSpaceDE w:val="0"/>
      <w:autoSpaceDN w:val="0"/>
      <w:spacing w:line="454" w:lineRule="atLeast"/>
      <w:ind w:left="357" w:right="357" w:firstLine="0"/>
      <w:jc w:val="left"/>
      <w:textAlignment w:val="auto"/>
    </w:pPr>
    <w:rPr>
      <w:rFonts w:ascii="Times New Roman" w:hAnsi="Times New Roman" w:eastAsia="方正仿宋_GBK"/>
      <w:color w:val="auto"/>
      <w:sz w:val="32"/>
    </w:rPr>
  </w:style>
  <w:style w:type="paragraph" w:customStyle="1" w:styleId="724">
    <w:name w:val="xl131"/>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25">
    <w:name w:val="Char Char Char Char Char Char Char1"/>
    <w:basedOn w:val="1"/>
    <w:qFormat/>
    <w:uiPriority w:val="99"/>
    <w:pPr>
      <w:widowControl/>
      <w:spacing w:after="160" w:line="240" w:lineRule="exact"/>
      <w:jc w:val="left"/>
    </w:pPr>
    <w:rPr>
      <w:szCs w:val="20"/>
    </w:rPr>
  </w:style>
  <w:style w:type="paragraph" w:customStyle="1" w:styleId="726">
    <w:name w:val="正文02"/>
    <w:basedOn w:val="54"/>
    <w:qFormat/>
    <w:uiPriority w:val="99"/>
    <w:pPr>
      <w:adjustRightInd w:val="0"/>
      <w:snapToGrid w:val="0"/>
      <w:spacing w:before="0" w:beforeAutospacing="0" w:after="0" w:afterAutospacing="0" w:line="500" w:lineRule="exact"/>
      <w:jc w:val="both"/>
    </w:pPr>
    <w:rPr>
      <w:rFonts w:ascii="Times New Roman" w:hAnsi="Times New Roman" w:eastAsia="仿宋_GB2312"/>
      <w:sz w:val="28"/>
      <w:szCs w:val="28"/>
    </w:rPr>
  </w:style>
  <w:style w:type="paragraph" w:customStyle="1" w:styleId="727">
    <w:name w:val="样式 样式 段前: 0.5 行 行距: 1.5 倍行距 首行缩进:  2 字符 + 首行缩进:  2 字符 段后: 1 行"/>
    <w:basedOn w:val="1"/>
    <w:qFormat/>
    <w:uiPriority w:val="99"/>
    <w:pPr>
      <w:adjustRightInd w:val="0"/>
      <w:snapToGrid w:val="0"/>
      <w:spacing w:line="300" w:lineRule="auto"/>
      <w:contextualSpacing/>
    </w:pPr>
    <w:rPr>
      <w:rFonts w:cs="宋体"/>
      <w:sz w:val="28"/>
      <w:szCs w:val="20"/>
    </w:rPr>
  </w:style>
  <w:style w:type="paragraph" w:customStyle="1" w:styleId="72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729">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730">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2"/>
      <w:szCs w:val="22"/>
    </w:rPr>
  </w:style>
  <w:style w:type="paragraph" w:customStyle="1" w:styleId="731">
    <w:name w:val="Char Char Char Char Char Char Char Char Char Char Char Char Char Char Char Char Char Char Char Char Char1 Char Char Char Char Char Char Char"/>
    <w:basedOn w:val="1"/>
    <w:qFormat/>
    <w:uiPriority w:val="99"/>
    <w:pPr>
      <w:widowControl/>
      <w:spacing w:after="160" w:line="240" w:lineRule="exact"/>
      <w:jc w:val="left"/>
    </w:pPr>
    <w:rPr>
      <w:rFonts w:eastAsia="仿宋_GB2312"/>
      <w:sz w:val="32"/>
      <w:szCs w:val="32"/>
    </w:rPr>
  </w:style>
  <w:style w:type="paragraph" w:customStyle="1" w:styleId="732">
    <w:name w:val="论文图名"/>
    <w:basedOn w:val="1"/>
    <w:qFormat/>
    <w:uiPriority w:val="99"/>
    <w:pPr>
      <w:spacing w:beforeLines="30"/>
      <w:jc w:val="center"/>
    </w:pPr>
    <w:rPr>
      <w:rFonts w:ascii="Arial" w:hAnsi="Arial" w:eastAsia="黑体"/>
    </w:rPr>
  </w:style>
  <w:style w:type="paragraph" w:customStyle="1" w:styleId="733">
    <w:name w:val="xl50"/>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73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styleId="735">
    <w:name w:val="No Spacing"/>
    <w:link w:val="736"/>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736">
    <w:name w:val="无间隔 字符1"/>
    <w:link w:val="735"/>
    <w:qFormat/>
    <w:uiPriority w:val="99"/>
    <w:rPr>
      <w:rFonts w:ascii="Times New Roman" w:hAnsi="Times New Roman" w:eastAsia="宋体" w:cs="Times New Roman"/>
    </w:rPr>
  </w:style>
  <w:style w:type="paragraph" w:customStyle="1" w:styleId="737">
    <w:name w:val="修订5"/>
    <w:unhideWhenUsed/>
    <w:qFormat/>
    <w:uiPriority w:val="99"/>
    <w:rPr>
      <w:rFonts w:ascii="Times New Roman" w:hAnsi="Times New Roman" w:eastAsia="宋体" w:cs="Times New Roman"/>
      <w:kern w:val="2"/>
      <w:sz w:val="24"/>
      <w:szCs w:val="24"/>
      <w:lang w:val="en-US" w:eastAsia="zh-CN" w:bidi="ar-SA"/>
    </w:rPr>
  </w:style>
  <w:style w:type="paragraph" w:customStyle="1" w:styleId="73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39">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style>
  <w:style w:type="paragraph" w:customStyle="1" w:styleId="740">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741">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742">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4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b/>
      <w:bCs/>
      <w:kern w:val="0"/>
      <w:sz w:val="20"/>
      <w:szCs w:val="20"/>
    </w:rPr>
  </w:style>
  <w:style w:type="paragraph" w:customStyle="1" w:styleId="744">
    <w:name w:val="样式 样式 样式 样式 样式 样式 (西文) 仿宋_GB2312 (中文) 仿宋_GB2312 加粗 段前: 0.5 行 段后:..."/>
    <w:basedOn w:val="1"/>
    <w:qFormat/>
    <w:uiPriority w:val="99"/>
    <w:pPr>
      <w:adjustRightInd w:val="0"/>
      <w:snapToGrid w:val="0"/>
      <w:spacing w:line="300" w:lineRule="auto"/>
    </w:pPr>
    <w:rPr>
      <w:rFonts w:eastAsia="仿宋_GB2312" w:cs="宋体"/>
      <w:b/>
      <w:bCs/>
      <w:sz w:val="28"/>
      <w:szCs w:val="20"/>
    </w:rPr>
  </w:style>
  <w:style w:type="paragraph" w:customStyle="1" w:styleId="745">
    <w:name w:val="页眉1"/>
    <w:basedOn w:val="1"/>
    <w:qFormat/>
    <w:uiPriority w:val="99"/>
    <w:pPr>
      <w:widowControl/>
      <w:spacing w:before="100" w:beforeAutospacing="1" w:after="100" w:afterAutospacing="1"/>
      <w:jc w:val="left"/>
    </w:pPr>
    <w:rPr>
      <w:rFonts w:ascii="宋体" w:hAnsi="宋体"/>
      <w:b/>
      <w:bCs/>
      <w:color w:val="CC3300"/>
      <w:kern w:val="0"/>
    </w:rPr>
  </w:style>
  <w:style w:type="paragraph" w:customStyle="1" w:styleId="746">
    <w:name w:val="TOC 标题12"/>
    <w:basedOn w:val="4"/>
    <w:next w:val="1"/>
    <w:qFormat/>
    <w:uiPriority w:val="39"/>
    <w:pPr>
      <w:keepNext w:val="0"/>
      <w:keepLines w:val="0"/>
      <w:widowControl/>
      <w:adjustRightInd/>
      <w:spacing w:before="480" w:after="0" w:afterAutospacing="0" w:line="360" w:lineRule="auto"/>
      <w:contextualSpacing/>
      <w:jc w:val="both"/>
      <w:outlineLvl w:val="9"/>
    </w:pPr>
    <w:rPr>
      <w:rFonts w:ascii="Cambria" w:hAnsi="Cambria" w:eastAsia="宋体"/>
      <w:bCs/>
      <w:kern w:val="2"/>
      <w:sz w:val="28"/>
      <w:szCs w:val="28"/>
    </w:rPr>
  </w:style>
  <w:style w:type="paragraph" w:customStyle="1" w:styleId="747">
    <w:name w:val="中等深浅网格 2 - 强调文字颜色 212"/>
    <w:basedOn w:val="1"/>
    <w:next w:val="1"/>
    <w:qFormat/>
    <w:uiPriority w:val="29"/>
    <w:pPr>
      <w:widowControl/>
      <w:spacing w:before="200" w:line="300" w:lineRule="auto"/>
      <w:ind w:left="360" w:right="360"/>
      <w:jc w:val="left"/>
    </w:pPr>
    <w:rPr>
      <w:i/>
      <w:iCs/>
      <w:kern w:val="0"/>
      <w:szCs w:val="20"/>
    </w:rPr>
  </w:style>
  <w:style w:type="paragraph" w:customStyle="1" w:styleId="748">
    <w:name w:val="正 文 杜"/>
    <w:basedOn w:val="1"/>
    <w:next w:val="1"/>
    <w:qFormat/>
    <w:uiPriority w:val="99"/>
    <w:pPr>
      <w:ind w:firstLine="480"/>
    </w:pPr>
    <w:rPr>
      <w:rFonts w:ascii="宋体" w:hAnsi="宋体" w:cs="宋体"/>
    </w:rPr>
  </w:style>
  <w:style w:type="paragraph" w:customStyle="1" w:styleId="749">
    <w:name w:val="Char Char Char Char"/>
    <w:basedOn w:val="1"/>
    <w:qFormat/>
    <w:uiPriority w:val="99"/>
    <w:rPr>
      <w:rFonts w:ascii="宋体" w:hAnsi="宋体" w:cs="宋体"/>
    </w:rPr>
  </w:style>
  <w:style w:type="paragraph" w:customStyle="1" w:styleId="750">
    <w:name w:val="zheng"/>
    <w:basedOn w:val="1"/>
    <w:qFormat/>
    <w:uiPriority w:val="99"/>
    <w:pPr>
      <w:spacing w:line="440" w:lineRule="exact"/>
      <w:ind w:firstLine="480"/>
    </w:pPr>
  </w:style>
  <w:style w:type="paragraph" w:customStyle="1" w:styleId="751">
    <w:name w:val="xl45"/>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752">
    <w:name w:val="p16"/>
    <w:basedOn w:val="1"/>
    <w:qFormat/>
    <w:uiPriority w:val="99"/>
    <w:pPr>
      <w:widowControl/>
      <w:spacing w:before="100" w:beforeAutospacing="1" w:after="100" w:afterAutospacing="1"/>
      <w:jc w:val="left"/>
    </w:pPr>
    <w:rPr>
      <w:rFonts w:eastAsia="Times New Roman"/>
      <w:kern w:val="0"/>
    </w:rPr>
  </w:style>
  <w:style w:type="paragraph" w:customStyle="1" w:styleId="753">
    <w:name w:val="修订3"/>
    <w:qFormat/>
    <w:uiPriority w:val="99"/>
    <w:rPr>
      <w:rFonts w:ascii="Times New Roman" w:hAnsi="Times New Roman" w:eastAsia="宋体" w:cs="Times New Roman"/>
      <w:kern w:val="2"/>
      <w:sz w:val="21"/>
      <w:szCs w:val="24"/>
      <w:lang w:val="en-US" w:eastAsia="zh-CN" w:bidi="ar-SA"/>
    </w:rPr>
  </w:style>
  <w:style w:type="paragraph" w:customStyle="1" w:styleId="754">
    <w:name w:val="et11"/>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755">
    <w:name w:val="2"/>
    <w:qFormat/>
    <w:uiPriority w:val="99"/>
    <w:pPr>
      <w:widowControl w:val="0"/>
      <w:spacing w:line="360" w:lineRule="auto"/>
      <w:jc w:val="both"/>
    </w:pPr>
    <w:rPr>
      <w:rFonts w:ascii="Calibri" w:hAnsi="Calibri" w:eastAsia="宋体" w:cs="Times New Roman"/>
      <w:kern w:val="2"/>
      <w:sz w:val="21"/>
      <w:szCs w:val="21"/>
      <w:lang w:val="en-US" w:eastAsia="zh-CN" w:bidi="ar-SA"/>
    </w:rPr>
  </w:style>
  <w:style w:type="paragraph" w:customStyle="1" w:styleId="756">
    <w:name w:val="6"/>
    <w:basedOn w:val="1"/>
    <w:next w:val="3"/>
    <w:qFormat/>
    <w:uiPriority w:val="99"/>
    <w:pPr>
      <w:spacing w:after="120"/>
      <w:ind w:left="420" w:leftChars="200"/>
    </w:pPr>
  </w:style>
  <w:style w:type="paragraph" w:customStyle="1" w:styleId="757">
    <w:name w:val="中等深浅列表 2 - 强调文字颜色 21"/>
    <w:qFormat/>
    <w:uiPriority w:val="99"/>
    <w:pPr>
      <w:spacing w:line="300" w:lineRule="auto"/>
    </w:pPr>
    <w:rPr>
      <w:rFonts w:ascii="Times New Roman" w:hAnsi="Times New Roman" w:eastAsia="仿宋" w:cs="Times New Roman"/>
      <w:kern w:val="2"/>
      <w:sz w:val="24"/>
      <w:szCs w:val="24"/>
      <w:lang w:val="en-US" w:eastAsia="zh-CN" w:bidi="ar-SA"/>
    </w:rPr>
  </w:style>
  <w:style w:type="paragraph" w:customStyle="1" w:styleId="758">
    <w:name w:val="列出段落1"/>
    <w:basedOn w:val="1"/>
    <w:qFormat/>
    <w:uiPriority w:val="34"/>
    <w:pPr>
      <w:ind w:firstLine="420"/>
    </w:pPr>
    <w:rPr>
      <w:rFonts w:ascii="Calibri" w:hAnsi="Calibri"/>
      <w:szCs w:val="21"/>
    </w:rPr>
  </w:style>
  <w:style w:type="paragraph" w:customStyle="1" w:styleId="759">
    <w:name w:val="红线"/>
    <w:basedOn w:val="4"/>
    <w:qFormat/>
    <w:uiPriority w:val="99"/>
    <w:pPr>
      <w:keepNext w:val="0"/>
      <w:keepLines w:val="0"/>
      <w:autoSpaceDE w:val="0"/>
      <w:autoSpaceDN w:val="0"/>
      <w:spacing w:after="851" w:afterAutospacing="0" w:line="227" w:lineRule="atLeast"/>
      <w:ind w:right="-142"/>
      <w:outlineLvl w:val="9"/>
    </w:pPr>
    <w:rPr>
      <w:rFonts w:ascii="宋体" w:hAnsi="Times New Roman" w:eastAsia="宋体"/>
      <w:color w:val="auto"/>
      <w:sz w:val="10"/>
      <w:szCs w:val="20"/>
    </w:rPr>
  </w:style>
  <w:style w:type="paragraph" w:customStyle="1" w:styleId="760">
    <w:name w:val="xl79"/>
    <w:basedOn w:val="1"/>
    <w:qFormat/>
    <w:uiPriority w:val="99"/>
    <w:pPr>
      <w:widowControl/>
      <w:pBdr>
        <w:left w:val="single" w:color="auto" w:sz="8" w:space="0"/>
        <w:right w:val="single" w:color="auto" w:sz="8" w:space="0"/>
      </w:pBdr>
      <w:spacing w:before="100" w:beforeAutospacing="1" w:after="100" w:afterAutospacing="1"/>
      <w:jc w:val="center"/>
    </w:pPr>
    <w:rPr>
      <w:color w:val="00B050"/>
      <w:kern w:val="0"/>
      <w:sz w:val="12"/>
      <w:szCs w:val="12"/>
    </w:rPr>
  </w:style>
  <w:style w:type="paragraph" w:customStyle="1" w:styleId="761">
    <w:name w:val="图件头"/>
    <w:basedOn w:val="1"/>
    <w:qFormat/>
    <w:uiPriority w:val="99"/>
    <w:rPr>
      <w:b/>
      <w:bCs/>
    </w:rPr>
  </w:style>
  <w:style w:type="paragraph" w:customStyle="1" w:styleId="762">
    <w:name w:val="xl37"/>
    <w:basedOn w:val="1"/>
    <w:qFormat/>
    <w:uiPriority w:val="99"/>
    <w:pPr>
      <w:widowControl/>
      <w:pBdr>
        <w:top w:val="single" w:color="auto" w:sz="4" w:space="0"/>
        <w:left w:val="single" w:color="auto" w:sz="4" w:space="0"/>
        <w:bottom w:val="single" w:color="auto" w:sz="4" w:space="0"/>
        <w:right w:val="single" w:color="auto" w:sz="4" w:space="0"/>
      </w:pBdr>
      <w:tabs>
        <w:tab w:val="left" w:pos="840"/>
      </w:tabs>
      <w:spacing w:before="100" w:beforeAutospacing="1" w:after="100" w:afterAutospacing="1"/>
      <w:ind w:firstLine="0"/>
      <w:jc w:val="center"/>
      <w:textAlignment w:val="center"/>
    </w:pPr>
    <w:rPr>
      <w:rFonts w:ascii="Arial Unicode MS" w:hAnsi="Arial Unicode MS" w:eastAsia="Arial Unicode MS" w:cs="Arial Unicode MS"/>
      <w:b/>
      <w:bCs/>
      <w:kern w:val="0"/>
      <w:sz w:val="22"/>
      <w:szCs w:val="22"/>
    </w:rPr>
  </w:style>
  <w:style w:type="paragraph" w:customStyle="1" w:styleId="763">
    <w:name w:val="xl47"/>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764">
    <w:name w:val="页眉3"/>
    <w:basedOn w:val="1"/>
    <w:qFormat/>
    <w:uiPriority w:val="99"/>
    <w:pPr>
      <w:widowControl/>
      <w:spacing w:before="100" w:beforeAutospacing="1" w:after="100" w:afterAutospacing="1"/>
      <w:jc w:val="left"/>
    </w:pPr>
    <w:rPr>
      <w:rFonts w:ascii="宋体" w:hAnsi="宋体"/>
      <w:b/>
      <w:bCs/>
      <w:color w:val="CC3300"/>
      <w:kern w:val="0"/>
    </w:rPr>
  </w:style>
  <w:style w:type="paragraph" w:customStyle="1" w:styleId="765">
    <w:name w:val="论文标题3"/>
    <w:basedOn w:val="1"/>
    <w:qFormat/>
    <w:uiPriority w:val="99"/>
    <w:rPr>
      <w:rFonts w:ascii="Arial" w:hAnsi="Arial" w:eastAsia="黑体"/>
      <w:sz w:val="28"/>
    </w:rPr>
  </w:style>
  <w:style w:type="paragraph" w:customStyle="1" w:styleId="766">
    <w:name w:val="样式 首行缩进:  2 字符"/>
    <w:basedOn w:val="1"/>
    <w:qFormat/>
    <w:uiPriority w:val="99"/>
    <w:pPr>
      <w:ind w:firstLine="566" w:firstLineChars="202"/>
    </w:pPr>
    <w:rPr>
      <w:rFonts w:eastAsia="仿宋_GB2312" w:cs="宋体"/>
      <w:kern w:val="0"/>
      <w:sz w:val="28"/>
      <w:szCs w:val="20"/>
      <w:lang w:bidi="en-US"/>
    </w:rPr>
  </w:style>
  <w:style w:type="paragraph" w:customStyle="1" w:styleId="76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68">
    <w:name w:val="Char Char1 Char Char Char Char Char Char1"/>
    <w:basedOn w:val="1"/>
    <w:qFormat/>
    <w:uiPriority w:val="99"/>
    <w:pPr>
      <w:widowControl/>
      <w:spacing w:after="160" w:line="240" w:lineRule="exact"/>
      <w:jc w:val="left"/>
    </w:pPr>
    <w:rPr>
      <w:rFonts w:ascii="Verdana" w:hAnsi="Verdana" w:eastAsia="仿宋_GB2312" w:cs="Verdana"/>
      <w:kern w:val="0"/>
      <w:lang w:eastAsia="en-US"/>
    </w:rPr>
  </w:style>
  <w:style w:type="paragraph" w:customStyle="1" w:styleId="769">
    <w:name w:val="日期3"/>
    <w:basedOn w:val="1"/>
    <w:next w:val="1"/>
    <w:qFormat/>
    <w:uiPriority w:val="99"/>
    <w:pPr>
      <w:adjustRightInd w:val="0"/>
      <w:textAlignment w:val="baseline"/>
    </w:pPr>
    <w:rPr>
      <w:szCs w:val="20"/>
    </w:rPr>
  </w:style>
  <w:style w:type="paragraph" w:customStyle="1" w:styleId="770">
    <w:name w:val="五级标题（苏家屯）"/>
    <w:basedOn w:val="1"/>
    <w:qFormat/>
    <w:uiPriority w:val="99"/>
    <w:pPr>
      <w:keepNext/>
      <w:keepLines/>
      <w:spacing w:beforeLines="50"/>
      <w:ind w:firstLine="480"/>
      <w:jc w:val="left"/>
      <w:outlineLvl w:val="4"/>
    </w:pPr>
    <w:rPr>
      <w:rFonts w:ascii="宋体" w:hAnsi="Calibri"/>
      <w:bCs/>
      <w:szCs w:val="28"/>
    </w:rPr>
  </w:style>
  <w:style w:type="paragraph" w:customStyle="1" w:styleId="771">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772">
    <w:name w:val="文字"/>
    <w:basedOn w:val="1"/>
    <w:qFormat/>
    <w:uiPriority w:val="99"/>
    <w:pPr>
      <w:spacing w:after="120"/>
      <w:ind w:firstLine="480"/>
    </w:pPr>
    <w:rPr>
      <w:rFonts w:ascii="仿宋_GB2312" w:hAnsi="宋体" w:eastAsia="仿宋_GB2312"/>
    </w:rPr>
  </w:style>
  <w:style w:type="paragraph" w:customStyle="1" w:styleId="773">
    <w:name w:val="正文缩进1"/>
    <w:basedOn w:val="1"/>
    <w:qFormat/>
    <w:uiPriority w:val="99"/>
    <w:pPr>
      <w:adjustRightInd w:val="0"/>
      <w:spacing w:line="360" w:lineRule="atLeast"/>
      <w:ind w:firstLine="420"/>
      <w:textAlignment w:val="baseline"/>
    </w:pPr>
    <w:rPr>
      <w:rFonts w:ascii="Arial" w:hAnsi="Arial" w:eastAsia="楷体_GB2312"/>
      <w:color w:val="000000"/>
      <w:kern w:val="0"/>
      <w:sz w:val="28"/>
      <w:szCs w:val="20"/>
    </w:rPr>
  </w:style>
  <w:style w:type="paragraph" w:customStyle="1" w:styleId="77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7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7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77">
    <w:name w:val="a0"/>
    <w:basedOn w:val="1"/>
    <w:qFormat/>
    <w:uiPriority w:val="99"/>
    <w:pPr>
      <w:widowControl/>
      <w:spacing w:before="100" w:beforeAutospacing="1" w:after="100" w:afterAutospacing="1"/>
      <w:jc w:val="left"/>
    </w:pPr>
    <w:rPr>
      <w:rFonts w:ascii="宋体" w:hAnsi="宋体"/>
      <w:color w:val="000000"/>
      <w:kern w:val="0"/>
    </w:rPr>
  </w:style>
  <w:style w:type="paragraph" w:customStyle="1" w:styleId="778">
    <w:name w:val="et34"/>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779">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780">
    <w:name w:val="文章正文"/>
    <w:qFormat/>
    <w:uiPriority w:val="99"/>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781">
    <w:name w:val="样式 标题 2节 + 四号 居中"/>
    <w:basedOn w:val="5"/>
    <w:qFormat/>
    <w:uiPriority w:val="99"/>
    <w:pPr>
      <w:keepNext w:val="0"/>
      <w:keepLines w:val="0"/>
      <w:spacing w:before="0" w:after="0" w:line="360" w:lineRule="auto"/>
    </w:pPr>
    <w:rPr>
      <w:rFonts w:ascii="宋体" w:hAnsi="Times New Roman" w:eastAsia="宋体"/>
      <w:kern w:val="2"/>
      <w:sz w:val="28"/>
      <w:szCs w:val="20"/>
    </w:rPr>
  </w:style>
  <w:style w:type="paragraph" w:customStyle="1" w:styleId="782">
    <w:name w:val="px12s"/>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78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784">
    <w:name w:val="文头"/>
    <w:basedOn w:val="1"/>
    <w:qFormat/>
    <w:uiPriority w:val="99"/>
    <w:pPr>
      <w:tabs>
        <w:tab w:val="left" w:pos="6663"/>
      </w:tabs>
      <w:autoSpaceDE w:val="0"/>
      <w:autoSpaceDN w:val="0"/>
      <w:snapToGrid w:val="0"/>
      <w:spacing w:before="40" w:after="800" w:line="1640" w:lineRule="atLeast"/>
      <w:ind w:left="511" w:right="227" w:hanging="284"/>
      <w:jc w:val="distribute"/>
    </w:pPr>
    <w:rPr>
      <w:rFonts w:ascii="汉鼎简大宋" w:eastAsia="汉鼎简大宋"/>
      <w:b/>
      <w:color w:val="FF0000"/>
      <w:w w:val="50"/>
      <w:kern w:val="0"/>
      <w:sz w:val="136"/>
      <w:szCs w:val="20"/>
    </w:rPr>
  </w:style>
  <w:style w:type="paragraph" w:customStyle="1" w:styleId="785">
    <w:name w:val="font9"/>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86">
    <w:name w:val="et40"/>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787">
    <w:name w:val="样式14"/>
    <w:basedOn w:val="1"/>
    <w:qFormat/>
    <w:uiPriority w:val="99"/>
    <w:pPr>
      <w:tabs>
        <w:tab w:val="left" w:pos="386"/>
        <w:tab w:val="left" w:pos="579"/>
      </w:tabs>
      <w:adjustRightInd w:val="0"/>
      <w:snapToGrid w:val="0"/>
      <w:ind w:firstLine="482"/>
      <w:jc w:val="left"/>
      <w:outlineLvl w:val="3"/>
    </w:pPr>
    <w:rPr>
      <w:rFonts w:eastAsia="仿宋_GB2312"/>
      <w:b/>
      <w:color w:val="000000"/>
    </w:rPr>
  </w:style>
  <w:style w:type="paragraph" w:customStyle="1" w:styleId="788">
    <w:name w:val="样式 小四 段前: 7.8 磅 段后: 7.8 磅 行距: 1.5 倍行距"/>
    <w:basedOn w:val="1"/>
    <w:qFormat/>
    <w:uiPriority w:val="0"/>
    <w:pPr>
      <w:spacing w:beforeLines="50" w:afterLines="50" w:line="312" w:lineRule="auto"/>
      <w:ind w:left="420" w:firstLine="0" w:firstLineChars="0"/>
      <w:jc w:val="center"/>
    </w:pPr>
    <w:rPr>
      <w:rFonts w:cs="宋体"/>
      <w:szCs w:val="20"/>
    </w:rPr>
  </w:style>
  <w:style w:type="paragraph" w:customStyle="1" w:styleId="789">
    <w:name w:val="_Style 536"/>
    <w:qFormat/>
    <w:uiPriority w:val="99"/>
    <w:pPr>
      <w:spacing w:line="300" w:lineRule="auto"/>
    </w:pPr>
    <w:rPr>
      <w:rFonts w:ascii="Calibri" w:hAnsi="Calibri" w:eastAsia="宋体" w:cs="Times New Roman"/>
      <w:kern w:val="2"/>
      <w:sz w:val="21"/>
      <w:szCs w:val="21"/>
      <w:lang w:val="en-US" w:eastAsia="zh-CN" w:bidi="ar-SA"/>
    </w:rPr>
  </w:style>
  <w:style w:type="paragraph" w:customStyle="1" w:styleId="790">
    <w:name w:val="页眉4"/>
    <w:basedOn w:val="1"/>
    <w:qFormat/>
    <w:uiPriority w:val="99"/>
    <w:pPr>
      <w:widowControl/>
      <w:spacing w:before="100" w:beforeAutospacing="1" w:after="100" w:afterAutospacing="1"/>
      <w:jc w:val="left"/>
    </w:pPr>
    <w:rPr>
      <w:rFonts w:ascii="宋体" w:hAnsi="宋体"/>
      <w:b/>
      <w:bCs/>
      <w:color w:val="CC3300"/>
      <w:kern w:val="0"/>
    </w:rPr>
  </w:style>
  <w:style w:type="paragraph" w:customStyle="1" w:styleId="791">
    <w:name w:val="标题 41"/>
    <w:basedOn w:val="1"/>
    <w:next w:val="1"/>
    <w:qFormat/>
    <w:uiPriority w:val="9"/>
    <w:pPr>
      <w:keepNext/>
      <w:keepLines/>
      <w:spacing w:beforeLines="50" w:afterLines="50"/>
      <w:ind w:left="1680"/>
      <w:outlineLvl w:val="3"/>
    </w:pPr>
    <w:rPr>
      <w:rFonts w:ascii="Calibri Light" w:hAnsi="Calibri Light" w:eastAsia="Times New Roman"/>
      <w:b/>
      <w:bCs/>
      <w:sz w:val="28"/>
      <w:szCs w:val="28"/>
    </w:rPr>
  </w:style>
  <w:style w:type="paragraph" w:customStyle="1" w:styleId="792">
    <w:name w:val="xl49"/>
    <w:basedOn w:val="1"/>
    <w:qFormat/>
    <w:uiPriority w:val="99"/>
    <w:pPr>
      <w:widowControl/>
      <w:spacing w:before="100" w:beforeAutospacing="1" w:after="100" w:afterAutospacing="1"/>
      <w:jc w:val="left"/>
    </w:pPr>
    <w:rPr>
      <w:rFonts w:ascii="Arial Unicode MS" w:hAnsi="Arial Unicode MS" w:eastAsia="Arial Unicode MS" w:cs="Arial Unicode MS"/>
      <w:color w:val="FF0000"/>
      <w:kern w:val="0"/>
    </w:rPr>
  </w:style>
  <w:style w:type="paragraph" w:customStyle="1" w:styleId="793">
    <w:name w:val="et23"/>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794">
    <w:name w:val="et42"/>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795">
    <w:name w:val="Char Char Char2"/>
    <w:basedOn w:val="1"/>
    <w:qFormat/>
    <w:uiPriority w:val="99"/>
    <w:pPr>
      <w:widowControl/>
      <w:spacing w:line="300" w:lineRule="auto"/>
      <w:jc w:val="left"/>
    </w:pPr>
    <w:rPr>
      <w:szCs w:val="22"/>
    </w:rPr>
  </w:style>
  <w:style w:type="paragraph" w:customStyle="1" w:styleId="796">
    <w:name w:val="xl146"/>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797">
    <w:name w:val="xl63"/>
    <w:basedOn w:val="1"/>
    <w:qFormat/>
    <w:uiPriority w:val="99"/>
    <w:pPr>
      <w:widowControl/>
      <w:spacing w:before="100" w:beforeAutospacing="1" w:after="100" w:afterAutospacing="1"/>
      <w:jc w:val="left"/>
    </w:pPr>
    <w:rPr>
      <w:rFonts w:ascii="宋体" w:hAnsi="宋体" w:cs="宋体"/>
      <w:kern w:val="0"/>
    </w:rPr>
  </w:style>
  <w:style w:type="paragraph" w:customStyle="1" w:styleId="798">
    <w:name w:val="正文01"/>
    <w:basedOn w:val="1"/>
    <w:qFormat/>
    <w:uiPriority w:val="99"/>
    <w:pPr>
      <w:adjustRightInd w:val="0"/>
      <w:snapToGrid w:val="0"/>
      <w:spacing w:line="460" w:lineRule="exact"/>
    </w:pPr>
    <w:rPr>
      <w:color w:val="000000"/>
      <w:kern w:val="0"/>
    </w:rPr>
  </w:style>
  <w:style w:type="paragraph" w:customStyle="1" w:styleId="799">
    <w:name w:val="表头1"/>
    <w:basedOn w:val="1"/>
    <w:qFormat/>
    <w:uiPriority w:val="99"/>
    <w:pPr>
      <w:spacing w:before="120"/>
      <w:jc w:val="center"/>
    </w:pPr>
    <w:rPr>
      <w:rFonts w:eastAsia="黑体"/>
    </w:rPr>
  </w:style>
  <w:style w:type="paragraph" w:customStyle="1" w:styleId="800">
    <w:name w:val="表名"/>
    <w:basedOn w:val="1"/>
    <w:link w:val="801"/>
    <w:qFormat/>
    <w:uiPriority w:val="99"/>
    <w:pPr>
      <w:spacing w:beforeLines="50" w:afterLines="50"/>
    </w:pPr>
    <w:rPr>
      <w:szCs w:val="20"/>
    </w:rPr>
  </w:style>
  <w:style w:type="character" w:customStyle="1" w:styleId="801">
    <w:name w:val="表名 Char"/>
    <w:link w:val="800"/>
    <w:qFormat/>
    <w:uiPriority w:val="99"/>
    <w:rPr>
      <w:rFonts w:ascii="Times New Roman" w:hAnsi="Times New Roman" w:eastAsia="宋体" w:cs="Times New Roman"/>
      <w:sz w:val="24"/>
      <w:szCs w:val="20"/>
    </w:rPr>
  </w:style>
  <w:style w:type="paragraph" w:customStyle="1" w:styleId="802">
    <w:name w:val="样式 标题 2 + (西文) 楷体_GB2312 (中文) 楷体_GB2312 小三 段前: 5 磅 段后: 5 磅 ..."/>
    <w:basedOn w:val="5"/>
    <w:qFormat/>
    <w:uiPriority w:val="99"/>
    <w:pPr>
      <w:spacing w:before="0" w:after="0" w:line="360" w:lineRule="auto"/>
    </w:pPr>
    <w:rPr>
      <w:rFonts w:ascii="楷体_GB2312" w:hAnsi="Cambria" w:eastAsia="楷体_GB2312" w:cs="宋体"/>
      <w:kern w:val="2"/>
      <w:sz w:val="30"/>
      <w:szCs w:val="20"/>
    </w:rPr>
  </w:style>
  <w:style w:type="paragraph" w:customStyle="1" w:styleId="803">
    <w:name w:val="题目样式"/>
    <w:basedOn w:val="1"/>
    <w:qFormat/>
    <w:uiPriority w:val="99"/>
    <w:pPr>
      <w:spacing w:before="480" w:after="240"/>
      <w:jc w:val="center"/>
    </w:pPr>
    <w:rPr>
      <w:rFonts w:ascii="黑体" w:eastAsia="黑体"/>
      <w:b/>
      <w:bCs/>
      <w:sz w:val="44"/>
      <w:szCs w:val="20"/>
    </w:rPr>
  </w:style>
  <w:style w:type="paragraph" w:customStyle="1" w:styleId="804">
    <w:name w:val="Char Char Char Char Char Char Char"/>
    <w:basedOn w:val="1"/>
    <w:qFormat/>
    <w:uiPriority w:val="99"/>
    <w:rPr>
      <w:rFonts w:eastAsia="仿宋"/>
    </w:rPr>
  </w:style>
  <w:style w:type="paragraph" w:customStyle="1" w:styleId="805">
    <w:name w:val="修订4"/>
    <w:qFormat/>
    <w:uiPriority w:val="99"/>
    <w:rPr>
      <w:rFonts w:ascii="Times New Roman" w:hAnsi="Times New Roman" w:eastAsia="仿宋" w:cs="Times New Roman"/>
      <w:kern w:val="2"/>
      <w:sz w:val="24"/>
      <w:szCs w:val="24"/>
      <w:lang w:val="en-US" w:eastAsia="zh-CN" w:bidi="ar-SA"/>
    </w:rPr>
  </w:style>
  <w:style w:type="paragraph" w:customStyle="1" w:styleId="806">
    <w:name w:val="xl132"/>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807">
    <w:name w:val="xl42"/>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0"/>
      <w:szCs w:val="20"/>
    </w:rPr>
  </w:style>
  <w:style w:type="paragraph" w:customStyle="1" w:styleId="808">
    <w:name w:val="附件栏"/>
    <w:basedOn w:val="1"/>
    <w:qFormat/>
    <w:uiPriority w:val="99"/>
    <w:pPr>
      <w:autoSpaceDE w:val="0"/>
      <w:autoSpaceDN w:val="0"/>
      <w:snapToGrid w:val="0"/>
      <w:spacing w:line="590" w:lineRule="atLeast"/>
      <w:ind w:firstLine="624"/>
    </w:pPr>
    <w:rPr>
      <w:rFonts w:eastAsia="方正仿宋_GBK"/>
      <w:kern w:val="0"/>
      <w:sz w:val="32"/>
      <w:szCs w:val="20"/>
    </w:rPr>
  </w:style>
  <w:style w:type="paragraph" w:customStyle="1" w:styleId="809">
    <w:name w:val="Char2 Char Char Char"/>
    <w:basedOn w:val="1"/>
    <w:qFormat/>
    <w:uiPriority w:val="99"/>
    <w:pPr>
      <w:tabs>
        <w:tab w:val="left" w:pos="1360"/>
      </w:tabs>
      <w:ind w:left="1360" w:hanging="720"/>
    </w:pPr>
  </w:style>
  <w:style w:type="paragraph" w:customStyle="1" w:styleId="810">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811">
    <w:name w:val="Char1 Char Char Char Char Char Char"/>
    <w:basedOn w:val="1"/>
    <w:qFormat/>
    <w:uiPriority w:val="99"/>
    <w:rPr>
      <w:rFonts w:ascii="宋体" w:hAnsi="宋体" w:cs="宋体"/>
    </w:rPr>
  </w:style>
  <w:style w:type="paragraph" w:customStyle="1" w:styleId="812">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813">
    <w:name w:val="日期2"/>
    <w:basedOn w:val="1"/>
    <w:next w:val="1"/>
    <w:qFormat/>
    <w:uiPriority w:val="99"/>
    <w:pPr>
      <w:adjustRightInd w:val="0"/>
      <w:textAlignment w:val="baseline"/>
    </w:pPr>
    <w:rPr>
      <w:szCs w:val="20"/>
    </w:rPr>
  </w:style>
  <w:style w:type="paragraph" w:customStyle="1" w:styleId="81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815">
    <w:name w:val="批注主题3"/>
    <w:basedOn w:val="23"/>
    <w:next w:val="23"/>
    <w:qFormat/>
    <w:uiPriority w:val="99"/>
    <w:rPr>
      <w:rFonts w:ascii="Calibri" w:hAnsi="Calibri"/>
      <w:b/>
      <w:bCs/>
      <w:kern w:val="0"/>
      <w:sz w:val="20"/>
      <w:szCs w:val="21"/>
    </w:rPr>
  </w:style>
  <w:style w:type="paragraph" w:customStyle="1" w:styleId="81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17">
    <w:name w:val="xl78"/>
    <w:basedOn w:val="1"/>
    <w:qFormat/>
    <w:uiPriority w:val="99"/>
    <w:pPr>
      <w:widowControl/>
      <w:pBdr>
        <w:right w:val="single" w:color="auto" w:sz="8" w:space="0"/>
      </w:pBdr>
      <w:spacing w:before="100" w:beforeAutospacing="1" w:after="100" w:afterAutospacing="1"/>
      <w:jc w:val="center"/>
    </w:pPr>
    <w:rPr>
      <w:rFonts w:ascii="宋体" w:hAnsi="宋体" w:cs="宋体"/>
      <w:color w:val="00B050"/>
      <w:kern w:val="0"/>
      <w:sz w:val="12"/>
      <w:szCs w:val="12"/>
    </w:rPr>
  </w:style>
  <w:style w:type="paragraph" w:customStyle="1" w:styleId="818">
    <w:name w:val="et49"/>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819">
    <w:name w:val="标题四"/>
    <w:qFormat/>
    <w:uiPriority w:val="99"/>
    <w:pPr>
      <w:spacing w:line="300" w:lineRule="auto"/>
      <w:ind w:firstLine="420"/>
    </w:pPr>
    <w:rPr>
      <w:rFonts w:ascii="Times New Roman" w:hAnsi="Times New Roman" w:eastAsia="宋体" w:cs="宋体"/>
      <w:b/>
      <w:kern w:val="2"/>
      <w:sz w:val="24"/>
      <w:lang w:val="en-US" w:eastAsia="zh-CN" w:bidi="ar-SA"/>
    </w:rPr>
  </w:style>
  <w:style w:type="paragraph" w:customStyle="1" w:styleId="820">
    <w:name w:val="TOC 标题11"/>
    <w:basedOn w:val="4"/>
    <w:next w:val="1"/>
    <w:qFormat/>
    <w:uiPriority w:val="39"/>
    <w:pPr>
      <w:keepNext w:val="0"/>
      <w:keepLines w:val="0"/>
      <w:widowControl/>
      <w:adjustRightInd/>
      <w:spacing w:before="480" w:after="0" w:afterAutospacing="0" w:line="360" w:lineRule="auto"/>
      <w:contextualSpacing/>
      <w:jc w:val="both"/>
      <w:outlineLvl w:val="9"/>
    </w:pPr>
    <w:rPr>
      <w:rFonts w:ascii="Cambria" w:hAnsi="Cambria" w:eastAsia="宋体"/>
      <w:bCs/>
      <w:kern w:val="2"/>
      <w:sz w:val="28"/>
      <w:szCs w:val="28"/>
    </w:rPr>
  </w:style>
  <w:style w:type="paragraph" w:customStyle="1" w:styleId="821">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22">
    <w:name w:val="font5"/>
    <w:basedOn w:val="1"/>
    <w:qFormat/>
    <w:uiPriority w:val="99"/>
    <w:pPr>
      <w:widowControl/>
      <w:spacing w:before="100" w:beforeAutospacing="1" w:after="100" w:afterAutospacing="1"/>
      <w:jc w:val="left"/>
    </w:pPr>
    <w:rPr>
      <w:rFonts w:hint="eastAsia" w:ascii="宋体" w:hAnsi="宋体" w:cs="Arial Unicode MS"/>
      <w:kern w:val="0"/>
      <w:sz w:val="18"/>
      <w:szCs w:val="18"/>
    </w:rPr>
  </w:style>
  <w:style w:type="paragraph" w:customStyle="1" w:styleId="823">
    <w:name w:val="修编标题 2"/>
    <w:basedOn w:val="5"/>
    <w:qFormat/>
    <w:uiPriority w:val="99"/>
    <w:pPr>
      <w:spacing w:before="240" w:after="240" w:line="360" w:lineRule="auto"/>
    </w:pPr>
    <w:rPr>
      <w:rFonts w:ascii="楷体_GB2312" w:hAnsi="Times New Roman" w:eastAsia="楷体_GB2312"/>
      <w:color w:val="000000"/>
      <w:kern w:val="2"/>
      <w:sz w:val="28"/>
      <w:szCs w:val="28"/>
    </w:rPr>
  </w:style>
  <w:style w:type="paragraph" w:customStyle="1" w:styleId="824">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b/>
      <w:bCs/>
      <w:kern w:val="0"/>
      <w:sz w:val="20"/>
      <w:szCs w:val="20"/>
    </w:rPr>
  </w:style>
  <w:style w:type="paragraph" w:customStyle="1" w:styleId="825">
    <w:name w:val="样式 样式 (西文) 仿宋_GB2312 (中文) 仿宋_GB2312 (符号) 宋体 加粗 段前: 0.5 行 行距: 1....."/>
    <w:basedOn w:val="1"/>
    <w:qFormat/>
    <w:uiPriority w:val="99"/>
    <w:pPr>
      <w:adjustRightInd w:val="0"/>
      <w:snapToGrid w:val="0"/>
      <w:spacing w:afterLines="100" w:line="300" w:lineRule="auto"/>
      <w:contextualSpacing/>
    </w:pPr>
    <w:rPr>
      <w:rFonts w:ascii="仿宋_GB2312" w:hAnsi="宋体" w:eastAsia="仿宋_GB2312" w:cs="宋体"/>
      <w:b/>
      <w:bCs/>
      <w:sz w:val="28"/>
      <w:szCs w:val="20"/>
    </w:rPr>
  </w:style>
  <w:style w:type="paragraph" w:customStyle="1" w:styleId="826">
    <w:name w:val="xl104"/>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color w:val="000000"/>
      <w:kern w:val="0"/>
      <w:sz w:val="20"/>
      <w:szCs w:val="20"/>
    </w:rPr>
  </w:style>
  <w:style w:type="paragraph" w:customStyle="1" w:styleId="827">
    <w:name w:val="font0"/>
    <w:basedOn w:val="1"/>
    <w:qFormat/>
    <w:uiPriority w:val="99"/>
    <w:pPr>
      <w:widowControl/>
      <w:spacing w:beforeLines="50" w:beforeAutospacing="1" w:afterLines="50" w:afterAutospacing="1"/>
      <w:jc w:val="left"/>
    </w:pPr>
    <w:rPr>
      <w:rFonts w:hint="eastAsia" w:ascii="宋体" w:hAnsi="宋体"/>
      <w:kern w:val="0"/>
      <w:sz w:val="20"/>
      <w:szCs w:val="20"/>
    </w:rPr>
  </w:style>
  <w:style w:type="paragraph" w:customStyle="1" w:styleId="82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29">
    <w:name w:val="S-正文"/>
    <w:basedOn w:val="1"/>
    <w:qFormat/>
    <w:uiPriority w:val="0"/>
    <w:pPr>
      <w:widowControl/>
      <w:jc w:val="left"/>
    </w:pPr>
    <w:rPr>
      <w:kern w:val="0"/>
    </w:rPr>
  </w:style>
  <w:style w:type="paragraph" w:customStyle="1" w:styleId="830">
    <w:name w:val="xl91"/>
    <w:basedOn w:val="1"/>
    <w:qFormat/>
    <w:uiPriority w:val="0"/>
    <w:pPr>
      <w:widowControl/>
      <w:pBdr>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831">
    <w:name w:val="样式 （正文）样式 样式 样式 仿宋_GB2312 四号 行距: 1.5 倍行距 + 首行缩进:  2 字符 + 首行缩进:  ..."/>
    <w:basedOn w:val="1"/>
    <w:qFormat/>
    <w:uiPriority w:val="99"/>
    <w:pPr>
      <w:spacing w:beforeLines="50"/>
      <w:ind w:firstLine="560"/>
    </w:pPr>
    <w:rPr>
      <w:rFonts w:ascii="仿宋_GB2312" w:hAnsi="宋体" w:eastAsia="仿宋_GB2312"/>
      <w:kern w:val="0"/>
      <w:sz w:val="28"/>
      <w:szCs w:val="28"/>
    </w:rPr>
  </w:style>
  <w:style w:type="paragraph" w:customStyle="1" w:styleId="832">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黑体" w:hAnsi="黑体" w:eastAsia="黑体" w:cs="宋体"/>
      <w:b/>
      <w:bCs/>
      <w:kern w:val="0"/>
      <w:sz w:val="20"/>
      <w:szCs w:val="20"/>
    </w:rPr>
  </w:style>
  <w:style w:type="paragraph" w:customStyle="1" w:styleId="833">
    <w:name w:val="lxm"/>
    <w:basedOn w:val="1"/>
    <w:qFormat/>
    <w:uiPriority w:val="99"/>
    <w:pPr>
      <w:ind w:firstLine="573"/>
    </w:pPr>
    <w:rPr>
      <w:rFonts w:ascii="仿宋_GB2312" w:hAnsi="宋体" w:eastAsia="仿宋_GB2312"/>
      <w:bCs/>
    </w:rPr>
  </w:style>
  <w:style w:type="paragraph" w:customStyle="1" w:styleId="834">
    <w:name w:val="font6"/>
    <w:basedOn w:val="1"/>
    <w:qFormat/>
    <w:uiPriority w:val="99"/>
    <w:pPr>
      <w:widowControl/>
      <w:spacing w:before="100" w:beforeAutospacing="1" w:after="100" w:afterAutospacing="1"/>
      <w:jc w:val="left"/>
    </w:pPr>
    <w:rPr>
      <w:rFonts w:hint="eastAsia" w:ascii="宋体" w:hAnsi="宋体"/>
      <w:kern w:val="0"/>
      <w:szCs w:val="21"/>
    </w:rPr>
  </w:style>
  <w:style w:type="paragraph" w:customStyle="1" w:styleId="835">
    <w:name w:val="Char Char Char"/>
    <w:basedOn w:val="1"/>
    <w:qFormat/>
    <w:uiPriority w:val="99"/>
    <w:rPr>
      <w:rFonts w:ascii="Tahoma" w:hAnsi="Tahoma"/>
      <w:szCs w:val="20"/>
    </w:rPr>
  </w:style>
  <w:style w:type="paragraph" w:customStyle="1" w:styleId="836">
    <w:name w:val="公文"/>
    <w:basedOn w:val="1"/>
    <w:qFormat/>
    <w:uiPriority w:val="99"/>
    <w:pPr>
      <w:spacing w:line="520" w:lineRule="exact"/>
    </w:pPr>
    <w:rPr>
      <w:rFonts w:eastAsia="仿宋_GB2312"/>
      <w:sz w:val="32"/>
      <w:szCs w:val="20"/>
    </w:rPr>
  </w:style>
  <w:style w:type="paragraph" w:customStyle="1" w:styleId="837">
    <w:name w:val="msonormal"/>
    <w:basedOn w:val="1"/>
    <w:qFormat/>
    <w:uiPriority w:val="99"/>
    <w:pPr>
      <w:widowControl/>
      <w:spacing w:before="100" w:beforeAutospacing="1" w:after="100" w:afterAutospacing="1"/>
      <w:jc w:val="left"/>
    </w:pPr>
    <w:rPr>
      <w:rFonts w:ascii="宋体" w:hAnsi="宋体" w:cs="宋体"/>
      <w:kern w:val="0"/>
    </w:rPr>
  </w:style>
  <w:style w:type="paragraph" w:customStyle="1" w:styleId="838">
    <w:name w:val="样式 (西文) 仿宋_GB2312 (中文) 仿宋_GB2312 黑色 段前: 0.5 行 行距: 1.5 倍行距 首...1"/>
    <w:basedOn w:val="1"/>
    <w:qFormat/>
    <w:uiPriority w:val="99"/>
    <w:pPr>
      <w:adjustRightInd w:val="0"/>
      <w:snapToGrid w:val="0"/>
      <w:spacing w:line="300" w:lineRule="auto"/>
      <w:contextualSpacing/>
    </w:pPr>
    <w:rPr>
      <w:rFonts w:ascii="仿宋_GB2312" w:eastAsia="仿宋_GB2312" w:cs="宋体"/>
      <w:color w:val="000000"/>
      <w:sz w:val="28"/>
      <w:szCs w:val="20"/>
    </w:rPr>
  </w:style>
  <w:style w:type="paragraph" w:customStyle="1" w:styleId="839">
    <w:name w:val="xl88"/>
    <w:basedOn w:val="1"/>
    <w:qFormat/>
    <w:uiPriority w:val="99"/>
    <w:pPr>
      <w:widowControl/>
      <w:pBdr>
        <w:left w:val="single" w:color="auto" w:sz="8" w:space="0"/>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840">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41">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黑体" w:hAnsi="黑体" w:eastAsia="黑体" w:cs="宋体"/>
      <w:kern w:val="0"/>
      <w:sz w:val="20"/>
      <w:szCs w:val="20"/>
    </w:rPr>
  </w:style>
  <w:style w:type="paragraph" w:customStyle="1" w:styleId="842">
    <w:name w:val="标注（苏家屯）"/>
    <w:basedOn w:val="1"/>
    <w:qFormat/>
    <w:uiPriority w:val="99"/>
    <w:pPr>
      <w:spacing w:after="120"/>
    </w:pPr>
    <w:rPr>
      <w:rFonts w:ascii="宋体" w:hAnsi="宋体"/>
      <w:color w:val="000000"/>
      <w:szCs w:val="21"/>
    </w:rPr>
  </w:style>
  <w:style w:type="paragraph" w:customStyle="1" w:styleId="843">
    <w:name w:val="样式 样式 首行缩进:  2 字符 + 首行缩进:  2 字符1"/>
    <w:basedOn w:val="1"/>
    <w:qFormat/>
    <w:uiPriority w:val="99"/>
    <w:pPr>
      <w:ind w:firstLine="562"/>
    </w:pPr>
    <w:rPr>
      <w:rFonts w:cs="宋体"/>
      <w:szCs w:val="20"/>
    </w:rPr>
  </w:style>
  <w:style w:type="paragraph" w:customStyle="1" w:styleId="844">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845">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46">
    <w:name w:val="xl48"/>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847">
    <w:name w:val="注"/>
    <w:basedOn w:val="34"/>
    <w:qFormat/>
    <w:uiPriority w:val="99"/>
    <w:pPr>
      <w:spacing w:after="120" w:line="320" w:lineRule="exact"/>
    </w:pPr>
    <w:rPr>
      <w:rFonts w:ascii="Arial" w:hAnsi="Arial"/>
      <w:kern w:val="2"/>
      <w:sz w:val="18"/>
    </w:rPr>
  </w:style>
  <w:style w:type="paragraph" w:customStyle="1" w:styleId="84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kern w:val="0"/>
      <w:sz w:val="18"/>
      <w:szCs w:val="18"/>
    </w:rPr>
  </w:style>
  <w:style w:type="paragraph" w:customStyle="1" w:styleId="849">
    <w:name w:val="中等深浅网格 21"/>
    <w:qFormat/>
    <w:uiPriority w:val="68"/>
    <w:pPr>
      <w:widowControl w:val="0"/>
      <w:spacing w:line="300" w:lineRule="auto"/>
      <w:jc w:val="both"/>
    </w:pPr>
    <w:rPr>
      <w:rFonts w:ascii="Calibri" w:hAnsi="Calibri" w:eastAsia="宋体" w:cs="Times New Roman"/>
      <w:kern w:val="2"/>
      <w:sz w:val="21"/>
      <w:szCs w:val="21"/>
      <w:lang w:val="en-US" w:eastAsia="zh-CN" w:bidi="ar-SA"/>
    </w:rPr>
  </w:style>
  <w:style w:type="paragraph" w:customStyle="1" w:styleId="850">
    <w:name w:val="et12"/>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851">
    <w:name w:val="无间隔111"/>
    <w:qFormat/>
    <w:uiPriority w:val="99"/>
    <w:pPr>
      <w:widowControl w:val="0"/>
    </w:pPr>
    <w:rPr>
      <w:rFonts w:ascii="Times New Roman" w:hAnsi="Times New Roman" w:eastAsia="宋体" w:cs="黑体"/>
      <w:kern w:val="2"/>
      <w:sz w:val="21"/>
      <w:szCs w:val="22"/>
      <w:lang w:val="en-US" w:eastAsia="zh-CN" w:bidi="ar-SA"/>
    </w:rPr>
  </w:style>
  <w:style w:type="paragraph" w:customStyle="1" w:styleId="852">
    <w:name w:val="抄送栏"/>
    <w:basedOn w:val="1"/>
    <w:qFormat/>
    <w:uiPriority w:val="99"/>
    <w:pPr>
      <w:autoSpaceDE w:val="0"/>
      <w:autoSpaceDN w:val="0"/>
      <w:adjustRightInd w:val="0"/>
      <w:spacing w:line="454" w:lineRule="atLeast"/>
      <w:ind w:left="1310" w:right="357" w:hanging="953"/>
    </w:pPr>
    <w:rPr>
      <w:rFonts w:eastAsia="方正仿宋_GBK"/>
      <w:kern w:val="0"/>
      <w:sz w:val="32"/>
      <w:szCs w:val="20"/>
    </w:rPr>
  </w:style>
  <w:style w:type="paragraph" w:customStyle="1" w:styleId="85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854">
    <w:name w:val="unnamed3"/>
    <w:basedOn w:val="1"/>
    <w:qFormat/>
    <w:uiPriority w:val="99"/>
    <w:pPr>
      <w:widowControl/>
      <w:spacing w:before="100" w:beforeAutospacing="1" w:after="100" w:afterAutospacing="1" w:line="315" w:lineRule="atLeast"/>
      <w:jc w:val="left"/>
    </w:pPr>
    <w:rPr>
      <w:rFonts w:ascii="宋体" w:hAnsi="宋体"/>
      <w:kern w:val="0"/>
      <w:sz w:val="20"/>
      <w:szCs w:val="20"/>
    </w:rPr>
  </w:style>
  <w:style w:type="paragraph" w:customStyle="1" w:styleId="855">
    <w:name w:val="修订41"/>
    <w:qFormat/>
    <w:uiPriority w:val="99"/>
    <w:rPr>
      <w:rFonts w:ascii="Times New Roman" w:hAnsi="Times New Roman" w:eastAsia="宋体" w:cs="Times New Roman"/>
      <w:kern w:val="2"/>
      <w:sz w:val="21"/>
      <w:szCs w:val="24"/>
      <w:lang w:val="en-US" w:eastAsia="zh-CN" w:bidi="ar-SA"/>
    </w:rPr>
  </w:style>
  <w:style w:type="paragraph" w:customStyle="1" w:styleId="856">
    <w:name w:val="表字居中O"/>
    <w:basedOn w:val="524"/>
    <w:qFormat/>
    <w:uiPriority w:val="99"/>
    <w:pPr>
      <w:spacing w:line="0" w:lineRule="atLeast"/>
    </w:pPr>
  </w:style>
  <w:style w:type="paragraph" w:customStyle="1" w:styleId="857">
    <w:name w:val="纯文本1"/>
    <w:basedOn w:val="1"/>
    <w:qFormat/>
    <w:uiPriority w:val="0"/>
    <w:rPr>
      <w:rFonts w:ascii="宋体" w:hAnsi="Courier New"/>
      <w:kern w:val="0"/>
      <w:sz w:val="20"/>
      <w:szCs w:val="20"/>
    </w:rPr>
  </w:style>
  <w:style w:type="paragraph" w:customStyle="1" w:styleId="858">
    <w:name w:val="论文标题1"/>
    <w:basedOn w:val="4"/>
    <w:qFormat/>
    <w:uiPriority w:val="99"/>
    <w:pPr>
      <w:keepNext w:val="0"/>
      <w:keepLines w:val="0"/>
      <w:widowControl/>
      <w:adjustRightInd/>
      <w:spacing w:beforeLines="100" w:afterLines="50" w:afterAutospacing="0" w:line="360" w:lineRule="auto"/>
      <w:ind w:left="420" w:hanging="420"/>
      <w:jc w:val="left"/>
    </w:pPr>
    <w:rPr>
      <w:rFonts w:ascii="华文楷体" w:hAnsi="华文楷体" w:eastAsia="华文楷体"/>
      <w:color w:val="auto"/>
      <w:kern w:val="2"/>
      <w:sz w:val="36"/>
      <w:szCs w:val="36"/>
    </w:rPr>
  </w:style>
  <w:style w:type="paragraph" w:customStyle="1" w:styleId="85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60">
    <w:name w:val="Char Char Char1 Char"/>
    <w:basedOn w:val="1"/>
    <w:qFormat/>
    <w:uiPriority w:val="99"/>
    <w:rPr>
      <w:rFonts w:ascii="宋体" w:hAnsi="宋体" w:cs="Courier New"/>
      <w:sz w:val="32"/>
      <w:szCs w:val="32"/>
    </w:rPr>
  </w:style>
  <w:style w:type="paragraph" w:customStyle="1" w:styleId="861">
    <w:name w:val="列出段落7"/>
    <w:basedOn w:val="1"/>
    <w:qFormat/>
    <w:uiPriority w:val="34"/>
    <w:pPr>
      <w:widowControl/>
      <w:spacing w:line="300" w:lineRule="auto"/>
      <w:ind w:firstLine="420"/>
      <w:jc w:val="left"/>
    </w:pPr>
    <w:rPr>
      <w:rFonts w:ascii="Calibri" w:hAnsi="Calibri" w:eastAsia="Calibri" w:cs="Calibri"/>
      <w:color w:val="000000"/>
      <w:szCs w:val="21"/>
    </w:rPr>
  </w:style>
  <w:style w:type="paragraph" w:customStyle="1" w:styleId="862">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int="eastAsia" w:ascii="仿宋_GB2312" w:hAnsi="Arial Unicode MS" w:eastAsia="仿宋_GB2312" w:cs="Arial Unicode MS"/>
      <w:color w:val="FF0000"/>
      <w:kern w:val="0"/>
      <w:sz w:val="20"/>
      <w:szCs w:val="20"/>
    </w:rPr>
  </w:style>
  <w:style w:type="paragraph" w:customStyle="1" w:styleId="863">
    <w:name w:val="xl9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12"/>
      <w:szCs w:val="12"/>
    </w:rPr>
  </w:style>
  <w:style w:type="paragraph" w:customStyle="1" w:styleId="864">
    <w:name w:val="Char Char Char Char Char Char Char Char Char Char Char Char"/>
    <w:basedOn w:val="1"/>
    <w:qFormat/>
    <w:uiPriority w:val="99"/>
    <w:rPr>
      <w:rFonts w:ascii="仿宋_GB2312" w:eastAsia="仿宋_GB2312"/>
      <w:sz w:val="28"/>
      <w:szCs w:val="28"/>
    </w:rPr>
  </w:style>
  <w:style w:type="paragraph" w:customStyle="1" w:styleId="865">
    <w:name w:val="主送单位"/>
    <w:basedOn w:val="1"/>
    <w:qFormat/>
    <w:uiPriority w:val="99"/>
    <w:pPr>
      <w:autoSpaceDE w:val="0"/>
      <w:autoSpaceDN w:val="0"/>
      <w:adjustRightInd w:val="0"/>
      <w:spacing w:line="564" w:lineRule="atLeast"/>
      <w:ind w:right="-2"/>
    </w:pPr>
    <w:rPr>
      <w:rFonts w:ascii="仿宋_GB2312" w:eastAsia="仿宋_GB2312"/>
      <w:spacing w:val="-10"/>
      <w:kern w:val="0"/>
      <w:sz w:val="32"/>
      <w:szCs w:val="20"/>
    </w:rPr>
  </w:style>
  <w:style w:type="paragraph" w:customStyle="1" w:styleId="866">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867">
    <w:name w:val="图标题（苏家屯）"/>
    <w:basedOn w:val="1"/>
    <w:qFormat/>
    <w:uiPriority w:val="99"/>
    <w:pPr>
      <w:snapToGrid w:val="0"/>
      <w:spacing w:line="400" w:lineRule="exact"/>
      <w:jc w:val="center"/>
    </w:pPr>
    <w:rPr>
      <w:rFonts w:ascii="宋体" w:hAnsi="黑体"/>
      <w:b/>
      <w:szCs w:val="21"/>
    </w:rPr>
  </w:style>
  <w:style w:type="paragraph" w:customStyle="1" w:styleId="868">
    <w:name w:val="编号标题"/>
    <w:basedOn w:val="2"/>
    <w:qFormat/>
    <w:uiPriority w:val="99"/>
    <w:pPr>
      <w:spacing w:line="240" w:lineRule="auto"/>
    </w:pPr>
    <w:rPr>
      <w:rFonts w:ascii="Calibri" w:hAnsi="Calibri"/>
      <w:kern w:val="0"/>
      <w:sz w:val="20"/>
      <w:szCs w:val="28"/>
      <w:lang w:bidi="mn-Mong-CN"/>
    </w:rPr>
  </w:style>
  <w:style w:type="paragraph" w:customStyle="1" w:styleId="869">
    <w:name w:val="表名图名"/>
    <w:basedOn w:val="1"/>
    <w:qFormat/>
    <w:uiPriority w:val="99"/>
    <w:pPr>
      <w:jc w:val="center"/>
      <w:outlineLvl w:val="3"/>
    </w:pPr>
    <w:rPr>
      <w:rFonts w:eastAsia="楷体_GB2312"/>
      <w:b/>
      <w:bCs/>
    </w:rPr>
  </w:style>
  <w:style w:type="paragraph" w:customStyle="1" w:styleId="870">
    <w:name w:val="reader-word-layer"/>
    <w:basedOn w:val="1"/>
    <w:qFormat/>
    <w:uiPriority w:val="99"/>
    <w:pPr>
      <w:widowControl/>
      <w:spacing w:before="100" w:beforeAutospacing="1" w:after="100" w:afterAutospacing="1"/>
      <w:jc w:val="left"/>
    </w:pPr>
    <w:rPr>
      <w:rFonts w:ascii="宋体" w:hAnsi="宋体" w:cs="宋体"/>
      <w:kern w:val="0"/>
    </w:rPr>
  </w:style>
  <w:style w:type="paragraph" w:customStyle="1" w:styleId="871">
    <w:name w:val="Char Char Char Char Char Char Char Char Char1 Char Char Char Char Char Char Char Char Char Char Char Char Char Char Char Char Char Char Char Char Char Char Char Char Char Char Char Char"/>
    <w:basedOn w:val="4"/>
    <w:qFormat/>
    <w:uiPriority w:val="99"/>
    <w:pPr>
      <w:adjustRightInd/>
      <w:snapToGrid w:val="0"/>
      <w:spacing w:before="240" w:after="240" w:afterAutospacing="0" w:line="348" w:lineRule="auto"/>
      <w:jc w:val="both"/>
    </w:pPr>
    <w:rPr>
      <w:rFonts w:ascii="Tahoma" w:hAnsi="Tahoma" w:eastAsia="宋体"/>
      <w:color w:val="auto"/>
      <w:kern w:val="2"/>
      <w:sz w:val="24"/>
      <w:szCs w:val="20"/>
    </w:rPr>
  </w:style>
  <w:style w:type="paragraph" w:customStyle="1" w:styleId="872">
    <w:name w:val="_Style 7"/>
    <w:basedOn w:val="1"/>
    <w:qFormat/>
    <w:uiPriority w:val="99"/>
    <w:pPr>
      <w:snapToGrid w:val="0"/>
    </w:pPr>
  </w:style>
  <w:style w:type="paragraph" w:customStyle="1" w:styleId="873">
    <w:name w:val="正文文本 21"/>
    <w:basedOn w:val="1"/>
    <w:qFormat/>
    <w:uiPriority w:val="99"/>
    <w:pPr>
      <w:spacing w:beforeLines="50"/>
      <w:ind w:firstLine="480"/>
    </w:pPr>
    <w:rPr>
      <w:rFonts w:ascii="Calibri" w:hAnsi="Calibri"/>
    </w:rPr>
  </w:style>
  <w:style w:type="paragraph" w:customStyle="1" w:styleId="874">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75">
    <w:name w:val="文本框文字"/>
    <w:qFormat/>
    <w:uiPriority w:val="99"/>
    <w:pPr>
      <w:jc w:val="center"/>
    </w:pPr>
    <w:rPr>
      <w:rFonts w:ascii="Times New Roman" w:hAnsi="Times New Roman" w:eastAsia="楷体_GB2312" w:cs="Times New Roman"/>
      <w:b/>
      <w:kern w:val="2"/>
      <w:sz w:val="24"/>
      <w:szCs w:val="24"/>
      <w:lang w:val="en-US" w:eastAsia="zh-CN" w:bidi="ar-SA"/>
    </w:rPr>
  </w:style>
  <w:style w:type="paragraph" w:customStyle="1" w:styleId="876">
    <w:name w:val="普通(网站)1"/>
    <w:basedOn w:val="1"/>
    <w:qFormat/>
    <w:uiPriority w:val="99"/>
    <w:pPr>
      <w:widowControl/>
      <w:spacing w:before="100" w:beforeAutospacing="1" w:after="100" w:afterAutospacing="1"/>
      <w:jc w:val="left"/>
    </w:pPr>
    <w:rPr>
      <w:rFonts w:ascii="宋体" w:hAnsi="宋体" w:cs="宋体"/>
      <w:kern w:val="0"/>
    </w:rPr>
  </w:style>
  <w:style w:type="paragraph" w:customStyle="1" w:styleId="877">
    <w:name w:val="01级别-章正文"/>
    <w:qFormat/>
    <w:uiPriority w:val="99"/>
    <w:pPr>
      <w:spacing w:line="420" w:lineRule="exact"/>
      <w:ind w:firstLine="200" w:firstLineChars="200"/>
    </w:pPr>
    <w:rPr>
      <w:rFonts w:ascii="宋体" w:hAnsi="宋体" w:eastAsia="宋体" w:cs="黑体"/>
      <w:kern w:val="2"/>
      <w:sz w:val="22"/>
      <w:szCs w:val="24"/>
      <w:lang w:val="en-US" w:eastAsia="zh-CN" w:bidi="ar-SA"/>
    </w:rPr>
  </w:style>
  <w:style w:type="paragraph" w:customStyle="1" w:styleId="878">
    <w:name w:val="表、图名"/>
    <w:basedOn w:val="1"/>
    <w:qFormat/>
    <w:uiPriority w:val="99"/>
    <w:pPr>
      <w:adjustRightInd w:val="0"/>
      <w:snapToGrid w:val="0"/>
      <w:spacing w:line="240" w:lineRule="exact"/>
      <w:ind w:firstLine="413" w:firstLineChars="196"/>
      <w:jc w:val="center"/>
    </w:pPr>
    <w:rPr>
      <w:rFonts w:hAnsi="宋体"/>
      <w:b/>
      <w:color w:val="000000"/>
      <w:szCs w:val="21"/>
    </w:rPr>
  </w:style>
  <w:style w:type="paragraph" w:customStyle="1" w:styleId="879">
    <w:name w:val="Char Char Char Char Char Char Char Char Char"/>
    <w:basedOn w:val="1"/>
    <w:qFormat/>
    <w:uiPriority w:val="99"/>
    <w:rPr>
      <w:rFonts w:ascii="仿宋_GB2312" w:eastAsia="仿宋_GB2312"/>
      <w:sz w:val="28"/>
      <w:szCs w:val="28"/>
    </w:rPr>
  </w:style>
  <w:style w:type="paragraph" w:customStyle="1" w:styleId="880">
    <w:name w:val="图表标题"/>
    <w:basedOn w:val="34"/>
    <w:qFormat/>
    <w:uiPriority w:val="99"/>
    <w:pPr>
      <w:spacing w:line="480" w:lineRule="atLeast"/>
      <w:jc w:val="center"/>
    </w:pPr>
    <w:rPr>
      <w:rFonts w:ascii="Times New Roman" w:hAnsi="Times New Roman" w:eastAsia="楷体_GB2312"/>
      <w:sz w:val="26"/>
    </w:rPr>
  </w:style>
  <w:style w:type="paragraph" w:customStyle="1" w:styleId="881">
    <w:name w:val="页眉2"/>
    <w:basedOn w:val="1"/>
    <w:qFormat/>
    <w:uiPriority w:val="99"/>
    <w:pPr>
      <w:widowControl/>
      <w:spacing w:before="100" w:beforeAutospacing="1" w:after="100" w:afterAutospacing="1"/>
      <w:jc w:val="left"/>
    </w:pPr>
    <w:rPr>
      <w:rFonts w:ascii="宋体" w:hAnsi="宋体"/>
      <w:b/>
      <w:bCs/>
      <w:color w:val="CC3300"/>
      <w:kern w:val="0"/>
    </w:rPr>
  </w:style>
  <w:style w:type="paragraph" w:customStyle="1" w:styleId="882">
    <w:name w:val="CM6"/>
    <w:basedOn w:val="1"/>
    <w:next w:val="1"/>
    <w:qFormat/>
    <w:uiPriority w:val="99"/>
    <w:pPr>
      <w:autoSpaceDE w:val="0"/>
      <w:autoSpaceDN w:val="0"/>
      <w:adjustRightInd w:val="0"/>
      <w:spacing w:line="316" w:lineRule="atLeast"/>
      <w:jc w:val="left"/>
    </w:pPr>
    <w:rPr>
      <w:rFonts w:ascii="..ì." w:eastAsia="..ì."/>
      <w:kern w:val="0"/>
    </w:rPr>
  </w:style>
  <w:style w:type="paragraph" w:customStyle="1" w:styleId="883">
    <w:name w:val="样式 首行缩进:  2 字符2"/>
    <w:basedOn w:val="1"/>
    <w:qFormat/>
    <w:uiPriority w:val="99"/>
    <w:pPr>
      <w:ind w:firstLine="562"/>
    </w:pPr>
    <w:rPr>
      <w:rFonts w:cs="宋体"/>
      <w:szCs w:val="20"/>
    </w:rPr>
  </w:style>
  <w:style w:type="paragraph" w:customStyle="1" w:styleId="884">
    <w:name w:val="彩色列表 - 强调文字颜色 11"/>
    <w:basedOn w:val="1"/>
    <w:qFormat/>
    <w:uiPriority w:val="34"/>
    <w:pPr>
      <w:widowControl/>
      <w:ind w:firstLine="420"/>
      <w:jc w:val="left"/>
    </w:pPr>
    <w:rPr>
      <w:rFonts w:ascii="Calibri" w:hAnsi="Calibri"/>
      <w:szCs w:val="22"/>
    </w:rPr>
  </w:style>
  <w:style w:type="paragraph" w:customStyle="1" w:styleId="885">
    <w:name w:val="表格强调文字"/>
    <w:basedOn w:val="1"/>
    <w:qFormat/>
    <w:uiPriority w:val="99"/>
    <w:pPr>
      <w:spacing w:line="420" w:lineRule="exact"/>
      <w:jc w:val="center"/>
    </w:pPr>
    <w:rPr>
      <w:rFonts w:cs="宋体"/>
      <w:b/>
      <w:bCs/>
      <w:szCs w:val="21"/>
    </w:rPr>
  </w:style>
  <w:style w:type="paragraph" w:customStyle="1" w:styleId="886">
    <w:name w:val="Char Char Char Char Char Char Char Char Char2"/>
    <w:basedOn w:val="1"/>
    <w:qFormat/>
    <w:uiPriority w:val="0"/>
    <w:pPr>
      <w:spacing w:line="240" w:lineRule="auto"/>
      <w:ind w:firstLine="0" w:firstLineChars="0"/>
    </w:pPr>
    <w:rPr>
      <w:rFonts w:ascii="Calibri" w:hAnsi="Calibri" w:cs="黑体"/>
      <w:sz w:val="21"/>
    </w:rPr>
  </w:style>
  <w:style w:type="paragraph" w:customStyle="1" w:styleId="887">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88">
    <w:name w:val="列出段落4"/>
    <w:basedOn w:val="1"/>
    <w:qFormat/>
    <w:uiPriority w:val="99"/>
    <w:pPr>
      <w:ind w:firstLine="420"/>
    </w:pPr>
    <w:rPr>
      <w:rFonts w:ascii="Calibri" w:hAnsi="Calibri"/>
      <w:szCs w:val="21"/>
    </w:rPr>
  </w:style>
  <w:style w:type="paragraph" w:customStyle="1" w:styleId="889">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890">
    <w:name w:val="et13"/>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891">
    <w:name w:val="列出段落5"/>
    <w:basedOn w:val="1"/>
    <w:qFormat/>
    <w:uiPriority w:val="34"/>
    <w:pPr>
      <w:ind w:firstLine="420"/>
    </w:pPr>
    <w:rPr>
      <w:rFonts w:ascii="Calibri" w:hAnsi="Calibri"/>
      <w:szCs w:val="22"/>
    </w:rPr>
  </w:style>
  <w:style w:type="paragraph" w:customStyle="1" w:styleId="892">
    <w:name w:val="xl150"/>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893">
    <w:name w:val="样式 样式 宋体 小四 行距: 1.5 倍行距 + 首行缩进:  2 字符"/>
    <w:basedOn w:val="1"/>
    <w:qFormat/>
    <w:uiPriority w:val="99"/>
    <w:pPr>
      <w:spacing w:line="336" w:lineRule="auto"/>
    </w:pPr>
    <w:rPr>
      <w:rFonts w:ascii="宋体" w:hAnsi="宋体"/>
    </w:rPr>
  </w:style>
  <w:style w:type="paragraph" w:customStyle="1" w:styleId="894">
    <w:name w:val="et21"/>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895">
    <w:name w:val="样式 样式 宋体 小四 首行缩进:  0.85 厘米 行距: 1.5 倍行距 + 段前: 0.5 行 段后: 0.5 行"/>
    <w:basedOn w:val="1"/>
    <w:qFormat/>
    <w:uiPriority w:val="99"/>
    <w:pPr>
      <w:spacing w:beforeLines="50" w:afterLines="50"/>
      <w:ind w:firstLine="482"/>
    </w:pPr>
    <w:rPr>
      <w:rFonts w:ascii="宋体" w:cs="宋体"/>
    </w:rPr>
  </w:style>
  <w:style w:type="paragraph" w:customStyle="1" w:styleId="896">
    <w:name w:val="正文段落"/>
    <w:basedOn w:val="1"/>
    <w:qFormat/>
    <w:uiPriority w:val="99"/>
    <w:pPr>
      <w:spacing w:beforeLines="50" w:afterLines="50"/>
      <w:ind w:firstLine="480"/>
    </w:pPr>
    <w:rPr>
      <w:rFonts w:ascii="Arial" w:hAnsi="Arial" w:cs="Arial"/>
    </w:rPr>
  </w:style>
  <w:style w:type="paragraph" w:customStyle="1" w:styleId="897">
    <w:name w:val="表文字"/>
    <w:basedOn w:val="1"/>
    <w:semiHidden/>
    <w:qFormat/>
    <w:uiPriority w:val="99"/>
    <w:pPr>
      <w:spacing w:line="240" w:lineRule="atLeast"/>
      <w:jc w:val="center"/>
    </w:pPr>
    <w:rPr>
      <w:kern w:val="10"/>
      <w:szCs w:val="20"/>
    </w:rPr>
  </w:style>
  <w:style w:type="paragraph" w:customStyle="1" w:styleId="898">
    <w:name w:val="表格下方正文"/>
    <w:basedOn w:val="1"/>
    <w:qFormat/>
    <w:uiPriority w:val="99"/>
    <w:pPr>
      <w:spacing w:before="260" w:line="500" w:lineRule="exact"/>
    </w:pPr>
    <w:rPr>
      <w:rFonts w:eastAsia="仿宋_GB2312"/>
      <w:sz w:val="28"/>
    </w:rPr>
  </w:style>
  <w:style w:type="paragraph" w:customStyle="1" w:styleId="899">
    <w:name w:val="xl103"/>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color w:val="000000"/>
      <w:kern w:val="0"/>
      <w:sz w:val="22"/>
      <w:szCs w:val="22"/>
    </w:rPr>
  </w:style>
  <w:style w:type="paragraph" w:customStyle="1" w:styleId="900">
    <w:name w:val="批注框文本 Char Char"/>
    <w:basedOn w:val="1"/>
    <w:qFormat/>
    <w:uiPriority w:val="99"/>
    <w:rPr>
      <w:sz w:val="18"/>
      <w:szCs w:val="20"/>
    </w:rPr>
  </w:style>
  <w:style w:type="paragraph" w:customStyle="1" w:styleId="901">
    <w:name w:val="第一节"/>
    <w:basedOn w:val="781"/>
    <w:qFormat/>
    <w:uiPriority w:val="99"/>
  </w:style>
  <w:style w:type="paragraph" w:customStyle="1" w:styleId="902">
    <w:name w:val="xl152"/>
    <w:basedOn w:val="1"/>
    <w:qFormat/>
    <w:uiPriority w:val="0"/>
    <w:pPr>
      <w:widowControl/>
      <w:pBdr>
        <w:left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03">
    <w:name w:val="简单回函地址"/>
    <w:basedOn w:val="1"/>
    <w:qFormat/>
    <w:uiPriority w:val="99"/>
  </w:style>
  <w:style w:type="paragraph" w:customStyle="1" w:styleId="904">
    <w:name w:val="正文文本缩进1"/>
    <w:basedOn w:val="1"/>
    <w:qFormat/>
    <w:uiPriority w:val="99"/>
    <w:pPr>
      <w:spacing w:after="120"/>
      <w:ind w:left="420" w:leftChars="200"/>
    </w:pPr>
    <w:rPr>
      <w:rFonts w:ascii="Calibri" w:hAnsi="Calibri"/>
      <w:szCs w:val="21"/>
    </w:rPr>
  </w:style>
  <w:style w:type="paragraph" w:customStyle="1" w:styleId="905">
    <w:name w:val="正文2"/>
    <w:basedOn w:val="1"/>
    <w:qFormat/>
    <w:uiPriority w:val="99"/>
    <w:pPr>
      <w:adjustRightInd w:val="0"/>
      <w:spacing w:line="315" w:lineRule="atLeast"/>
      <w:jc w:val="left"/>
      <w:textAlignment w:val="baseline"/>
    </w:pPr>
    <w:rPr>
      <w:rFonts w:ascii="宋体"/>
      <w:kern w:val="0"/>
      <w:szCs w:val="20"/>
    </w:rPr>
  </w:style>
  <w:style w:type="paragraph" w:customStyle="1" w:styleId="906">
    <w:name w:val="TOC 标题2"/>
    <w:basedOn w:val="4"/>
    <w:next w:val="1"/>
    <w:qFormat/>
    <w:uiPriority w:val="39"/>
    <w:pPr>
      <w:keepNext w:val="0"/>
      <w:keepLines w:val="0"/>
      <w:adjustRightInd/>
      <w:spacing w:before="480" w:line="360" w:lineRule="auto"/>
      <w:contextualSpacing/>
      <w:jc w:val="both"/>
      <w:outlineLvl w:val="9"/>
    </w:pPr>
    <w:rPr>
      <w:rFonts w:ascii="Cambria" w:hAnsi="Cambria" w:eastAsia="宋体"/>
      <w:bCs/>
      <w:kern w:val="2"/>
      <w:sz w:val="28"/>
      <w:szCs w:val="28"/>
    </w:rPr>
  </w:style>
  <w:style w:type="paragraph" w:customStyle="1" w:styleId="907">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kern w:val="0"/>
      <w:szCs w:val="21"/>
    </w:rPr>
  </w:style>
  <w:style w:type="paragraph" w:customStyle="1" w:styleId="908">
    <w:name w:val="我的表格标题"/>
    <w:basedOn w:val="1"/>
    <w:qFormat/>
    <w:uiPriority w:val="99"/>
    <w:pPr>
      <w:widowControl/>
      <w:jc w:val="center"/>
    </w:pPr>
    <w:rPr>
      <w:rFonts w:ascii="宋体" w:hAnsi="宋体"/>
      <w:b/>
    </w:rPr>
  </w:style>
  <w:style w:type="paragraph" w:customStyle="1" w:styleId="909">
    <w:name w:val="正文001"/>
    <w:basedOn w:val="1"/>
    <w:qFormat/>
    <w:uiPriority w:val="99"/>
    <w:pPr>
      <w:spacing w:before="60" w:line="460" w:lineRule="exact"/>
    </w:pPr>
    <w:rPr>
      <w:rFonts w:ascii="Arial" w:hAnsi="Arial"/>
      <w:szCs w:val="20"/>
    </w:rPr>
  </w:style>
  <w:style w:type="paragraph" w:customStyle="1" w:styleId="910">
    <w:name w:val="Char1 Char Char Char Char Char Char Char Char Char Char"/>
    <w:basedOn w:val="1"/>
    <w:qFormat/>
    <w:uiPriority w:val="99"/>
    <w:rPr>
      <w:szCs w:val="21"/>
    </w:rPr>
  </w:style>
  <w:style w:type="paragraph" w:customStyle="1" w:styleId="911">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12">
    <w:name w:val="xl86"/>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913">
    <w:name w:val="Table Paragraph"/>
    <w:basedOn w:val="1"/>
    <w:qFormat/>
    <w:uiPriority w:val="1"/>
    <w:pPr>
      <w:jc w:val="left"/>
    </w:pPr>
    <w:rPr>
      <w:rFonts w:ascii="等线" w:hAnsi="等线" w:eastAsia="等线"/>
      <w:kern w:val="0"/>
      <w:sz w:val="22"/>
      <w:szCs w:val="22"/>
      <w:lang w:eastAsia="en-US"/>
    </w:rPr>
  </w:style>
  <w:style w:type="paragraph" w:customStyle="1" w:styleId="91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kern w:val="0"/>
      <w:sz w:val="18"/>
      <w:szCs w:val="18"/>
    </w:rPr>
  </w:style>
  <w:style w:type="paragraph" w:customStyle="1" w:styleId="91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1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917">
    <w:name w:val="样式"/>
    <w:basedOn w:val="1"/>
    <w:next w:val="19"/>
    <w:qFormat/>
    <w:uiPriority w:val="99"/>
    <w:pPr>
      <w:ind w:firstLine="420"/>
    </w:pPr>
    <w:rPr>
      <w:szCs w:val="21"/>
    </w:rPr>
  </w:style>
  <w:style w:type="paragraph" w:customStyle="1" w:styleId="91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19">
    <w:name w:val="a1"/>
    <w:basedOn w:val="1"/>
    <w:qFormat/>
    <w:uiPriority w:val="99"/>
    <w:pPr>
      <w:widowControl/>
      <w:spacing w:before="100" w:beforeAutospacing="1" w:after="100" w:afterAutospacing="1"/>
      <w:jc w:val="left"/>
    </w:pPr>
    <w:rPr>
      <w:rFonts w:ascii="宋体" w:hAnsi="宋体"/>
      <w:kern w:val="0"/>
    </w:rPr>
  </w:style>
  <w:style w:type="paragraph" w:customStyle="1" w:styleId="920">
    <w:name w:val="font7"/>
    <w:basedOn w:val="1"/>
    <w:qFormat/>
    <w:uiPriority w:val="99"/>
    <w:pPr>
      <w:widowControl/>
      <w:spacing w:before="100" w:beforeAutospacing="1" w:after="100" w:afterAutospacing="1"/>
      <w:jc w:val="left"/>
    </w:pPr>
    <w:rPr>
      <w:kern w:val="0"/>
      <w:sz w:val="20"/>
      <w:szCs w:val="20"/>
    </w:rPr>
  </w:style>
  <w:style w:type="paragraph" w:customStyle="1" w:styleId="921">
    <w:name w:val="et45"/>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922">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23">
    <w:name w:val="标题2 节"/>
    <w:basedOn w:val="1"/>
    <w:qFormat/>
    <w:uiPriority w:val="99"/>
    <w:pPr>
      <w:spacing w:line="400" w:lineRule="exact"/>
      <w:jc w:val="center"/>
    </w:pPr>
    <w:rPr>
      <w:rFonts w:ascii="宋体" w:hAnsi="宋体"/>
      <w:szCs w:val="28"/>
    </w:rPr>
  </w:style>
  <w:style w:type="paragraph" w:customStyle="1" w:styleId="924">
    <w:name w:val="xl87"/>
    <w:basedOn w:val="1"/>
    <w:qFormat/>
    <w:uiPriority w:val="99"/>
    <w:pPr>
      <w:widowControl/>
      <w:pBdr>
        <w:top w:val="single" w:color="auto" w:sz="8" w:space="0"/>
        <w:left w:val="single" w:color="auto" w:sz="8" w:space="0"/>
        <w:right w:val="single" w:color="auto" w:sz="8" w:space="0"/>
      </w:pBdr>
      <w:spacing w:before="100" w:beforeAutospacing="1" w:after="100" w:afterAutospacing="1"/>
    </w:pPr>
    <w:rPr>
      <w:rFonts w:ascii="宋体" w:hAnsi="宋体" w:cs="宋体"/>
      <w:color w:val="00B050"/>
      <w:kern w:val="0"/>
      <w:sz w:val="12"/>
      <w:szCs w:val="12"/>
    </w:rPr>
  </w:style>
  <w:style w:type="paragraph" w:customStyle="1" w:styleId="925">
    <w:name w:val="修订1"/>
    <w:qFormat/>
    <w:uiPriority w:val="99"/>
    <w:rPr>
      <w:rFonts w:ascii="Times New Roman" w:hAnsi="Times New Roman" w:eastAsia="仿宋" w:cs="Times New Roman"/>
      <w:kern w:val="2"/>
      <w:sz w:val="24"/>
      <w:szCs w:val="24"/>
      <w:lang w:val="en-US" w:eastAsia="zh-CN" w:bidi="ar-SA"/>
    </w:rPr>
  </w:style>
  <w:style w:type="paragraph" w:customStyle="1" w:styleId="926">
    <w:name w:val="xl26"/>
    <w:basedOn w:val="1"/>
    <w:qFormat/>
    <w:uiPriority w:val="99"/>
    <w:pPr>
      <w:widowControl/>
      <w:spacing w:before="100" w:beforeAutospacing="1" w:after="100" w:afterAutospacing="1"/>
      <w:jc w:val="left"/>
    </w:pPr>
    <w:rPr>
      <w:rFonts w:hint="eastAsia" w:ascii="黑体" w:hAnsi="Arial Unicode MS" w:eastAsia="黑体" w:cs="Arial Unicode MS"/>
      <w:kern w:val="0"/>
    </w:rPr>
  </w:style>
  <w:style w:type="paragraph" w:customStyle="1" w:styleId="927">
    <w:name w:val="xl41"/>
    <w:basedOn w:val="1"/>
    <w:qFormat/>
    <w:uiPriority w:val="99"/>
    <w:pPr>
      <w:widowControl/>
      <w:spacing w:before="100" w:beforeAutospacing="1" w:after="100" w:afterAutospacing="1"/>
    </w:pPr>
    <w:rPr>
      <w:rFonts w:ascii="Arial Unicode MS" w:hAnsi="Arial Unicode MS" w:eastAsia="Arial Unicode MS" w:cs="Arial Unicode MS"/>
      <w:color w:val="FF0000"/>
      <w:kern w:val="0"/>
    </w:rPr>
  </w:style>
  <w:style w:type="paragraph" w:customStyle="1" w:styleId="92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929">
    <w:name w:val="普通(网站)3"/>
    <w:basedOn w:val="1"/>
    <w:qFormat/>
    <w:uiPriority w:val="99"/>
    <w:pPr>
      <w:widowControl/>
      <w:spacing w:before="100" w:beforeAutospacing="1" w:after="100" w:afterAutospacing="1"/>
      <w:jc w:val="left"/>
    </w:pPr>
    <w:rPr>
      <w:rFonts w:ascii="宋体" w:hAnsi="宋体" w:cs="宋体"/>
      <w:kern w:val="0"/>
    </w:rPr>
  </w:style>
  <w:style w:type="paragraph" w:customStyle="1" w:styleId="930">
    <w:name w:val="xl22"/>
    <w:basedOn w:val="1"/>
    <w:qFormat/>
    <w:uiPriority w:val="99"/>
    <w:pPr>
      <w:widowControl/>
      <w:spacing w:before="100" w:beforeAutospacing="1" w:after="100" w:afterAutospacing="1"/>
      <w:jc w:val="center"/>
    </w:pPr>
    <w:rPr>
      <w:rFonts w:ascii="宋体" w:hAnsi="宋体"/>
      <w:kern w:val="0"/>
      <w:sz w:val="28"/>
      <w:szCs w:val="28"/>
    </w:rPr>
  </w:style>
  <w:style w:type="paragraph" w:customStyle="1" w:styleId="931">
    <w:name w:val="标题3*"/>
    <w:basedOn w:val="6"/>
    <w:qFormat/>
    <w:uiPriority w:val="99"/>
    <w:pPr>
      <w:keepLines w:val="0"/>
      <w:widowControl/>
      <w:tabs>
        <w:tab w:val="left" w:pos="420"/>
        <w:tab w:val="left" w:pos="960"/>
      </w:tabs>
      <w:overflowPunct w:val="0"/>
      <w:autoSpaceDE w:val="0"/>
      <w:autoSpaceDN w:val="0"/>
      <w:adjustRightInd w:val="0"/>
      <w:spacing w:before="240" w:after="120" w:line="420" w:lineRule="atLeast"/>
      <w:ind w:firstLine="0"/>
      <w:jc w:val="left"/>
      <w:textAlignment w:val="baseline"/>
    </w:pPr>
    <w:rPr>
      <w:rFonts w:ascii="黑体" w:eastAsia="黑体"/>
      <w:b w:val="0"/>
      <w:bCs w:val="0"/>
      <w:kern w:val="0"/>
      <w:sz w:val="26"/>
      <w:szCs w:val="20"/>
    </w:rPr>
  </w:style>
  <w:style w:type="paragraph" w:customStyle="1" w:styleId="932">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933">
    <w:name w:val="unnamed1"/>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934">
    <w:name w:val="小标题样式"/>
    <w:basedOn w:val="1"/>
    <w:qFormat/>
    <w:uiPriority w:val="99"/>
    <w:pPr>
      <w:spacing w:beforeLines="50" w:afterLines="50" w:line="400" w:lineRule="exact"/>
    </w:pPr>
    <w:rPr>
      <w:rFonts w:ascii="宋体" w:hAnsi="宋体"/>
      <w:b/>
      <w:bCs/>
      <w:szCs w:val="21"/>
    </w:rPr>
  </w:style>
  <w:style w:type="paragraph" w:customStyle="1" w:styleId="935">
    <w:name w:val="Char Char Char Char Char Char Char Char Char Char Char Char1"/>
    <w:basedOn w:val="1"/>
    <w:qFormat/>
    <w:uiPriority w:val="99"/>
    <w:rPr>
      <w:rFonts w:ascii="仿宋_GB2312" w:eastAsia="仿宋_GB2312"/>
      <w:sz w:val="28"/>
      <w:szCs w:val="28"/>
    </w:rPr>
  </w:style>
  <w:style w:type="paragraph" w:customStyle="1" w:styleId="936">
    <w:name w:val="xl80"/>
    <w:basedOn w:val="1"/>
    <w:qFormat/>
    <w:uiPriority w:val="99"/>
    <w:pPr>
      <w:widowControl/>
      <w:pBdr>
        <w:left w:val="single" w:color="auto" w:sz="8" w:space="0"/>
        <w:right w:val="single" w:color="auto" w:sz="8" w:space="0"/>
      </w:pBdr>
      <w:spacing w:before="100" w:beforeAutospacing="1" w:after="100" w:afterAutospacing="1"/>
      <w:jc w:val="center"/>
    </w:pPr>
    <w:rPr>
      <w:rFonts w:ascii="宋体" w:hAnsi="宋体" w:cs="宋体"/>
      <w:color w:val="00B050"/>
      <w:kern w:val="0"/>
      <w:sz w:val="12"/>
      <w:szCs w:val="12"/>
    </w:rPr>
  </w:style>
  <w:style w:type="paragraph" w:customStyle="1" w:styleId="937">
    <w:name w:val="表名和图名"/>
    <w:next w:val="1"/>
    <w:qFormat/>
    <w:uiPriority w:val="99"/>
    <w:pPr>
      <w:jc w:val="center"/>
    </w:pPr>
    <w:rPr>
      <w:rFonts w:ascii="Times New Roman" w:hAnsi="Times New Roman" w:eastAsia="宋体" w:cs="Times New Roman"/>
      <w:b/>
      <w:kern w:val="2"/>
      <w:sz w:val="24"/>
      <w:szCs w:val="24"/>
      <w:lang w:val="en-US" w:eastAsia="zh-CN" w:bidi="ar-SA"/>
    </w:rPr>
  </w:style>
  <w:style w:type="paragraph" w:customStyle="1" w:styleId="938">
    <w:name w:val="论文标题4"/>
    <w:basedOn w:val="765"/>
    <w:qFormat/>
    <w:uiPriority w:val="99"/>
    <w:pPr>
      <w:spacing w:afterLines="20"/>
    </w:pPr>
    <w:rPr>
      <w:rFonts w:ascii="Times New Roman" w:hAnsi="Times New Roman"/>
      <w:sz w:val="25"/>
    </w:rPr>
  </w:style>
  <w:style w:type="paragraph" w:customStyle="1" w:styleId="939">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pPr>
    <w:rPr>
      <w:color w:val="00B050"/>
      <w:kern w:val="0"/>
      <w:sz w:val="12"/>
      <w:szCs w:val="12"/>
    </w:rPr>
  </w:style>
  <w:style w:type="paragraph" w:customStyle="1" w:styleId="940">
    <w:name w:val="中等深浅网格 2 - 强调文字颜色 211"/>
    <w:basedOn w:val="1"/>
    <w:next w:val="1"/>
    <w:qFormat/>
    <w:uiPriority w:val="29"/>
    <w:pPr>
      <w:widowControl/>
      <w:spacing w:before="200" w:line="300" w:lineRule="auto"/>
      <w:ind w:left="360" w:right="360"/>
      <w:jc w:val="left"/>
    </w:pPr>
    <w:rPr>
      <w:i/>
      <w:iCs/>
      <w:kern w:val="0"/>
      <w:szCs w:val="20"/>
    </w:rPr>
  </w:style>
  <w:style w:type="paragraph" w:customStyle="1" w:styleId="941">
    <w:name w:val="标题 61"/>
    <w:basedOn w:val="1"/>
    <w:next w:val="1"/>
    <w:qFormat/>
    <w:uiPriority w:val="9"/>
    <w:pPr>
      <w:keepNext/>
      <w:keepLines/>
      <w:spacing w:before="240" w:after="64" w:line="319" w:lineRule="auto"/>
      <w:outlineLvl w:val="5"/>
    </w:pPr>
    <w:rPr>
      <w:rFonts w:ascii="Calibri Light" w:hAnsi="Calibri Light"/>
      <w:b/>
      <w:bCs/>
    </w:rPr>
  </w:style>
  <w:style w:type="paragraph" w:customStyle="1" w:styleId="942">
    <w:name w:val="et44"/>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943">
    <w:name w:val="普通(网站)2"/>
    <w:basedOn w:val="1"/>
    <w:qFormat/>
    <w:uiPriority w:val="99"/>
    <w:pPr>
      <w:widowControl/>
      <w:spacing w:before="100" w:beforeAutospacing="1" w:after="100" w:afterAutospacing="1"/>
      <w:jc w:val="left"/>
    </w:pPr>
    <w:rPr>
      <w:rFonts w:ascii="宋体" w:hAnsi="宋体" w:cs="宋体"/>
      <w:kern w:val="0"/>
    </w:rPr>
  </w:style>
  <w:style w:type="paragraph" w:customStyle="1" w:styleId="944">
    <w:name w:val="中等深浅网格 1 - 强调文字颜色 21"/>
    <w:basedOn w:val="1"/>
    <w:qFormat/>
    <w:uiPriority w:val="34"/>
    <w:pPr>
      <w:widowControl/>
      <w:spacing w:line="300" w:lineRule="auto"/>
      <w:ind w:firstLine="420"/>
      <w:jc w:val="left"/>
    </w:pPr>
    <w:rPr>
      <w:rFonts w:ascii="Calibri" w:hAnsi="Calibri"/>
      <w:szCs w:val="21"/>
    </w:rPr>
  </w:style>
  <w:style w:type="paragraph" w:customStyle="1" w:styleId="945">
    <w:name w:val="xl98"/>
    <w:basedOn w:val="1"/>
    <w:qFormat/>
    <w:uiPriority w:val="0"/>
    <w:pPr>
      <w:widowControl/>
      <w:pBdr>
        <w:bottom w:val="single" w:color="auto" w:sz="8" w:space="0"/>
        <w:right w:val="single" w:color="auto" w:sz="8" w:space="0"/>
      </w:pBdr>
      <w:spacing w:before="100" w:beforeAutospacing="1" w:after="100" w:afterAutospacing="1"/>
      <w:jc w:val="center"/>
    </w:pPr>
    <w:rPr>
      <w:b/>
      <w:bCs/>
      <w:kern w:val="0"/>
      <w:sz w:val="12"/>
      <w:szCs w:val="12"/>
    </w:rPr>
  </w:style>
  <w:style w:type="paragraph" w:customStyle="1" w:styleId="946">
    <w:name w:val="0"/>
    <w:basedOn w:val="1"/>
    <w:qFormat/>
    <w:uiPriority w:val="99"/>
    <w:pPr>
      <w:widowControl/>
      <w:snapToGrid w:val="0"/>
      <w:spacing w:line="500" w:lineRule="atLeast"/>
    </w:pPr>
    <w:rPr>
      <w:kern w:val="0"/>
      <w:szCs w:val="21"/>
    </w:rPr>
  </w:style>
  <w:style w:type="paragraph" w:customStyle="1" w:styleId="947">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48">
    <w:name w:val="样式 样式 首行缩进:  2 字符 + 宋体 + 首行缩进:  2 字符2"/>
    <w:basedOn w:val="1"/>
    <w:qFormat/>
    <w:uiPriority w:val="99"/>
    <w:pPr>
      <w:spacing w:line="440" w:lineRule="exact"/>
    </w:pPr>
    <w:rPr>
      <w:rFonts w:ascii="宋体" w:hAnsi="宋体"/>
      <w:szCs w:val="20"/>
    </w:rPr>
  </w:style>
  <w:style w:type="paragraph" w:customStyle="1" w:styleId="949">
    <w:name w:val="样式 样式 行距: 固定值 22 磅 + 首行缩进:  2 字符"/>
    <w:qFormat/>
    <w:uiPriority w:val="99"/>
    <w:rPr>
      <w:rFonts w:ascii="Times New Roman" w:hAnsi="Times New Roman" w:eastAsia="宋体" w:cs="Times New Roman"/>
      <w:lang w:val="en-US" w:eastAsia="zh-CN" w:bidi="ar-SA"/>
    </w:rPr>
  </w:style>
  <w:style w:type="paragraph" w:customStyle="1" w:styleId="950">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top"/>
    </w:pPr>
    <w:rPr>
      <w:rFonts w:ascii="仿宋_GB2312" w:hAnsi="宋体" w:eastAsia="仿宋_GB2312" w:cs="宋体"/>
      <w:kern w:val="0"/>
      <w:sz w:val="20"/>
      <w:szCs w:val="20"/>
    </w:rPr>
  </w:style>
  <w:style w:type="paragraph" w:customStyle="1" w:styleId="951">
    <w:name w:val="主题词"/>
    <w:basedOn w:val="1"/>
    <w:qFormat/>
    <w:uiPriority w:val="99"/>
    <w:pPr>
      <w:autoSpaceDE w:val="0"/>
      <w:autoSpaceDN w:val="0"/>
      <w:adjustRightInd w:val="0"/>
      <w:spacing w:line="240" w:lineRule="atLeast"/>
      <w:jc w:val="left"/>
    </w:pPr>
    <w:rPr>
      <w:rFonts w:ascii="方正黑体_GBK" w:eastAsia="方正黑体_GBK"/>
      <w:kern w:val="0"/>
      <w:sz w:val="32"/>
      <w:szCs w:val="20"/>
    </w:rPr>
  </w:style>
  <w:style w:type="paragraph" w:customStyle="1" w:styleId="952">
    <w:name w:val="Style4"/>
    <w:basedOn w:val="1"/>
    <w:qFormat/>
    <w:uiPriority w:val="99"/>
    <w:pPr>
      <w:widowControl/>
      <w:ind w:left="360" w:hanging="360"/>
      <w:jc w:val="left"/>
    </w:pPr>
    <w:rPr>
      <w:kern w:val="0"/>
      <w:szCs w:val="20"/>
      <w:lang w:val="en-GB" w:eastAsia="en-US"/>
    </w:rPr>
  </w:style>
  <w:style w:type="paragraph" w:customStyle="1" w:styleId="95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22"/>
      <w:szCs w:val="22"/>
    </w:rPr>
  </w:style>
  <w:style w:type="paragraph" w:customStyle="1" w:styleId="954">
    <w:name w:val="et10"/>
    <w:basedOn w:val="1"/>
    <w:qFormat/>
    <w:uiPriority w:val="99"/>
    <w:pPr>
      <w:widowControl/>
      <w:spacing w:before="100" w:beforeAutospacing="1" w:after="100" w:afterAutospacing="1"/>
      <w:jc w:val="left"/>
      <w:textAlignment w:val="center"/>
    </w:pPr>
    <w:rPr>
      <w:rFonts w:ascii="黑体" w:hAnsi="黑体" w:eastAsia="黑体" w:cs="宋体"/>
      <w:color w:val="000000"/>
      <w:kern w:val="0"/>
    </w:rPr>
  </w:style>
  <w:style w:type="paragraph" w:customStyle="1" w:styleId="955">
    <w:name w:val="7"/>
    <w:basedOn w:val="1"/>
    <w:next w:val="48"/>
    <w:qFormat/>
    <w:uiPriority w:val="99"/>
    <w:pPr>
      <w:tabs>
        <w:tab w:val="left" w:pos="624"/>
        <w:tab w:val="left" w:pos="705"/>
      </w:tabs>
      <w:spacing w:line="440" w:lineRule="exact"/>
      <w:ind w:right="91" w:firstLine="573"/>
    </w:pPr>
    <w:rPr>
      <w:rFonts w:ascii="仿宋_GB2312" w:eastAsia="仿宋_GB2312"/>
      <w:kern w:val="0"/>
      <w:sz w:val="28"/>
      <w:szCs w:val="20"/>
    </w:rPr>
  </w:style>
  <w:style w:type="paragraph" w:customStyle="1" w:styleId="956">
    <w:name w:val="三级标题"/>
    <w:basedOn w:val="6"/>
    <w:qFormat/>
    <w:uiPriority w:val="99"/>
    <w:pPr>
      <w:spacing w:before="300" w:after="0" w:line="500" w:lineRule="exact"/>
    </w:pPr>
    <w:rPr>
      <w:rFonts w:eastAsia="仿宋_GB2312"/>
      <w:kern w:val="0"/>
      <w:sz w:val="28"/>
      <w:szCs w:val="28"/>
    </w:rPr>
  </w:style>
  <w:style w:type="paragraph" w:customStyle="1" w:styleId="957">
    <w:name w:val="列出段落2"/>
    <w:basedOn w:val="1"/>
    <w:qFormat/>
    <w:uiPriority w:val="99"/>
    <w:pPr>
      <w:ind w:firstLine="420"/>
    </w:pPr>
    <w:rPr>
      <w:rFonts w:eastAsia="仿宋"/>
    </w:rPr>
  </w:style>
  <w:style w:type="paragraph" w:customStyle="1" w:styleId="958">
    <w:name w:val="紧急程度"/>
    <w:basedOn w:val="959"/>
    <w:qFormat/>
    <w:uiPriority w:val="99"/>
    <w:pPr>
      <w:snapToGrid/>
      <w:spacing w:line="397" w:lineRule="atLeast"/>
    </w:pPr>
    <w:rPr>
      <w:rFonts w:ascii="汉鼎简黑体" w:hAnsi="汉鼎简黑体" w:eastAsia="汉鼎简黑体"/>
      <w:sz w:val="32"/>
    </w:rPr>
  </w:style>
  <w:style w:type="paragraph" w:customStyle="1" w:styleId="959">
    <w:name w:val="密级"/>
    <w:basedOn w:val="1"/>
    <w:qFormat/>
    <w:uiPriority w:val="99"/>
    <w:pPr>
      <w:autoSpaceDE w:val="0"/>
      <w:autoSpaceDN w:val="0"/>
      <w:adjustRightInd w:val="0"/>
      <w:snapToGrid w:val="0"/>
      <w:spacing w:line="440" w:lineRule="atLeast"/>
      <w:jc w:val="right"/>
    </w:pPr>
    <w:rPr>
      <w:rFonts w:ascii="黑体" w:eastAsia="黑体"/>
      <w:kern w:val="0"/>
      <w:sz w:val="30"/>
      <w:szCs w:val="20"/>
    </w:rPr>
  </w:style>
  <w:style w:type="paragraph" w:customStyle="1" w:styleId="960">
    <w:name w:val="xl53"/>
    <w:basedOn w:val="1"/>
    <w:qFormat/>
    <w:uiPriority w:val="99"/>
    <w:pPr>
      <w:widowControl/>
      <w:spacing w:before="100" w:beforeAutospacing="1" w:after="100" w:afterAutospacing="1"/>
      <w:jc w:val="left"/>
    </w:pPr>
    <w:rPr>
      <w:rFonts w:ascii="Arial Unicode MS" w:hAnsi="Arial Unicode MS" w:eastAsia="Arial Unicode MS" w:cs="Arial Unicode MS"/>
      <w:color w:val="0000FF"/>
      <w:kern w:val="0"/>
    </w:rPr>
  </w:style>
  <w:style w:type="paragraph" w:customStyle="1" w:styleId="961">
    <w:name w:val="列出段落6"/>
    <w:basedOn w:val="1"/>
    <w:qFormat/>
    <w:uiPriority w:val="34"/>
    <w:pPr>
      <w:ind w:firstLine="420"/>
    </w:pPr>
    <w:rPr>
      <w:szCs w:val="20"/>
    </w:rPr>
  </w:style>
  <w:style w:type="paragraph" w:customStyle="1" w:styleId="962">
    <w:name w:val="xl10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2"/>
      <w:szCs w:val="12"/>
    </w:rPr>
  </w:style>
  <w:style w:type="paragraph" w:customStyle="1" w:styleId="963">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964">
    <w:name w:val="正文-第几条"/>
    <w:basedOn w:val="1"/>
    <w:qFormat/>
    <w:uiPriority w:val="0"/>
    <w:pPr>
      <w:ind w:firstLine="0" w:firstLineChars="0"/>
    </w:pPr>
    <w:rPr>
      <w:b/>
      <w:szCs w:val="20"/>
    </w:rPr>
  </w:style>
  <w:style w:type="paragraph" w:customStyle="1" w:styleId="965">
    <w:name w:val="et25"/>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966">
    <w:name w:val="样式 标题 1 + 仿宋_GB2312 小二 段前: 0 磅 段后:行距: 固定值 21 磅"/>
    <w:basedOn w:val="4"/>
    <w:qFormat/>
    <w:uiPriority w:val="99"/>
    <w:pPr>
      <w:spacing w:line="420" w:lineRule="exact"/>
      <w:jc w:val="both"/>
    </w:pPr>
    <w:rPr>
      <w:rFonts w:ascii="仿宋_GB2312" w:hAnsi="Times New Roman" w:eastAsia="仿宋_GB2312"/>
      <w:bCs/>
      <w:szCs w:val="20"/>
    </w:rPr>
  </w:style>
  <w:style w:type="paragraph" w:customStyle="1" w:styleId="967">
    <w:name w:val="表内容"/>
    <w:basedOn w:val="1"/>
    <w:qFormat/>
    <w:uiPriority w:val="99"/>
    <w:pPr>
      <w:keepNext/>
      <w:spacing w:line="240" w:lineRule="auto"/>
      <w:ind w:firstLine="0" w:firstLineChars="0"/>
    </w:pPr>
    <w:rPr>
      <w:rFonts w:ascii="宋体" w:hAnsi="Calibri"/>
      <w:sz w:val="21"/>
    </w:rPr>
  </w:style>
  <w:style w:type="paragraph" w:customStyle="1" w:styleId="968">
    <w:name w:val="Char Char Char Char Char Char1 Char"/>
    <w:basedOn w:val="1"/>
    <w:qFormat/>
    <w:uiPriority w:val="99"/>
  </w:style>
  <w:style w:type="paragraph" w:customStyle="1" w:styleId="969">
    <w:name w:val="Char Char Char1"/>
    <w:basedOn w:val="1"/>
    <w:qFormat/>
    <w:uiPriority w:val="99"/>
    <w:pPr>
      <w:widowControl/>
      <w:spacing w:line="300" w:lineRule="auto"/>
      <w:jc w:val="left"/>
    </w:pPr>
    <w:rPr>
      <w:szCs w:val="22"/>
    </w:rPr>
  </w:style>
  <w:style w:type="paragraph" w:customStyle="1" w:styleId="970">
    <w:name w:val="et14"/>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971">
    <w:name w:val="中等深浅网格 3 - 强调文字颜色 211"/>
    <w:basedOn w:val="1"/>
    <w:next w:val="1"/>
    <w:qFormat/>
    <w:uiPriority w:val="30"/>
    <w:pPr>
      <w:widowControl/>
      <w:pBdr>
        <w:bottom w:val="single" w:color="auto" w:sz="4" w:space="1"/>
      </w:pBdr>
      <w:spacing w:before="200" w:after="280" w:line="300" w:lineRule="auto"/>
      <w:ind w:left="1008" w:right="1152"/>
      <w:jc w:val="left"/>
    </w:pPr>
    <w:rPr>
      <w:b/>
      <w:bCs/>
      <w:i/>
      <w:iCs/>
      <w:kern w:val="0"/>
      <w:szCs w:val="20"/>
    </w:rPr>
  </w:style>
  <w:style w:type="paragraph" w:customStyle="1" w:styleId="972">
    <w:name w:val="样式 样式 表注 + 段前: 0.5 行 + 五号 段前: 0.5 行"/>
    <w:basedOn w:val="1"/>
    <w:qFormat/>
    <w:uiPriority w:val="99"/>
    <w:pPr>
      <w:spacing w:beforeLines="100"/>
      <w:jc w:val="center"/>
    </w:pPr>
    <w:rPr>
      <w:rFonts w:cs="宋体"/>
      <w:szCs w:val="20"/>
    </w:rPr>
  </w:style>
  <w:style w:type="paragraph" w:customStyle="1" w:styleId="973">
    <w:name w:val="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7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Arial Unicode MS" w:eastAsia="黑体" w:cs="Arial Unicode MS"/>
      <w:kern w:val="0"/>
      <w:sz w:val="22"/>
      <w:szCs w:val="22"/>
    </w:rPr>
  </w:style>
  <w:style w:type="paragraph" w:customStyle="1" w:styleId="975">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cs="Arial Unicode MS"/>
      <w:b/>
      <w:bCs/>
      <w:kern w:val="0"/>
      <w:sz w:val="22"/>
      <w:szCs w:val="22"/>
    </w:rPr>
  </w:style>
  <w:style w:type="paragraph" w:customStyle="1" w:styleId="97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b/>
      <w:bCs/>
      <w:kern w:val="0"/>
      <w:sz w:val="20"/>
      <w:szCs w:val="20"/>
    </w:rPr>
  </w:style>
  <w:style w:type="paragraph" w:customStyle="1" w:styleId="977">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78">
    <w:name w:val="a"/>
    <w:basedOn w:val="1"/>
    <w:qFormat/>
    <w:uiPriority w:val="99"/>
    <w:pPr>
      <w:widowControl/>
      <w:spacing w:before="100" w:beforeAutospacing="1" w:after="100" w:afterAutospacing="1"/>
      <w:jc w:val="left"/>
    </w:pPr>
    <w:rPr>
      <w:rFonts w:ascii="宋体" w:hAnsi="宋体" w:cs="宋体"/>
      <w:kern w:val="0"/>
    </w:rPr>
  </w:style>
  <w:style w:type="paragraph" w:customStyle="1" w:styleId="979">
    <w:name w:val="unnamed2"/>
    <w:basedOn w:val="1"/>
    <w:qFormat/>
    <w:uiPriority w:val="99"/>
    <w:pPr>
      <w:widowControl/>
      <w:spacing w:before="100" w:beforeAutospacing="1" w:after="100" w:afterAutospacing="1" w:line="255" w:lineRule="atLeast"/>
      <w:jc w:val="left"/>
    </w:pPr>
    <w:rPr>
      <w:rFonts w:ascii="宋体" w:hAnsi="宋体"/>
      <w:kern w:val="0"/>
      <w:sz w:val="20"/>
      <w:szCs w:val="20"/>
    </w:rPr>
  </w:style>
  <w:style w:type="paragraph" w:customStyle="1" w:styleId="980">
    <w:name w:val="xl14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981">
    <w:name w:val="标题4"/>
    <w:basedOn w:val="1"/>
    <w:link w:val="982"/>
    <w:qFormat/>
    <w:uiPriority w:val="99"/>
    <w:pPr>
      <w:spacing w:beforeLines="100" w:afterLines="100"/>
      <w:jc w:val="left"/>
    </w:pPr>
    <w:rPr>
      <w:rFonts w:ascii="仿宋_GB2312" w:eastAsia="仿宋_GB2312"/>
      <w:spacing w:val="6"/>
      <w:kern w:val="0"/>
    </w:rPr>
  </w:style>
  <w:style w:type="character" w:customStyle="1" w:styleId="982">
    <w:name w:val="标题4 字符"/>
    <w:link w:val="981"/>
    <w:qFormat/>
    <w:uiPriority w:val="99"/>
    <w:rPr>
      <w:rFonts w:ascii="仿宋_GB2312" w:hAnsi="Times New Roman" w:eastAsia="仿宋_GB2312" w:cs="Times New Roman"/>
      <w:spacing w:val="6"/>
      <w:kern w:val="0"/>
      <w:sz w:val="24"/>
      <w:szCs w:val="24"/>
    </w:rPr>
  </w:style>
  <w:style w:type="character" w:customStyle="1" w:styleId="983">
    <w:name w:val="标题 4 字符3"/>
    <w:qFormat/>
    <w:uiPriority w:val="0"/>
    <w:rPr>
      <w:rFonts w:ascii="Times New Roman" w:hAnsi="Times New Roman" w:eastAsia="仿宋_GB2312"/>
      <w:b/>
      <w:bCs/>
      <w:kern w:val="2"/>
      <w:sz w:val="28"/>
      <w:szCs w:val="28"/>
    </w:rPr>
  </w:style>
  <w:style w:type="paragraph" w:customStyle="1" w:styleId="984">
    <w:name w:val="Char Char Char Char2"/>
    <w:basedOn w:val="1"/>
    <w:qFormat/>
    <w:uiPriority w:val="99"/>
  </w:style>
  <w:style w:type="paragraph" w:customStyle="1" w:styleId="985">
    <w:name w:val="et9"/>
    <w:basedOn w:val="1"/>
    <w:qFormat/>
    <w:uiPriority w:val="99"/>
    <w:pPr>
      <w:widowControl/>
      <w:spacing w:before="100" w:beforeAutospacing="1" w:after="100" w:afterAutospacing="1"/>
      <w:jc w:val="left"/>
      <w:textAlignment w:val="center"/>
    </w:pPr>
    <w:rPr>
      <w:rFonts w:ascii="黑体" w:hAnsi="黑体" w:eastAsia="黑体" w:cs="宋体"/>
      <w:color w:val="000000"/>
      <w:kern w:val="0"/>
    </w:rPr>
  </w:style>
  <w:style w:type="paragraph" w:customStyle="1" w:styleId="98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987">
    <w:name w:val="xl25"/>
    <w:basedOn w:val="1"/>
    <w:qFormat/>
    <w:uiPriority w:val="99"/>
    <w:pPr>
      <w:widowControl/>
      <w:pBdr>
        <w:bottom w:val="single" w:color="auto" w:sz="4" w:space="0"/>
        <w:right w:val="single" w:color="auto" w:sz="4" w:space="0"/>
      </w:pBdr>
      <w:spacing w:before="100" w:beforeAutospacing="1" w:after="100" w:afterAutospacing="1"/>
      <w:textAlignment w:val="top"/>
    </w:pPr>
    <w:rPr>
      <w:rFonts w:eastAsia="Arial Unicode MS"/>
      <w:kern w:val="0"/>
      <w:szCs w:val="21"/>
    </w:rPr>
  </w:style>
  <w:style w:type="paragraph" w:customStyle="1" w:styleId="988">
    <w:name w:val="重污染城市结题报告标题四"/>
    <w:basedOn w:val="7"/>
    <w:qFormat/>
    <w:uiPriority w:val="99"/>
    <w:pPr>
      <w:widowControl w:val="0"/>
      <w:spacing w:beforeLines="0" w:after="120"/>
      <w:ind w:right="0" w:rightChars="0"/>
    </w:pPr>
    <w:rPr>
      <w:rFonts w:ascii="Cambria" w:hAnsi="Cambria" w:eastAsia="仿宋_GB2312"/>
      <w:bCs/>
      <w:color w:val="auto"/>
      <w:kern w:val="2"/>
      <w:sz w:val="24"/>
      <w:szCs w:val="24"/>
    </w:rPr>
  </w:style>
  <w:style w:type="paragraph" w:customStyle="1" w:styleId="989">
    <w:name w:val="11（表）"/>
    <w:basedOn w:val="1"/>
    <w:qFormat/>
    <w:uiPriority w:val="1"/>
    <w:pPr>
      <w:autoSpaceDE w:val="0"/>
      <w:autoSpaceDN w:val="0"/>
      <w:adjustRightInd w:val="0"/>
      <w:spacing w:line="240" w:lineRule="auto"/>
      <w:ind w:firstLine="0" w:firstLineChars="0"/>
      <w:jc w:val="center"/>
    </w:pPr>
    <w:rPr>
      <w:kern w:val="0"/>
      <w:sz w:val="21"/>
    </w:rPr>
  </w:style>
  <w:style w:type="paragraph" w:customStyle="1" w:styleId="990">
    <w:name w:val="正文中括号"/>
    <w:next w:val="1"/>
    <w:qFormat/>
    <w:uiPriority w:val="99"/>
    <w:pPr>
      <w:spacing w:line="500" w:lineRule="exact"/>
    </w:pPr>
    <w:rPr>
      <w:rFonts w:ascii="Times New Roman" w:hAnsi="Times New Roman" w:eastAsia="宋体" w:cs="Times New Roman"/>
      <w:kern w:val="2"/>
      <w:sz w:val="28"/>
      <w:szCs w:val="22"/>
      <w:lang w:val="en-US" w:eastAsia="zh-CN" w:bidi="ar-SA"/>
    </w:rPr>
  </w:style>
  <w:style w:type="paragraph" w:customStyle="1" w:styleId="991">
    <w:name w:val="01"/>
    <w:basedOn w:val="1"/>
    <w:qFormat/>
    <w:uiPriority w:val="99"/>
    <w:pPr>
      <w:widowControl/>
      <w:spacing w:before="100" w:beforeAutospacing="1" w:after="100" w:afterAutospacing="1"/>
      <w:jc w:val="left"/>
    </w:pPr>
    <w:rPr>
      <w:rFonts w:ascii="宋体" w:hAnsi="宋体" w:cs="宋体"/>
      <w:kern w:val="0"/>
    </w:rPr>
  </w:style>
  <w:style w:type="paragraph" w:customStyle="1" w:styleId="99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993">
    <w:name w:val="xl14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994">
    <w:name w:val="xl81"/>
    <w:basedOn w:val="1"/>
    <w:qFormat/>
    <w:uiPriority w:val="99"/>
    <w:pPr>
      <w:widowControl/>
      <w:pBdr>
        <w:left w:val="single" w:color="auto" w:sz="8" w:space="0"/>
        <w:bottom w:val="single" w:color="auto" w:sz="8" w:space="0"/>
        <w:right w:val="single" w:color="auto" w:sz="8" w:space="0"/>
      </w:pBdr>
      <w:spacing w:before="100" w:beforeAutospacing="1" w:after="100" w:afterAutospacing="1"/>
      <w:jc w:val="center"/>
    </w:pPr>
    <w:rPr>
      <w:color w:val="00B050"/>
      <w:kern w:val="0"/>
      <w:sz w:val="12"/>
      <w:szCs w:val="12"/>
    </w:rPr>
  </w:style>
  <w:style w:type="paragraph" w:customStyle="1" w:styleId="995">
    <w:name w:val="正文3"/>
    <w:basedOn w:val="1"/>
    <w:qFormat/>
    <w:uiPriority w:val="99"/>
    <w:pPr>
      <w:adjustRightInd w:val="0"/>
      <w:spacing w:line="315" w:lineRule="atLeast"/>
      <w:jc w:val="left"/>
      <w:textAlignment w:val="baseline"/>
    </w:pPr>
    <w:rPr>
      <w:rFonts w:ascii="宋体"/>
      <w:kern w:val="0"/>
      <w:szCs w:val="20"/>
    </w:rPr>
  </w:style>
  <w:style w:type="paragraph" w:customStyle="1" w:styleId="996">
    <w:name w:val="ctitle"/>
    <w:basedOn w:val="1"/>
    <w:qFormat/>
    <w:uiPriority w:val="99"/>
    <w:pPr>
      <w:widowControl/>
      <w:spacing w:before="100" w:beforeAutospacing="1" w:after="100" w:afterAutospacing="1"/>
      <w:jc w:val="left"/>
    </w:pPr>
    <w:rPr>
      <w:rFonts w:ascii="Arial" w:hAnsi="Arial" w:cs="Arial"/>
      <w:b/>
      <w:bCs/>
      <w:color w:val="990000"/>
      <w:kern w:val="0"/>
      <w:sz w:val="30"/>
      <w:szCs w:val="30"/>
    </w:rPr>
  </w:style>
  <w:style w:type="paragraph" w:customStyle="1" w:styleId="99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98">
    <w:name w:val="Char Char Char Char Char Char Char Char Char1"/>
    <w:basedOn w:val="1"/>
    <w:qFormat/>
    <w:uiPriority w:val="99"/>
    <w:rPr>
      <w:rFonts w:ascii="仿宋_GB2312" w:eastAsia="仿宋_GB2312"/>
      <w:sz w:val="28"/>
      <w:szCs w:val="28"/>
    </w:rPr>
  </w:style>
  <w:style w:type="paragraph" w:customStyle="1" w:styleId="999">
    <w:name w:val="1 Char Char Char"/>
    <w:next w:val="2"/>
    <w:qFormat/>
    <w:uiPriority w:val="99"/>
    <w:pPr>
      <w:snapToGrid w:val="0"/>
      <w:spacing w:line="360" w:lineRule="auto"/>
      <w:ind w:firstLine="200" w:firstLineChars="200"/>
    </w:pPr>
    <w:rPr>
      <w:rFonts w:ascii="Times New Roman" w:hAnsi="Times New Roman" w:eastAsia="宋体" w:cs="Times New Roman"/>
      <w:lang w:val="en-US" w:eastAsia="zh-CN" w:bidi="ar-SA"/>
    </w:rPr>
  </w:style>
  <w:style w:type="paragraph" w:customStyle="1" w:styleId="1000">
    <w:name w:val="Char2"/>
    <w:basedOn w:val="1"/>
    <w:qFormat/>
    <w:uiPriority w:val="99"/>
    <w:pPr>
      <w:tabs>
        <w:tab w:val="right" w:leader="middleDot" w:pos="360"/>
      </w:tabs>
    </w:pPr>
  </w:style>
  <w:style w:type="paragraph" w:customStyle="1" w:styleId="1001">
    <w:name w:val="xl52"/>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1002">
    <w:name w:val="标题4（于洪区）"/>
    <w:basedOn w:val="1"/>
    <w:qFormat/>
    <w:uiPriority w:val="99"/>
    <w:pPr>
      <w:ind w:firstLine="562"/>
    </w:pPr>
    <w:rPr>
      <w:rFonts w:ascii="仿宋_GB2312" w:eastAsia="仿宋_GB2312"/>
      <w:b/>
      <w:kern w:val="0"/>
      <w:sz w:val="28"/>
      <w:szCs w:val="28"/>
    </w:rPr>
  </w:style>
  <w:style w:type="paragraph" w:customStyle="1" w:styleId="1003">
    <w:name w:val="样式 (西文) 仿宋_GB2312 (中文) 仿宋_GB2312 黑色"/>
    <w:basedOn w:val="1"/>
    <w:qFormat/>
    <w:uiPriority w:val="99"/>
    <w:pPr>
      <w:adjustRightInd w:val="0"/>
      <w:snapToGrid w:val="0"/>
      <w:spacing w:line="300" w:lineRule="auto"/>
    </w:pPr>
    <w:rPr>
      <w:rFonts w:ascii="仿宋_GB2312" w:eastAsia="仿宋_GB2312"/>
      <w:color w:val="000000"/>
      <w:sz w:val="28"/>
    </w:rPr>
  </w:style>
  <w:style w:type="paragraph" w:customStyle="1" w:styleId="1004">
    <w:name w:val="5"/>
    <w:basedOn w:val="1"/>
    <w:next w:val="54"/>
    <w:qFormat/>
    <w:uiPriority w:val="99"/>
    <w:pPr>
      <w:widowControl/>
      <w:spacing w:before="100" w:beforeAutospacing="1" w:after="100" w:afterAutospacing="1"/>
      <w:jc w:val="left"/>
    </w:pPr>
    <w:rPr>
      <w:rFonts w:ascii="Arial Unicode MS" w:hAnsi="Arial Unicode MS" w:eastAsia="Arial Unicode MS"/>
      <w:kern w:val="0"/>
    </w:rPr>
  </w:style>
  <w:style w:type="paragraph" w:customStyle="1" w:styleId="1005">
    <w:name w:val="表格内文字"/>
    <w:basedOn w:val="1"/>
    <w:qFormat/>
    <w:uiPriority w:val="99"/>
    <w:pPr>
      <w:autoSpaceDE w:val="0"/>
      <w:autoSpaceDN w:val="0"/>
      <w:adjustRightInd w:val="0"/>
      <w:spacing w:line="320" w:lineRule="exact"/>
      <w:jc w:val="center"/>
    </w:pPr>
    <w:rPr>
      <w:rFonts w:ascii="宋体"/>
      <w:spacing w:val="10"/>
      <w:szCs w:val="20"/>
    </w:rPr>
  </w:style>
  <w:style w:type="paragraph" w:customStyle="1" w:styleId="1006">
    <w:name w:val="xl44"/>
    <w:basedOn w:val="1"/>
    <w:qFormat/>
    <w:uiPriority w:val="99"/>
    <w:pPr>
      <w:widowControl/>
      <w:spacing w:before="100" w:beforeAutospacing="1" w:after="100" w:afterAutospacing="1"/>
    </w:pPr>
    <w:rPr>
      <w:rFonts w:ascii="宋体" w:hAnsi="宋体"/>
      <w:color w:val="0000FF"/>
      <w:kern w:val="0"/>
    </w:rPr>
  </w:style>
  <w:style w:type="paragraph" w:customStyle="1" w:styleId="1007">
    <w:name w:val="样式 样式 总报告正文 + 首行缩进:  2 字符 + 首行缩进:  2 字符1"/>
    <w:basedOn w:val="1"/>
    <w:qFormat/>
    <w:uiPriority w:val="99"/>
    <w:pPr>
      <w:ind w:firstLine="560"/>
    </w:pPr>
    <w:rPr>
      <w:rFonts w:cs="宋体"/>
      <w:kern w:val="0"/>
      <w:szCs w:val="20"/>
    </w:rPr>
  </w:style>
  <w:style w:type="paragraph" w:customStyle="1" w:styleId="100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09">
    <w:name w:val="xl153"/>
    <w:basedOn w:val="1"/>
    <w:qFormat/>
    <w:uiPriority w:val="0"/>
    <w:pPr>
      <w:widowControl/>
      <w:pBdr>
        <w:left w:val="single" w:color="000000" w:sz="4" w:space="0"/>
        <w:right w:val="single" w:color="000000"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010">
    <w:name w:val="xl128"/>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11">
    <w:name w:val="Char3"/>
    <w:basedOn w:val="1"/>
    <w:qFormat/>
    <w:uiPriority w:val="99"/>
    <w:pPr>
      <w:tabs>
        <w:tab w:val="right" w:leader="middleDot" w:pos="360"/>
      </w:tabs>
    </w:pPr>
  </w:style>
  <w:style w:type="paragraph" w:customStyle="1" w:styleId="1012">
    <w:name w:val="8"/>
    <w:basedOn w:val="1"/>
    <w:next w:val="38"/>
    <w:qFormat/>
    <w:uiPriority w:val="99"/>
    <w:pPr>
      <w:ind w:firstLine="480"/>
    </w:pPr>
    <w:rPr>
      <w:rFonts w:ascii="宋体" w:hAnsi="宋体"/>
      <w:szCs w:val="20"/>
    </w:rPr>
  </w:style>
  <w:style w:type="paragraph" w:customStyle="1" w:styleId="1013">
    <w:name w:val="Char1 Char Char Char"/>
    <w:basedOn w:val="1"/>
    <w:qFormat/>
    <w:uiPriority w:val="99"/>
    <w:rPr>
      <w:rFonts w:ascii="宋体" w:hAnsi="宋体" w:cs="宋体"/>
    </w:rPr>
  </w:style>
  <w:style w:type="paragraph" w:customStyle="1" w:styleId="1014">
    <w:name w:val="标题 21"/>
    <w:basedOn w:val="1"/>
    <w:next w:val="1"/>
    <w:qFormat/>
    <w:uiPriority w:val="99"/>
    <w:pPr>
      <w:keepNext/>
      <w:keepLines/>
      <w:spacing w:beforeLines="50" w:afterLines="50"/>
      <w:outlineLvl w:val="1"/>
    </w:pPr>
    <w:rPr>
      <w:rFonts w:ascii="Calibri Light" w:hAnsi="Calibri Light" w:eastAsia="Times New Roman"/>
      <w:b/>
      <w:bCs/>
      <w:sz w:val="36"/>
      <w:szCs w:val="32"/>
    </w:rPr>
  </w:style>
  <w:style w:type="paragraph" w:customStyle="1" w:styleId="1015">
    <w:name w:val="题注1"/>
    <w:basedOn w:val="1"/>
    <w:next w:val="1"/>
    <w:qFormat/>
    <w:uiPriority w:val="35"/>
    <w:pPr>
      <w:spacing w:beforeLines="50" w:afterLines="50"/>
      <w:jc w:val="center"/>
      <w:outlineLvl w:val="8"/>
    </w:pPr>
    <w:rPr>
      <w:b/>
      <w:kern w:val="0"/>
      <w:szCs w:val="21"/>
    </w:rPr>
  </w:style>
  <w:style w:type="paragraph" w:customStyle="1" w:styleId="1016">
    <w:name w:val="线型"/>
    <w:basedOn w:val="852"/>
    <w:qFormat/>
    <w:uiPriority w:val="99"/>
    <w:pPr>
      <w:spacing w:line="240" w:lineRule="auto"/>
      <w:ind w:left="0" w:firstLine="0"/>
      <w:jc w:val="center"/>
    </w:pPr>
    <w:rPr>
      <w:sz w:val="21"/>
    </w:rPr>
  </w:style>
  <w:style w:type="paragraph" w:customStyle="1" w:styleId="1017">
    <w:name w:val="xl51"/>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1018">
    <w:name w:val="et30"/>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019">
    <w:name w:val="et32"/>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020">
    <w:name w:val="评价样式1"/>
    <w:basedOn w:val="1"/>
    <w:next w:val="28"/>
    <w:qFormat/>
    <w:uiPriority w:val="99"/>
    <w:pPr>
      <w:spacing w:line="460" w:lineRule="atLeast"/>
    </w:pPr>
    <w:rPr>
      <w:rFonts w:ascii="Times" w:hAnsi="Times"/>
      <w:bCs/>
    </w:rPr>
  </w:style>
  <w:style w:type="paragraph" w:customStyle="1" w:styleId="102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22">
    <w:name w:val="xl95"/>
    <w:basedOn w:val="1"/>
    <w:qFormat/>
    <w:uiPriority w:val="0"/>
    <w:pPr>
      <w:widowControl/>
      <w:pBdr>
        <w:bottom w:val="single" w:color="auto" w:sz="8" w:space="0"/>
        <w:right w:val="single" w:color="auto" w:sz="8" w:space="0"/>
      </w:pBdr>
      <w:spacing w:before="100" w:beforeAutospacing="1" w:after="100" w:afterAutospacing="1"/>
    </w:pPr>
    <w:rPr>
      <w:color w:val="00B050"/>
      <w:kern w:val="0"/>
      <w:sz w:val="12"/>
      <w:szCs w:val="12"/>
    </w:rPr>
  </w:style>
  <w:style w:type="paragraph" w:customStyle="1" w:styleId="1023">
    <w:name w:val="et7"/>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1024">
    <w:name w:val="xl46"/>
    <w:basedOn w:val="1"/>
    <w:qFormat/>
    <w:uiPriority w:val="99"/>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1025">
    <w:name w:val="文档结构图1"/>
    <w:basedOn w:val="1"/>
    <w:qFormat/>
    <w:uiPriority w:val="99"/>
    <w:rPr>
      <w:rFonts w:ascii="宋体"/>
      <w:sz w:val="18"/>
      <w:szCs w:val="18"/>
    </w:rPr>
  </w:style>
  <w:style w:type="paragraph" w:customStyle="1" w:styleId="1026">
    <w:name w:val="大纲正文"/>
    <w:basedOn w:val="1"/>
    <w:qFormat/>
    <w:uiPriority w:val="99"/>
    <w:pPr>
      <w:widowControl/>
      <w:adjustRightInd w:val="0"/>
      <w:snapToGrid w:val="0"/>
      <w:spacing w:afterLines="50" w:line="300" w:lineRule="auto"/>
      <w:ind w:firstLine="480"/>
    </w:pPr>
    <w:rPr>
      <w:szCs w:val="20"/>
    </w:rPr>
  </w:style>
  <w:style w:type="paragraph" w:customStyle="1" w:styleId="1027">
    <w:name w:val="et41"/>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028">
    <w:name w:val="1 Char Char Char Char"/>
    <w:basedOn w:val="1"/>
    <w:qFormat/>
    <w:uiPriority w:val="99"/>
    <w:rPr>
      <w:rFonts w:ascii="宋体" w:hAnsi="宋体" w:cs="宋体"/>
    </w:rPr>
  </w:style>
  <w:style w:type="paragraph" w:customStyle="1" w:styleId="102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30">
    <w:name w:val="样式 主题词 + 段后: 8.85 磅 行距: 固定值 26 磅"/>
    <w:basedOn w:val="951"/>
    <w:qFormat/>
    <w:uiPriority w:val="99"/>
    <w:pPr>
      <w:spacing w:after="177" w:line="520" w:lineRule="exact"/>
    </w:pPr>
    <w:rPr>
      <w:rFonts w:cs="宋体"/>
      <w:bCs/>
    </w:rPr>
  </w:style>
  <w:style w:type="paragraph" w:customStyle="1" w:styleId="1031">
    <w:name w:val="样式 标题 1 + 居中"/>
    <w:basedOn w:val="4"/>
    <w:qFormat/>
    <w:uiPriority w:val="99"/>
    <w:pPr>
      <w:adjustRightInd/>
      <w:spacing w:before="360" w:after="360" w:afterAutospacing="0" w:line="360" w:lineRule="exact"/>
      <w:jc w:val="left"/>
    </w:pPr>
    <w:rPr>
      <w:rFonts w:ascii="Times New Roman" w:hAnsi="Times New Roman"/>
      <w:bCs/>
      <w:color w:val="auto"/>
      <w:kern w:val="44"/>
      <w:sz w:val="32"/>
      <w:szCs w:val="20"/>
    </w:rPr>
  </w:style>
  <w:style w:type="paragraph" w:customStyle="1" w:styleId="103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cs="宋体"/>
      <w:b/>
      <w:bCs/>
      <w:kern w:val="0"/>
      <w:sz w:val="22"/>
      <w:szCs w:val="22"/>
    </w:rPr>
  </w:style>
  <w:style w:type="paragraph" w:customStyle="1" w:styleId="1033">
    <w:name w:val="中等深浅网格 1 - 强调文字颜色 211"/>
    <w:basedOn w:val="1"/>
    <w:qFormat/>
    <w:uiPriority w:val="34"/>
    <w:pPr>
      <w:widowControl/>
      <w:spacing w:line="300" w:lineRule="auto"/>
      <w:ind w:firstLine="420"/>
      <w:jc w:val="left"/>
    </w:pPr>
    <w:rPr>
      <w:rFonts w:ascii="Calibri" w:hAnsi="Calibri"/>
      <w:szCs w:val="21"/>
    </w:rPr>
  </w:style>
  <w:style w:type="paragraph" w:customStyle="1" w:styleId="1034">
    <w:name w:val="00表格头"/>
    <w:basedOn w:val="1"/>
    <w:next w:val="1"/>
    <w:qFormat/>
    <w:uiPriority w:val="99"/>
    <w:pPr>
      <w:spacing w:beforeLines="50" w:afterLines="50" w:line="240" w:lineRule="exact"/>
      <w:ind w:firstLine="0"/>
      <w:jc w:val="center"/>
    </w:pPr>
    <w:rPr>
      <w:rFonts w:ascii="Calibri" w:hAnsi="Calibri" w:eastAsia="黑体"/>
      <w:color w:val="548DD4"/>
      <w:sz w:val="22"/>
      <w:szCs w:val="21"/>
    </w:rPr>
  </w:style>
  <w:style w:type="paragraph" w:customStyle="1" w:styleId="1035">
    <w:name w:val="xl94"/>
    <w:basedOn w:val="1"/>
    <w:qFormat/>
    <w:uiPriority w:val="0"/>
    <w:pPr>
      <w:widowControl/>
      <w:pBdr>
        <w:right w:val="single" w:color="auto" w:sz="8" w:space="0"/>
      </w:pBdr>
      <w:spacing w:before="100" w:beforeAutospacing="1" w:after="100" w:afterAutospacing="1"/>
    </w:pPr>
    <w:rPr>
      <w:color w:val="00B050"/>
      <w:kern w:val="0"/>
      <w:sz w:val="12"/>
      <w:szCs w:val="12"/>
    </w:rPr>
  </w:style>
  <w:style w:type="paragraph" w:customStyle="1" w:styleId="1036">
    <w:name w:val="4"/>
    <w:basedOn w:val="1"/>
    <w:next w:val="38"/>
    <w:qFormat/>
    <w:uiPriority w:val="99"/>
    <w:pPr>
      <w:spacing w:after="120" w:line="480" w:lineRule="auto"/>
      <w:ind w:left="420" w:leftChars="200"/>
    </w:pPr>
  </w:style>
  <w:style w:type="paragraph" w:customStyle="1" w:styleId="103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黑体" w:hAnsi="Arial Unicode MS" w:eastAsia="黑体" w:cs="Arial Unicode MS"/>
      <w:b/>
      <w:bCs/>
      <w:kern w:val="0"/>
      <w:sz w:val="22"/>
      <w:szCs w:val="22"/>
    </w:rPr>
  </w:style>
  <w:style w:type="paragraph" w:customStyle="1" w:styleId="1038">
    <w:name w:val="我的表格"/>
    <w:basedOn w:val="1"/>
    <w:qFormat/>
    <w:uiPriority w:val="99"/>
    <w:pPr>
      <w:widowControl/>
      <w:spacing w:line="240" w:lineRule="atLeast"/>
      <w:jc w:val="center"/>
    </w:pPr>
    <w:rPr>
      <w:rFonts w:ascii="宋体" w:hAnsi="宋体" w:cs="宋体"/>
      <w:kern w:val="0"/>
      <w:szCs w:val="21"/>
    </w:rPr>
  </w:style>
  <w:style w:type="paragraph" w:customStyle="1" w:styleId="1039">
    <w:name w:val="et22"/>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1040">
    <w:name w:val="xl40"/>
    <w:basedOn w:val="1"/>
    <w:qFormat/>
    <w:uiPriority w:val="99"/>
    <w:pPr>
      <w:widowControl/>
      <w:spacing w:before="100" w:beforeAutospacing="1" w:after="100" w:afterAutospacing="1"/>
      <w:jc w:val="center"/>
      <w:textAlignment w:val="center"/>
    </w:pPr>
    <w:rPr>
      <w:rFonts w:ascii="Arial Unicode MS" w:hAnsi="Arial Unicode MS" w:eastAsia="Arial Unicode MS" w:cs="Arial Unicode MS"/>
      <w:color w:val="FF0000"/>
      <w:kern w:val="0"/>
    </w:rPr>
  </w:style>
  <w:style w:type="paragraph" w:customStyle="1" w:styleId="1041">
    <w:name w:val="印数"/>
    <w:basedOn w:val="723"/>
    <w:qFormat/>
    <w:uiPriority w:val="99"/>
    <w:pPr>
      <w:spacing w:line="400" w:lineRule="atLeast"/>
      <w:ind w:left="0" w:right="0"/>
      <w:jc w:val="right"/>
    </w:pPr>
  </w:style>
  <w:style w:type="paragraph" w:customStyle="1" w:styleId="1042">
    <w:name w:val="嘉兴--表"/>
    <w:basedOn w:val="587"/>
    <w:qFormat/>
    <w:uiPriority w:val="0"/>
    <w:pPr>
      <w:spacing w:beforeLines="50" w:line="300" w:lineRule="auto"/>
      <w:ind w:firstLine="0" w:firstLineChars="0"/>
      <w:jc w:val="center"/>
    </w:pPr>
    <w:rPr>
      <w:rFonts w:ascii="宋体" w:hAnsi="宋体"/>
      <w:b/>
      <w:szCs w:val="21"/>
    </w:rPr>
  </w:style>
  <w:style w:type="paragraph" w:customStyle="1" w:styleId="1043">
    <w:name w:val="10"/>
    <w:basedOn w:val="1"/>
    <w:qFormat/>
    <w:uiPriority w:val="99"/>
  </w:style>
  <w:style w:type="paragraph" w:customStyle="1" w:styleId="104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黑体" w:hAnsi="黑体" w:eastAsia="黑体" w:cs="宋体"/>
      <w:kern w:val="0"/>
      <w:sz w:val="20"/>
      <w:szCs w:val="20"/>
    </w:rPr>
  </w:style>
  <w:style w:type="paragraph" w:customStyle="1" w:styleId="1045">
    <w:name w:val="日期1"/>
    <w:basedOn w:val="1"/>
    <w:next w:val="1"/>
    <w:qFormat/>
    <w:uiPriority w:val="99"/>
    <w:pPr>
      <w:adjustRightInd w:val="0"/>
      <w:spacing w:line="312" w:lineRule="atLeast"/>
      <w:textAlignment w:val="baseline"/>
    </w:pPr>
    <w:rPr>
      <w:rFonts w:eastAsia="仿宋"/>
      <w:kern w:val="0"/>
      <w:sz w:val="28"/>
      <w:szCs w:val="20"/>
    </w:rPr>
  </w:style>
  <w:style w:type="paragraph" w:customStyle="1" w:styleId="1046">
    <w:name w:val="1 Char Char Char Char Char Char Char"/>
    <w:basedOn w:val="1"/>
    <w:qFormat/>
    <w:uiPriority w:val="0"/>
    <w:pPr>
      <w:spacing w:line="240" w:lineRule="auto"/>
      <w:ind w:firstLine="0" w:firstLineChars="0"/>
      <w:jc w:val="left"/>
    </w:pPr>
    <w:rPr>
      <w:rFonts w:ascii="Tahoma" w:hAnsi="Tahoma"/>
      <w:szCs w:val="20"/>
    </w:rPr>
  </w:style>
  <w:style w:type="paragraph" w:customStyle="1" w:styleId="104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4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49">
    <w:name w:val="xl9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kern w:val="0"/>
      <w:sz w:val="12"/>
      <w:szCs w:val="12"/>
    </w:rPr>
  </w:style>
  <w:style w:type="paragraph" w:customStyle="1" w:styleId="1050">
    <w:name w:val="xl13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51">
    <w:name w:val="Char"/>
    <w:basedOn w:val="1"/>
    <w:qFormat/>
    <w:uiPriority w:val="0"/>
    <w:rPr>
      <w:szCs w:val="20"/>
    </w:rPr>
  </w:style>
  <w:style w:type="paragraph" w:customStyle="1" w:styleId="105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5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54">
    <w:name w:val="样式 样式 样式 段前: 0.5 行 行距: 1.5 倍行距 首行缩进:  2 字符 + 首行缩进:  2 字符 段后: 1 行..."/>
    <w:basedOn w:val="1"/>
    <w:qFormat/>
    <w:uiPriority w:val="99"/>
    <w:pPr>
      <w:adjustRightInd w:val="0"/>
      <w:snapToGrid w:val="0"/>
      <w:spacing w:line="300" w:lineRule="auto"/>
    </w:pPr>
    <w:rPr>
      <w:rFonts w:eastAsia="仿宋_GB2312" w:cs="宋体"/>
      <w:sz w:val="28"/>
      <w:szCs w:val="20"/>
    </w:rPr>
  </w:style>
  <w:style w:type="paragraph" w:customStyle="1" w:styleId="1055">
    <w:name w:val="修订2"/>
    <w:qFormat/>
    <w:uiPriority w:val="99"/>
    <w:pPr>
      <w:spacing w:line="300" w:lineRule="auto"/>
    </w:pPr>
    <w:rPr>
      <w:rFonts w:ascii="Calibri" w:hAnsi="Calibri" w:eastAsia="宋体" w:cs="Times New Roman"/>
      <w:kern w:val="2"/>
      <w:sz w:val="21"/>
      <w:szCs w:val="21"/>
      <w:lang w:val="en-US" w:eastAsia="zh-CN" w:bidi="ar-SA"/>
    </w:rPr>
  </w:style>
  <w:style w:type="paragraph" w:customStyle="1" w:styleId="1056">
    <w:name w:val="et48"/>
    <w:basedOn w:val="1"/>
    <w:qFormat/>
    <w:uiPriority w:val="99"/>
    <w:pPr>
      <w:widowControl/>
      <w:spacing w:before="100" w:beforeAutospacing="1" w:after="100" w:afterAutospacing="1"/>
      <w:jc w:val="left"/>
      <w:textAlignment w:val="center"/>
    </w:pPr>
    <w:rPr>
      <w:rFonts w:ascii="宋体" w:hAnsi="宋体" w:cs="宋体"/>
      <w:color w:val="000000"/>
      <w:kern w:val="0"/>
    </w:rPr>
  </w:style>
  <w:style w:type="paragraph" w:customStyle="1" w:styleId="1057">
    <w:name w:val="Char Char Char Char Char Char Char Char Char Char Char Char Char Char Char Char Char Char1 Char Char Char Char"/>
    <w:basedOn w:val="1"/>
    <w:qFormat/>
    <w:uiPriority w:val="99"/>
    <w:pPr>
      <w:tabs>
        <w:tab w:val="left" w:pos="778"/>
      </w:tabs>
      <w:ind w:left="778" w:hanging="425"/>
    </w:pPr>
  </w:style>
  <w:style w:type="paragraph" w:customStyle="1" w:styleId="1058">
    <w:name w:val="tdbig"/>
    <w:basedOn w:val="1"/>
    <w:qFormat/>
    <w:uiPriority w:val="99"/>
    <w:pPr>
      <w:widowControl/>
      <w:spacing w:before="100" w:beforeAutospacing="1" w:after="100" w:afterAutospacing="1" w:line="270" w:lineRule="atLeast"/>
      <w:jc w:val="left"/>
    </w:pPr>
    <w:rPr>
      <w:rFonts w:ascii="Georgia" w:hAnsi="Georgia"/>
      <w:color w:val="2B4F91"/>
      <w:spacing w:val="15"/>
      <w:kern w:val="0"/>
      <w:szCs w:val="21"/>
    </w:rPr>
  </w:style>
  <w:style w:type="paragraph" w:customStyle="1" w:styleId="1059">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rPr>
  </w:style>
  <w:style w:type="paragraph" w:customStyle="1" w:styleId="1060">
    <w:name w:val="段落"/>
    <w:basedOn w:val="1"/>
    <w:link w:val="1061"/>
    <w:qFormat/>
    <w:uiPriority w:val="99"/>
    <w:pPr>
      <w:spacing w:beforeLines="50" w:line="500" w:lineRule="exact"/>
      <w:ind w:firstLine="561"/>
    </w:pPr>
    <w:rPr>
      <w:rFonts w:ascii="仿宋_GB2312" w:hAnsi="宋体" w:eastAsia="仿宋_GB2312"/>
      <w:sz w:val="28"/>
    </w:rPr>
  </w:style>
  <w:style w:type="character" w:customStyle="1" w:styleId="1061">
    <w:name w:val="段落 Char"/>
    <w:link w:val="1060"/>
    <w:qFormat/>
    <w:uiPriority w:val="99"/>
    <w:rPr>
      <w:rFonts w:ascii="仿宋_GB2312" w:hAnsi="宋体" w:eastAsia="仿宋_GB2312" w:cs="Times New Roman"/>
      <w:sz w:val="28"/>
      <w:szCs w:val="24"/>
    </w:rPr>
  </w:style>
  <w:style w:type="paragraph" w:customStyle="1" w:styleId="1062">
    <w:name w:val="中等深浅列表 2 - 强调文字颜色 211"/>
    <w:qFormat/>
    <w:uiPriority w:val="99"/>
    <w:pPr>
      <w:spacing w:line="300" w:lineRule="auto"/>
    </w:pPr>
    <w:rPr>
      <w:rFonts w:ascii="Times New Roman" w:hAnsi="Times New Roman" w:eastAsia="仿宋" w:cs="Times New Roman"/>
      <w:kern w:val="2"/>
      <w:sz w:val="24"/>
      <w:szCs w:val="24"/>
      <w:lang w:val="en-US" w:eastAsia="zh-CN" w:bidi="ar-SA"/>
    </w:rPr>
  </w:style>
  <w:style w:type="paragraph" w:customStyle="1" w:styleId="1063">
    <w:name w:val="无间隔2"/>
    <w:qFormat/>
    <w:uiPriority w:val="1"/>
    <w:pPr>
      <w:widowControl w:val="0"/>
      <w:jc w:val="both"/>
    </w:pPr>
    <w:rPr>
      <w:rFonts w:ascii="Calibri" w:hAnsi="Calibri" w:eastAsia="宋体" w:cs="Times New Roman"/>
      <w:kern w:val="2"/>
      <w:sz w:val="21"/>
      <w:szCs w:val="21"/>
      <w:lang w:val="en-US" w:eastAsia="zh-CN" w:bidi="ar-SA"/>
    </w:rPr>
  </w:style>
  <w:style w:type="paragraph" w:customStyle="1" w:styleId="106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1065">
    <w:name w:val="嘉兴研究报告-章"/>
    <w:basedOn w:val="4"/>
    <w:qFormat/>
    <w:uiPriority w:val="99"/>
    <w:pPr>
      <w:spacing w:beforeLines="100" w:after="0" w:afterAutospacing="0" w:line="360" w:lineRule="auto"/>
      <w:jc w:val="both"/>
    </w:pPr>
    <w:rPr>
      <w:rFonts w:ascii="Cambria" w:hAnsi="Cambria"/>
      <w:color w:val="auto"/>
      <w:kern w:val="44"/>
      <w:sz w:val="48"/>
      <w:szCs w:val="30"/>
    </w:rPr>
  </w:style>
  <w:style w:type="paragraph" w:customStyle="1" w:styleId="1066">
    <w:name w:val="xl105"/>
    <w:basedOn w:val="1"/>
    <w:qFormat/>
    <w:uiPriority w:val="0"/>
    <w:pPr>
      <w:widowControl/>
      <w:spacing w:before="100" w:beforeAutospacing="1" w:after="100" w:afterAutospacing="1" w:line="240" w:lineRule="auto"/>
      <w:ind w:firstLine="0" w:firstLineChars="0"/>
      <w:jc w:val="left"/>
    </w:pPr>
    <w:rPr>
      <w:rFonts w:ascii="仿宋_GB2312" w:hAnsi="宋体" w:eastAsia="仿宋_GB2312" w:cs="宋体"/>
      <w:color w:val="000000"/>
      <w:kern w:val="0"/>
      <w:sz w:val="22"/>
      <w:szCs w:val="22"/>
    </w:rPr>
  </w:style>
  <w:style w:type="paragraph" w:customStyle="1" w:styleId="1067">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int="eastAsia" w:ascii="仿宋_GB2312" w:hAnsi="Arial Unicode MS" w:eastAsia="仿宋_GB2312" w:cs="Arial Unicode MS"/>
      <w:kern w:val="0"/>
      <w:sz w:val="20"/>
      <w:szCs w:val="20"/>
    </w:rPr>
  </w:style>
  <w:style w:type="paragraph" w:customStyle="1" w:styleId="1068">
    <w:name w:val="中等深浅列表 2 - 强调文字颜色 212"/>
    <w:qFormat/>
    <w:uiPriority w:val="99"/>
    <w:pPr>
      <w:spacing w:line="300" w:lineRule="auto"/>
    </w:pPr>
    <w:rPr>
      <w:rFonts w:ascii="Times New Roman" w:hAnsi="Times New Roman" w:eastAsia="仿宋" w:cs="Times New Roman"/>
      <w:kern w:val="2"/>
      <w:sz w:val="24"/>
      <w:szCs w:val="24"/>
      <w:lang w:val="en-US" w:eastAsia="zh-CN" w:bidi="ar-SA"/>
    </w:rPr>
  </w:style>
  <w:style w:type="paragraph" w:customStyle="1" w:styleId="106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070">
    <w:name w:val="表格文本"/>
    <w:basedOn w:val="1"/>
    <w:qFormat/>
    <w:uiPriority w:val="99"/>
    <w:pPr>
      <w:autoSpaceDE w:val="0"/>
      <w:autoSpaceDN w:val="0"/>
      <w:adjustRightInd w:val="0"/>
      <w:spacing w:line="300" w:lineRule="exact"/>
      <w:jc w:val="center"/>
    </w:pPr>
    <w:rPr>
      <w:rFonts w:ascii="宋体" w:hAnsi="宋体"/>
      <w:szCs w:val="21"/>
      <w:lang w:val="zh-CN"/>
    </w:rPr>
  </w:style>
  <w:style w:type="paragraph" w:customStyle="1" w:styleId="1071">
    <w:name w:val="HTML 预设格式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customStyle="1" w:styleId="1072">
    <w:name w:val="p14"/>
    <w:basedOn w:val="1"/>
    <w:qFormat/>
    <w:uiPriority w:val="99"/>
    <w:pPr>
      <w:widowControl/>
      <w:spacing w:before="100" w:beforeAutospacing="1" w:after="100" w:afterAutospacing="1" w:line="336" w:lineRule="auto"/>
      <w:jc w:val="left"/>
    </w:pPr>
    <w:rPr>
      <w:rFonts w:ascii="宋体" w:hAnsi="宋体"/>
      <w:kern w:val="0"/>
      <w:szCs w:val="21"/>
    </w:rPr>
  </w:style>
  <w:style w:type="paragraph" w:customStyle="1" w:styleId="1073">
    <w:name w:val="普通(网站)4"/>
    <w:basedOn w:val="1"/>
    <w:qFormat/>
    <w:uiPriority w:val="99"/>
    <w:pPr>
      <w:widowControl/>
      <w:spacing w:before="100" w:beforeAutospacing="1" w:after="100" w:afterAutospacing="1" w:line="300" w:lineRule="auto"/>
      <w:jc w:val="left"/>
    </w:pPr>
    <w:rPr>
      <w:rFonts w:ascii="宋体" w:hAnsi="宋体" w:cs="宋体"/>
      <w:kern w:val="0"/>
    </w:rPr>
  </w:style>
  <w:style w:type="paragraph" w:customStyle="1" w:styleId="1074">
    <w:name w:val="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075">
    <w:name w:val="第三级"/>
    <w:basedOn w:val="1"/>
    <w:next w:val="1"/>
    <w:qFormat/>
    <w:uiPriority w:val="99"/>
    <w:pPr>
      <w:widowControl/>
      <w:spacing w:beforeLines="500" w:after="100"/>
      <w:jc w:val="left"/>
    </w:pPr>
    <w:rPr>
      <w:szCs w:val="20"/>
    </w:rPr>
  </w:style>
  <w:style w:type="paragraph" w:customStyle="1" w:styleId="1076">
    <w:name w:val="album-div1"/>
    <w:basedOn w:val="1"/>
    <w:qFormat/>
    <w:uiPriority w:val="99"/>
    <w:pPr>
      <w:widowControl/>
      <w:shd w:val="clear" w:color="auto" w:fill="FFFFFF"/>
      <w:spacing w:before="100" w:beforeAutospacing="1" w:after="100" w:afterAutospacing="1"/>
      <w:jc w:val="left"/>
    </w:pPr>
    <w:rPr>
      <w:rFonts w:ascii="宋体" w:hAnsi="宋体" w:cs="宋体"/>
      <w:kern w:val="0"/>
    </w:rPr>
  </w:style>
  <w:style w:type="paragraph" w:customStyle="1" w:styleId="1077">
    <w:name w:val="样式 样式 样式 样式 样式 样式 样式 样式 样式 正文文本缩进 + 首行缩进:  2 字符 段前: 0.5 行 段后: 0...."/>
    <w:basedOn w:val="1"/>
    <w:qFormat/>
    <w:uiPriority w:val="99"/>
    <w:pPr>
      <w:spacing w:beforeLines="100" w:line="400" w:lineRule="exact"/>
    </w:pPr>
    <w:rPr>
      <w:rFonts w:cs="宋体"/>
      <w:szCs w:val="20"/>
    </w:rPr>
  </w:style>
  <w:style w:type="paragraph" w:customStyle="1" w:styleId="1078">
    <w:name w:val="Char Char5 Char Char"/>
    <w:basedOn w:val="1"/>
    <w:qFormat/>
    <w:uiPriority w:val="99"/>
    <w:rPr>
      <w:rFonts w:ascii="宋体" w:hAnsi="宋体" w:cs="宋体"/>
    </w:rPr>
  </w:style>
  <w:style w:type="paragraph" w:customStyle="1" w:styleId="1079">
    <w:name w:val="图表标题（苏家屯）"/>
    <w:basedOn w:val="1"/>
    <w:qFormat/>
    <w:uiPriority w:val="99"/>
    <w:pPr>
      <w:snapToGrid w:val="0"/>
      <w:spacing w:line="400" w:lineRule="exact"/>
      <w:ind w:firstLine="422"/>
      <w:jc w:val="left"/>
    </w:pPr>
    <w:rPr>
      <w:rFonts w:ascii="宋体" w:hAnsi="黑体"/>
      <w:b/>
      <w:szCs w:val="21"/>
    </w:rPr>
  </w:style>
  <w:style w:type="paragraph" w:customStyle="1" w:styleId="1080">
    <w:name w:val="et39"/>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081">
    <w:name w:val="样式 标题 2标题 2 Char Char Char Char节节 Char标题 21 Char标题 21 Char ..."/>
    <w:basedOn w:val="569"/>
    <w:qFormat/>
    <w:uiPriority w:val="99"/>
    <w:pPr>
      <w:spacing w:line="360" w:lineRule="auto"/>
    </w:pPr>
    <w:rPr>
      <w:rFonts w:eastAsia="宋体" w:cs="宋体"/>
      <w:sz w:val="28"/>
    </w:rPr>
  </w:style>
  <w:style w:type="paragraph" w:customStyle="1" w:styleId="1082">
    <w:name w:val="样式 标题 2 + 仿宋_GB2312 首行缩进:  2 字符 段前: 0.5 行 段后: 0.5 行"/>
    <w:basedOn w:val="5"/>
    <w:qFormat/>
    <w:uiPriority w:val="99"/>
    <w:pPr>
      <w:tabs>
        <w:tab w:val="right" w:leader="dot" w:pos="8302"/>
      </w:tabs>
      <w:adjustRightInd w:val="0"/>
      <w:spacing w:beforeLines="50" w:afterLines="50" w:line="440" w:lineRule="exact"/>
    </w:pPr>
    <w:rPr>
      <w:rFonts w:ascii="仿宋_GB2312" w:eastAsia="仿宋_GB2312" w:cs="宋体"/>
      <w:sz w:val="28"/>
      <w:szCs w:val="20"/>
    </w:rPr>
  </w:style>
  <w:style w:type="paragraph" w:customStyle="1" w:styleId="1083">
    <w:name w:val="表标题"/>
    <w:basedOn w:val="1"/>
    <w:link w:val="1084"/>
    <w:qFormat/>
    <w:uiPriority w:val="99"/>
    <w:pPr>
      <w:keepNext/>
      <w:spacing w:line="240" w:lineRule="auto"/>
      <w:ind w:firstLine="425" w:firstLineChars="0"/>
      <w:jc w:val="center"/>
    </w:pPr>
    <w:rPr>
      <w:rFonts w:ascii="Calibri" w:hAnsi="Calibri"/>
      <w:i/>
      <w:sz w:val="21"/>
    </w:rPr>
  </w:style>
  <w:style w:type="character" w:customStyle="1" w:styleId="1084">
    <w:name w:val="表标题 Char"/>
    <w:link w:val="1083"/>
    <w:qFormat/>
    <w:uiPriority w:val="99"/>
    <w:rPr>
      <w:rFonts w:ascii="Calibri" w:hAnsi="Calibri" w:eastAsia="宋体" w:cs="Times New Roman"/>
      <w:i/>
      <w:szCs w:val="24"/>
    </w:rPr>
  </w:style>
  <w:style w:type="paragraph" w:customStyle="1" w:styleId="1085">
    <w:name w:val="条文"/>
    <w:basedOn w:val="8"/>
    <w:next w:val="1"/>
    <w:qFormat/>
    <w:uiPriority w:val="99"/>
    <w:pPr>
      <w:keepNext w:val="0"/>
      <w:tabs>
        <w:tab w:val="left" w:pos="2100"/>
        <w:tab w:val="left" w:pos="2580"/>
      </w:tabs>
      <w:spacing w:before="120" w:after="0"/>
      <w:ind w:left="2100" w:leftChars="0" w:right="0" w:rightChars="0" w:hanging="420"/>
    </w:pPr>
    <w:rPr>
      <w:rFonts w:ascii="Times New Roman" w:hAnsi="Times New Roman"/>
      <w:b w:val="0"/>
      <w:bCs w:val="0"/>
      <w:kern w:val="2"/>
      <w:sz w:val="24"/>
      <w:szCs w:val="20"/>
    </w:rPr>
  </w:style>
  <w:style w:type="paragraph" w:customStyle="1" w:styleId="108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szCs w:val="18"/>
    </w:rPr>
  </w:style>
  <w:style w:type="paragraph" w:customStyle="1" w:styleId="108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18"/>
      <w:szCs w:val="18"/>
    </w:rPr>
  </w:style>
  <w:style w:type="paragraph" w:customStyle="1" w:styleId="1088">
    <w:name w:val="xl27"/>
    <w:basedOn w:val="1"/>
    <w:qFormat/>
    <w:uiPriority w:val="99"/>
    <w:pPr>
      <w:widowControl/>
      <w:spacing w:before="100" w:beforeAutospacing="1" w:after="100" w:afterAutospacing="1"/>
      <w:jc w:val="center"/>
    </w:pPr>
    <w:rPr>
      <w:rFonts w:ascii="黑体" w:hAnsi="Arial Unicode MS" w:eastAsia="黑体"/>
      <w:kern w:val="0"/>
    </w:rPr>
  </w:style>
  <w:style w:type="paragraph" w:customStyle="1" w:styleId="1089">
    <w:name w:val="xl84"/>
    <w:basedOn w:val="1"/>
    <w:qFormat/>
    <w:uiPriority w:val="99"/>
    <w:pPr>
      <w:widowControl/>
      <w:pBdr>
        <w:bottom w:val="single" w:color="auto" w:sz="8" w:space="0"/>
        <w:right w:val="single" w:color="auto" w:sz="8" w:space="0"/>
      </w:pBdr>
      <w:spacing w:before="100" w:beforeAutospacing="1" w:after="100" w:afterAutospacing="1"/>
      <w:jc w:val="left"/>
    </w:pPr>
    <w:rPr>
      <w:rFonts w:ascii="宋体" w:hAnsi="宋体" w:cs="宋体"/>
      <w:kern w:val="0"/>
      <w:sz w:val="12"/>
      <w:szCs w:val="12"/>
    </w:rPr>
  </w:style>
  <w:style w:type="paragraph" w:customStyle="1" w:styleId="1090">
    <w:name w:val="批注主题2"/>
    <w:basedOn w:val="23"/>
    <w:next w:val="23"/>
    <w:qFormat/>
    <w:uiPriority w:val="99"/>
    <w:pPr>
      <w:spacing w:line="240" w:lineRule="auto"/>
    </w:pPr>
    <w:rPr>
      <w:b/>
      <w:bCs/>
      <w:kern w:val="0"/>
      <w:sz w:val="20"/>
    </w:rPr>
  </w:style>
  <w:style w:type="paragraph" w:customStyle="1" w:styleId="1091">
    <w:name w:val="正文文本缩进 31"/>
    <w:basedOn w:val="1"/>
    <w:qFormat/>
    <w:uiPriority w:val="99"/>
    <w:pPr>
      <w:spacing w:after="120"/>
      <w:ind w:left="200" w:leftChars="200"/>
    </w:pPr>
    <w:rPr>
      <w:sz w:val="16"/>
      <w:szCs w:val="16"/>
    </w:rPr>
  </w:style>
  <w:style w:type="paragraph" w:customStyle="1" w:styleId="1092">
    <w:name w:val="xl82"/>
    <w:basedOn w:val="1"/>
    <w:qFormat/>
    <w:uiPriority w:val="99"/>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B050"/>
      <w:kern w:val="0"/>
      <w:sz w:val="12"/>
      <w:szCs w:val="12"/>
    </w:rPr>
  </w:style>
  <w:style w:type="paragraph" w:customStyle="1" w:styleId="1093">
    <w:name w:val="_Style 181"/>
    <w:qFormat/>
    <w:uiPriority w:val="62"/>
    <w:rPr>
      <w:rFonts w:ascii="Calibri" w:hAnsi="Calibri" w:eastAsia="宋体" w:cs="Times New Roman"/>
      <w:lang w:val="en-US" w:eastAsia="zh-CN" w:bidi="ar-SA"/>
    </w:rPr>
  </w:style>
  <w:style w:type="paragraph" w:customStyle="1" w:styleId="1094">
    <w:name w:val="bg"/>
    <w:basedOn w:val="1"/>
    <w:qFormat/>
    <w:uiPriority w:val="99"/>
    <w:pPr>
      <w:widowControl/>
    </w:pPr>
    <w:rPr>
      <w:kern w:val="0"/>
      <w:szCs w:val="20"/>
    </w:rPr>
  </w:style>
  <w:style w:type="paragraph" w:customStyle="1" w:styleId="1095">
    <w:name w:val="样式 目录 2 + 段前: 0.5 行7"/>
    <w:basedOn w:val="1"/>
    <w:qFormat/>
    <w:uiPriority w:val="99"/>
    <w:pPr>
      <w:tabs>
        <w:tab w:val="left" w:pos="1050"/>
        <w:tab w:val="right" w:leader="hyphen" w:pos="9020"/>
      </w:tabs>
      <w:snapToGrid w:val="0"/>
      <w:spacing w:line="400" w:lineRule="exact"/>
      <w:jc w:val="left"/>
      <w:textAlignment w:val="baseline"/>
    </w:pPr>
    <w:rPr>
      <w:rFonts w:ascii="Arial" w:hAnsi="Arial" w:cs="宋体"/>
      <w:smallCaps/>
      <w:sz w:val="28"/>
      <w:szCs w:val="22"/>
    </w:rPr>
  </w:style>
  <w:style w:type="paragraph" w:customStyle="1" w:styleId="1096">
    <w:name w:val="xl102"/>
    <w:basedOn w:val="1"/>
    <w:qFormat/>
    <w:uiPriority w:val="0"/>
    <w:pPr>
      <w:widowControl/>
      <w:spacing w:before="100" w:beforeAutospacing="1" w:after="100" w:afterAutospacing="1" w:line="240" w:lineRule="auto"/>
      <w:ind w:firstLine="0" w:firstLineChars="0"/>
      <w:jc w:val="center"/>
    </w:pPr>
    <w:rPr>
      <w:rFonts w:ascii="宋体" w:hAnsi="宋体" w:cs="宋体"/>
      <w:b/>
      <w:bCs/>
      <w:color w:val="0000FF"/>
      <w:kern w:val="0"/>
      <w:sz w:val="22"/>
      <w:szCs w:val="22"/>
    </w:rPr>
  </w:style>
  <w:style w:type="paragraph" w:customStyle="1" w:styleId="1097">
    <w:name w:val="样式 样式 (西文) 仿宋_GB2312 (中文) 仿宋_GB2312 黑色 段前: 0.5 行 行距: 1.5 倍行距 首....."/>
    <w:basedOn w:val="1"/>
    <w:qFormat/>
    <w:uiPriority w:val="99"/>
    <w:pPr>
      <w:adjustRightInd w:val="0"/>
      <w:snapToGrid w:val="0"/>
      <w:spacing w:line="300" w:lineRule="auto"/>
    </w:pPr>
    <w:rPr>
      <w:rFonts w:eastAsia="仿宋_GB2312" w:cs="宋体"/>
      <w:color w:val="000000"/>
      <w:sz w:val="28"/>
      <w:szCs w:val="20"/>
    </w:rPr>
  </w:style>
  <w:style w:type="paragraph" w:customStyle="1" w:styleId="1098">
    <w:name w:val="样式 标题 3 + 四号 段前: 0 磅 段后: 0 磅 行距: 固定值 23 磅"/>
    <w:basedOn w:val="6"/>
    <w:qFormat/>
    <w:uiPriority w:val="99"/>
    <w:pPr>
      <w:spacing w:before="0" w:after="0" w:line="460" w:lineRule="exact"/>
    </w:pPr>
    <w:rPr>
      <w:kern w:val="0"/>
      <w:sz w:val="24"/>
      <w:szCs w:val="24"/>
    </w:rPr>
  </w:style>
  <w:style w:type="paragraph" w:customStyle="1" w:styleId="1099">
    <w:name w:val="论文表名"/>
    <w:basedOn w:val="1"/>
    <w:qFormat/>
    <w:uiPriority w:val="99"/>
    <w:pPr>
      <w:spacing w:beforeLines="50" w:afterLines="20"/>
      <w:jc w:val="center"/>
    </w:pPr>
    <w:rPr>
      <w:rFonts w:ascii="Arial" w:hAnsi="Arial" w:eastAsia="黑体"/>
    </w:rPr>
  </w:style>
  <w:style w:type="paragraph" w:customStyle="1" w:styleId="1100">
    <w:name w:val="无间隔11"/>
    <w:qFormat/>
    <w:uiPriority w:val="1"/>
    <w:pPr>
      <w:widowControl w:val="0"/>
    </w:pPr>
    <w:rPr>
      <w:rFonts w:ascii="Calibri" w:hAnsi="Calibri" w:eastAsia="宋体" w:cs="黑体"/>
      <w:kern w:val="2"/>
      <w:sz w:val="21"/>
      <w:szCs w:val="22"/>
      <w:lang w:val="en-US" w:eastAsia="zh-CN" w:bidi="ar-SA"/>
    </w:rPr>
  </w:style>
  <w:style w:type="paragraph" w:customStyle="1" w:styleId="1101">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02">
    <w:name w:val="样式 (西文) 仿宋_GB2312 (中文) 仿宋_GB2312"/>
    <w:basedOn w:val="1"/>
    <w:qFormat/>
    <w:uiPriority w:val="99"/>
    <w:pPr>
      <w:adjustRightInd w:val="0"/>
      <w:snapToGrid w:val="0"/>
      <w:spacing w:line="300" w:lineRule="auto"/>
      <w:contextualSpacing/>
    </w:pPr>
    <w:rPr>
      <w:rFonts w:ascii="仿宋_GB2312" w:eastAsia="仿宋_GB2312"/>
      <w:sz w:val="28"/>
      <w:szCs w:val="30"/>
    </w:rPr>
  </w:style>
  <w:style w:type="paragraph" w:customStyle="1" w:styleId="1103">
    <w:name w:val="文档结构图2"/>
    <w:basedOn w:val="1"/>
    <w:qFormat/>
    <w:uiPriority w:val="99"/>
    <w:rPr>
      <w:rFonts w:ascii="宋体" w:hAnsi="Calibri"/>
      <w:sz w:val="18"/>
      <w:szCs w:val="18"/>
    </w:rPr>
  </w:style>
  <w:style w:type="paragraph" w:customStyle="1" w:styleId="1104">
    <w:name w:val="xl100"/>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cs="宋体"/>
      <w:kern w:val="0"/>
      <w:sz w:val="12"/>
      <w:szCs w:val="12"/>
    </w:rPr>
  </w:style>
  <w:style w:type="paragraph" w:customStyle="1" w:styleId="1105">
    <w:name w:val="深圳"/>
    <w:basedOn w:val="1"/>
    <w:qFormat/>
    <w:uiPriority w:val="99"/>
    <w:pPr>
      <w:autoSpaceDE w:val="0"/>
      <w:autoSpaceDN w:val="0"/>
      <w:adjustRightInd w:val="0"/>
      <w:spacing w:beforeLines="50" w:afterLines="50"/>
      <w:ind w:firstLine="425"/>
    </w:pPr>
    <w:rPr>
      <w:rFonts w:cs="..ì."/>
      <w:color w:val="000000"/>
      <w:kern w:val="0"/>
      <w:szCs w:val="21"/>
    </w:rPr>
  </w:style>
  <w:style w:type="paragraph" w:customStyle="1" w:styleId="1106">
    <w:name w:val="数据来源"/>
    <w:basedOn w:val="1"/>
    <w:qFormat/>
    <w:uiPriority w:val="99"/>
    <w:pPr>
      <w:snapToGrid w:val="0"/>
      <w:spacing w:beforeLines="50" w:afterLines="50" w:line="280" w:lineRule="exact"/>
    </w:pPr>
    <w:rPr>
      <w:rFonts w:hAnsi="宋体" w:eastAsia="楷体_GB2312"/>
      <w:szCs w:val="20"/>
    </w:rPr>
  </w:style>
  <w:style w:type="paragraph" w:customStyle="1" w:styleId="1107">
    <w:name w:val="TOC 标题1"/>
    <w:basedOn w:val="4"/>
    <w:next w:val="1"/>
    <w:qFormat/>
    <w:uiPriority w:val="39"/>
    <w:pPr>
      <w:keepNext w:val="0"/>
      <w:keepLines w:val="0"/>
      <w:adjustRightInd/>
      <w:spacing w:before="480" w:line="360" w:lineRule="auto"/>
      <w:contextualSpacing/>
      <w:jc w:val="both"/>
      <w:outlineLvl w:val="9"/>
    </w:pPr>
    <w:rPr>
      <w:rFonts w:ascii="Cambria" w:hAnsi="Cambria" w:eastAsia="宋体"/>
      <w:bCs/>
      <w:kern w:val="2"/>
      <w:sz w:val="28"/>
      <w:szCs w:val="28"/>
    </w:rPr>
  </w:style>
  <w:style w:type="paragraph" w:customStyle="1" w:styleId="1108">
    <w:name w:val="head"/>
    <w:basedOn w:val="1"/>
    <w:qFormat/>
    <w:uiPriority w:val="99"/>
    <w:pPr>
      <w:widowControl/>
      <w:spacing w:before="100" w:beforeAutospacing="1" w:after="100" w:afterAutospacing="1" w:line="400" w:lineRule="atLeast"/>
      <w:jc w:val="left"/>
    </w:pPr>
    <w:rPr>
      <w:rFonts w:ascii="宋体" w:hAnsi="宋体"/>
      <w:color w:val="000000"/>
      <w:kern w:val="0"/>
      <w:sz w:val="28"/>
      <w:szCs w:val="28"/>
    </w:rPr>
  </w:style>
  <w:style w:type="paragraph" w:customStyle="1" w:styleId="1109">
    <w:name w:val="中等深浅网格 3 - 强调文字颜色 212"/>
    <w:basedOn w:val="1"/>
    <w:next w:val="1"/>
    <w:qFormat/>
    <w:uiPriority w:val="30"/>
    <w:pPr>
      <w:widowControl/>
      <w:pBdr>
        <w:bottom w:val="single" w:color="auto" w:sz="4" w:space="1"/>
      </w:pBdr>
      <w:spacing w:before="200" w:after="280" w:line="300" w:lineRule="auto"/>
      <w:ind w:left="1008" w:right="1152"/>
      <w:jc w:val="left"/>
    </w:pPr>
    <w:rPr>
      <w:b/>
      <w:bCs/>
      <w:i/>
      <w:iCs/>
      <w:kern w:val="0"/>
      <w:szCs w:val="20"/>
    </w:rPr>
  </w:style>
  <w:style w:type="paragraph" w:customStyle="1" w:styleId="1110">
    <w:name w:val="姜文清定义的正文"/>
    <w:basedOn w:val="1"/>
    <w:qFormat/>
    <w:uiPriority w:val="99"/>
    <w:pPr>
      <w:spacing w:line="500" w:lineRule="atLeast"/>
      <w:ind w:firstLine="567"/>
    </w:pPr>
    <w:rPr>
      <w:sz w:val="28"/>
      <w:szCs w:val="20"/>
    </w:rPr>
  </w:style>
  <w:style w:type="paragraph" w:customStyle="1" w:styleId="111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11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113">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114">
    <w:name w:val="列出段落11"/>
    <w:basedOn w:val="1"/>
    <w:qFormat/>
    <w:uiPriority w:val="34"/>
    <w:pPr>
      <w:ind w:firstLine="420"/>
    </w:pPr>
    <w:rPr>
      <w:rFonts w:ascii="Calibri" w:hAnsi="Calibri" w:eastAsia="仿宋"/>
      <w:szCs w:val="22"/>
    </w:rPr>
  </w:style>
  <w:style w:type="paragraph" w:customStyle="1" w:styleId="1115">
    <w:name w:val="9"/>
    <w:basedOn w:val="1"/>
    <w:next w:val="38"/>
    <w:qFormat/>
    <w:uiPriority w:val="99"/>
    <w:pPr>
      <w:spacing w:before="120" w:after="120" w:line="400" w:lineRule="atLeast"/>
      <w:ind w:firstLine="480"/>
    </w:pPr>
    <w:rPr>
      <w:rFonts w:ascii="宋体" w:eastAsia="楷体_GB2312"/>
      <w:color w:val="000000"/>
    </w:rPr>
  </w:style>
  <w:style w:type="paragraph" w:customStyle="1" w:styleId="1116">
    <w:name w:val="样式 标题 3 + 四号 段前: 5 磅 段后: 5 磅 行距: 1.5 倍行距"/>
    <w:basedOn w:val="6"/>
    <w:qFormat/>
    <w:uiPriority w:val="99"/>
    <w:pPr>
      <w:spacing w:before="100" w:after="100" w:line="360" w:lineRule="auto"/>
    </w:pPr>
    <w:rPr>
      <w:rFonts w:ascii="Calibri" w:hAnsi="Calibri" w:eastAsia="楷体_GB2312" w:cs="宋体"/>
      <w:kern w:val="0"/>
      <w:sz w:val="28"/>
      <w:szCs w:val="20"/>
    </w:rPr>
  </w:style>
  <w:style w:type="paragraph" w:customStyle="1" w:styleId="1117">
    <w:name w:val="xl85"/>
    <w:basedOn w:val="1"/>
    <w:qFormat/>
    <w:uiPriority w:val="99"/>
    <w:pPr>
      <w:widowControl/>
      <w:pBdr>
        <w:bottom w:val="single" w:color="auto" w:sz="8" w:space="0"/>
        <w:right w:val="single" w:color="auto" w:sz="8" w:space="0"/>
      </w:pBdr>
      <w:spacing w:before="100" w:beforeAutospacing="1" w:after="100" w:afterAutospacing="1"/>
      <w:jc w:val="center"/>
    </w:pPr>
    <w:rPr>
      <w:color w:val="00B050"/>
      <w:kern w:val="0"/>
      <w:sz w:val="12"/>
      <w:szCs w:val="12"/>
    </w:rPr>
  </w:style>
  <w:style w:type="paragraph" w:customStyle="1" w:styleId="1118">
    <w:name w:val="xl13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119">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120">
    <w:name w:val="Char Char Char Char Char Char Char Char Char1 Char Char Char Char Char Char Char Char Char Char Char Char Char"/>
    <w:basedOn w:val="4"/>
    <w:qFormat/>
    <w:uiPriority w:val="99"/>
    <w:pPr>
      <w:adjustRightInd/>
      <w:snapToGrid w:val="0"/>
      <w:spacing w:before="240" w:after="240" w:afterAutospacing="0" w:line="348" w:lineRule="auto"/>
      <w:jc w:val="both"/>
    </w:pPr>
    <w:rPr>
      <w:rFonts w:ascii="Tahoma" w:hAnsi="Tahoma" w:eastAsia="宋体"/>
      <w:color w:val="auto"/>
      <w:kern w:val="2"/>
      <w:sz w:val="24"/>
      <w:szCs w:val="20"/>
    </w:rPr>
  </w:style>
  <w:style w:type="paragraph" w:customStyle="1" w:styleId="1121">
    <w:name w:val="xl14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仿宋_GB2312" w:hAnsi="宋体" w:eastAsia="仿宋_GB2312" w:cs="宋体"/>
      <w:kern w:val="0"/>
      <w:sz w:val="20"/>
      <w:szCs w:val="20"/>
    </w:rPr>
  </w:style>
  <w:style w:type="paragraph" w:customStyle="1" w:styleId="1122">
    <w:name w:val="题注2"/>
    <w:basedOn w:val="1"/>
    <w:next w:val="1"/>
    <w:qFormat/>
    <w:uiPriority w:val="99"/>
    <w:rPr>
      <w:rFonts w:ascii="Calibri Light" w:hAnsi="Calibri Light" w:eastAsia="黑体"/>
      <w:sz w:val="20"/>
      <w:szCs w:val="20"/>
    </w:rPr>
  </w:style>
  <w:style w:type="paragraph" w:customStyle="1" w:styleId="1123">
    <w:name w:val="日期4"/>
    <w:basedOn w:val="1"/>
    <w:next w:val="1"/>
    <w:qFormat/>
    <w:uiPriority w:val="99"/>
    <w:pPr>
      <w:adjustRightInd w:val="0"/>
      <w:textAlignment w:val="baseline"/>
    </w:pPr>
    <w:rPr>
      <w:szCs w:val="20"/>
    </w:rPr>
  </w:style>
  <w:style w:type="paragraph" w:customStyle="1" w:styleId="1124">
    <w:name w:val="Char1"/>
    <w:basedOn w:val="1"/>
    <w:qFormat/>
    <w:uiPriority w:val="99"/>
  </w:style>
  <w:style w:type="paragraph" w:customStyle="1" w:styleId="1125">
    <w:name w:val="xl97"/>
    <w:basedOn w:val="1"/>
    <w:qFormat/>
    <w:uiPriority w:val="0"/>
    <w:pPr>
      <w:widowControl/>
      <w:pBdr>
        <w:bottom w:val="single" w:color="auto" w:sz="8" w:space="0"/>
        <w:right w:val="single" w:color="auto" w:sz="8" w:space="0"/>
      </w:pBdr>
      <w:spacing w:before="100" w:beforeAutospacing="1" w:after="100" w:afterAutospacing="1"/>
    </w:pPr>
    <w:rPr>
      <w:kern w:val="0"/>
      <w:sz w:val="12"/>
      <w:szCs w:val="12"/>
    </w:rPr>
  </w:style>
  <w:style w:type="paragraph" w:customStyle="1" w:styleId="1126">
    <w:name w:val="pic-info"/>
    <w:basedOn w:val="1"/>
    <w:qFormat/>
    <w:uiPriority w:val="99"/>
    <w:pPr>
      <w:widowControl/>
      <w:spacing w:before="100" w:beforeAutospacing="1" w:after="100" w:afterAutospacing="1"/>
      <w:jc w:val="left"/>
    </w:pPr>
    <w:rPr>
      <w:rFonts w:ascii="宋体" w:hAnsi="宋体" w:cs="宋体"/>
      <w:kern w:val="0"/>
    </w:rPr>
  </w:style>
  <w:style w:type="paragraph" w:customStyle="1" w:styleId="1127">
    <w:name w:val="样式 标题 2 + (西文) Arial (中文) 黑体 四号 段前: 0.5 行 段后: 6 磅 行距: 多倍行距 ..."/>
    <w:basedOn w:val="5"/>
    <w:next w:val="825"/>
    <w:qFormat/>
    <w:uiPriority w:val="99"/>
    <w:pPr>
      <w:autoSpaceDE/>
      <w:autoSpaceDN/>
      <w:adjustRightInd w:val="0"/>
      <w:spacing w:beforeLines="50" w:after="120" w:line="412" w:lineRule="auto"/>
      <w:ind w:firstLine="420"/>
      <w:jc w:val="both"/>
    </w:pPr>
    <w:rPr>
      <w:rFonts w:cs="宋体"/>
      <w:kern w:val="2"/>
      <w:szCs w:val="20"/>
    </w:rPr>
  </w:style>
  <w:style w:type="paragraph" w:customStyle="1" w:styleId="1128">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rPr>
  </w:style>
  <w:style w:type="paragraph" w:customStyle="1" w:styleId="1129">
    <w:name w:val="表题"/>
    <w:next w:val="1"/>
    <w:qFormat/>
    <w:uiPriority w:val="99"/>
    <w:pPr>
      <w:spacing w:beforeLines="20" w:line="420" w:lineRule="exact"/>
      <w:jc w:val="center"/>
    </w:pPr>
    <w:rPr>
      <w:rFonts w:ascii="Times New Roman" w:hAnsi="Times New Roman" w:eastAsia="黑体" w:cs="Times New Roman"/>
      <w:sz w:val="24"/>
      <w:lang w:val="en-US" w:eastAsia="zh-CN" w:bidi="ar-SA"/>
    </w:rPr>
  </w:style>
  <w:style w:type="paragraph" w:customStyle="1" w:styleId="1130">
    <w:name w:val="我的表头"/>
    <w:basedOn w:val="1"/>
    <w:qFormat/>
    <w:uiPriority w:val="99"/>
    <w:pPr>
      <w:jc w:val="center"/>
    </w:pPr>
    <w:rPr>
      <w:rFonts w:eastAsia="黑体"/>
      <w:szCs w:val="21"/>
    </w:rPr>
  </w:style>
  <w:style w:type="paragraph" w:customStyle="1" w:styleId="1131">
    <w:name w:val="Char Char Char Char3"/>
    <w:basedOn w:val="1"/>
    <w:qFormat/>
    <w:uiPriority w:val="99"/>
  </w:style>
  <w:style w:type="paragraph" w:customStyle="1" w:styleId="1132">
    <w:name w:val="Char Char1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133">
    <w:name w:val="xl96"/>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12"/>
      <w:szCs w:val="12"/>
    </w:rPr>
  </w:style>
  <w:style w:type="paragraph" w:customStyle="1" w:styleId="1134">
    <w:name w:val="xl93"/>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color w:val="00B050"/>
      <w:kern w:val="0"/>
      <w:sz w:val="12"/>
      <w:szCs w:val="12"/>
    </w:rPr>
  </w:style>
  <w:style w:type="paragraph" w:customStyle="1" w:styleId="1135">
    <w:name w:val="xl83"/>
    <w:basedOn w:val="1"/>
    <w:qFormat/>
    <w:uiPriority w:val="99"/>
    <w:pPr>
      <w:widowControl/>
      <w:pBdr>
        <w:bottom w:val="single" w:color="auto" w:sz="8" w:space="0"/>
        <w:right w:val="single" w:color="auto" w:sz="8" w:space="0"/>
      </w:pBdr>
      <w:spacing w:before="100" w:beforeAutospacing="1" w:after="100" w:afterAutospacing="1"/>
      <w:jc w:val="center"/>
    </w:pPr>
    <w:rPr>
      <w:rFonts w:ascii="宋体" w:hAnsi="宋体" w:cs="宋体"/>
      <w:color w:val="00B050"/>
      <w:kern w:val="0"/>
      <w:sz w:val="12"/>
      <w:szCs w:val="12"/>
    </w:rPr>
  </w:style>
  <w:style w:type="paragraph" w:customStyle="1" w:styleId="1136">
    <w:name w:val="font8"/>
    <w:basedOn w:val="1"/>
    <w:qFormat/>
    <w:uiPriority w:val="99"/>
    <w:pPr>
      <w:widowControl/>
      <w:spacing w:before="100" w:beforeAutospacing="1" w:after="100" w:afterAutospacing="1"/>
      <w:jc w:val="left"/>
    </w:pPr>
    <w:rPr>
      <w:rFonts w:ascii="宋体" w:hAnsi="宋体" w:cs="宋体"/>
      <w:kern w:val="0"/>
      <w:sz w:val="20"/>
      <w:szCs w:val="20"/>
    </w:rPr>
  </w:style>
  <w:style w:type="table" w:customStyle="1" w:styleId="1137">
    <w:name w:val="浅色底纹6"/>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38">
    <w:name w:val="浅色底纹41"/>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39">
    <w:name w:val="网格型2"/>
    <w:basedOn w:val="59"/>
    <w:qFormat/>
    <w:uiPriority w:val="59"/>
    <w:pPr>
      <w:widowControl w:val="0"/>
    </w:pPr>
    <w:rPr>
      <w:rFonts w:hint="eastAsia" w:ascii="Calibri" w:hAnsi="Calibri" w:eastAsia="Microsoft JhengHei Light" w:cs="Microsoft JhengHei Light"/>
      <w:sz w:val="24"/>
      <w:szCs w:val="24"/>
      <w:lang w:val="zh-TW" w:eastAsia="zh-TW" w:bidi="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40">
    <w:name w:val="浅色底纹4"/>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41">
    <w:name w:val="网格型738"/>
    <w:basedOn w:val="59"/>
    <w:qFormat/>
    <w:uiPriority w:val="59"/>
    <w:pPr>
      <w:widowControl w:val="0"/>
    </w:pPr>
    <w:rPr>
      <w:rFonts w:hint="eastAsia" w:ascii="Calibri" w:hAnsi="Calibri" w:eastAsia="Microsoft JhengHei Light" w:cs="Calibri"/>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网格型7382"/>
    <w:basedOn w:val="59"/>
    <w:qFormat/>
    <w:uiPriority w:val="59"/>
    <w:pPr>
      <w:widowControl w:val="0"/>
    </w:pPr>
    <w:rPr>
      <w:rFonts w:hint="eastAsia" w:ascii="Calibri" w:hAnsi="Calibri" w:eastAsia="Microsoft JhengHei Light" w:cs="Calibri"/>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简明型 11"/>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1144">
    <w:name w:val="网格型6"/>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三线表1"/>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auto" w:sz="12" w:space="0"/>
        <w:bottom w:val="single" w:color="auto" w:sz="12" w:space="0"/>
      </w:tblBorders>
    </w:tblPr>
  </w:style>
  <w:style w:type="table" w:customStyle="1" w:styleId="1146">
    <w:name w:val="浅色列表 - 强调文字颜色 31"/>
    <w:basedOn w:val="59"/>
    <w:qFormat/>
    <w:uiPriority w:val="61"/>
    <w:pPr>
      <w:widowControl w:val="0"/>
    </w:pPr>
    <w:rPr>
      <w:rFonts w:hint="eastAsia" w:ascii="Calibri" w:hAnsi="Calibri" w:eastAsia="Microsoft JhengHei Light" w:cs="Microsoft JhengHei Light"/>
      <w:sz w:val="24"/>
      <w:szCs w:val="24"/>
      <w:lang w:val="zh-TW" w:eastAsia="zh-TW" w:bidi="zh-TW"/>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cPr>
        <w:shd w:val="clear" w:color="auto" w:fill="9BBB59"/>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customStyle="1" w:styleId="1147">
    <w:name w:val="浅色底纹 - 强调文字颜色 51"/>
    <w:basedOn w:val="59"/>
    <w:qFormat/>
    <w:uiPriority w:val="60"/>
    <w:pPr>
      <w:widowControl w:val="0"/>
    </w:pPr>
    <w:rPr>
      <w:rFonts w:hint="eastAsia" w:ascii="Calibri" w:hAnsi="Calibri" w:eastAsia="Microsoft JhengHei Light" w:cs="Microsoft JhengHei Light"/>
      <w:color w:val="31849B"/>
      <w:sz w:val="24"/>
      <w:szCs w:val="24"/>
      <w:lang w:val="zh-TW" w:eastAsia="zh-TW" w:bidi="zh-TW"/>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1148">
    <w:name w:val="网格型4"/>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三线表"/>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auto" w:sz="12" w:space="0"/>
        <w:bottom w:val="single" w:color="auto" w:sz="12" w:space="0"/>
      </w:tblBorders>
    </w:tblPr>
  </w:style>
  <w:style w:type="table" w:customStyle="1" w:styleId="1150">
    <w:name w:val="网格型7381"/>
    <w:basedOn w:val="59"/>
    <w:qFormat/>
    <w:uiPriority w:val="59"/>
    <w:pPr>
      <w:widowControl w:val="0"/>
    </w:pPr>
    <w:rPr>
      <w:rFonts w:hint="eastAsia" w:ascii="Calibri" w:hAnsi="Calibri" w:eastAsia="Microsoft JhengHei Light" w:cs="Calibri"/>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浅色底纹5"/>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52">
    <w:name w:val="浅色列表1"/>
    <w:basedOn w:val="59"/>
    <w:qFormat/>
    <w:uiPriority w:val="61"/>
    <w:pPr>
      <w:widowControl w:val="0"/>
    </w:pPr>
    <w:rPr>
      <w:rFonts w:hint="eastAsia" w:ascii="Calibri" w:hAnsi="Calibri" w:eastAsia="Microsoft JhengHei Light" w:cs="Microsoft JhengHei Light"/>
      <w:sz w:val="24"/>
      <w:szCs w:val="24"/>
      <w:lang w:val="zh-TW" w:eastAsia="zh-TW" w:bidi="zh-TW"/>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1153">
    <w:name w:val="网格型3"/>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54">
    <w:name w:val="浅色底纹3"/>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55">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1156">
    <w:name w:val="网格型1"/>
    <w:basedOn w:val="59"/>
    <w:qFormat/>
    <w:uiPriority w:val="0"/>
    <w:pPr>
      <w:widowControl w:val="0"/>
      <w:jc w:val="both"/>
    </w:pPr>
    <w:rPr>
      <w:rFonts w:hint="eastAsia" w:ascii="Microsoft JhengHei Light" w:hAnsi="Microsoft JhengHei Light" w:eastAsia="Microsoft JhengHei Light" w:cs="Microsoft JhengHei Light"/>
      <w:sz w:val="24"/>
      <w:szCs w:val="24"/>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浅色底纹 - 强调文字颜色 11"/>
    <w:basedOn w:val="59"/>
    <w:qFormat/>
    <w:uiPriority w:val="60"/>
    <w:pPr>
      <w:widowControl w:val="0"/>
    </w:pPr>
    <w:rPr>
      <w:rFonts w:hint="eastAsia" w:ascii="Calibri" w:hAnsi="Calibri" w:eastAsia="Microsoft JhengHei Light" w:cs="Microsoft JhengHei Light"/>
      <w:color w:val="365F91"/>
      <w:sz w:val="24"/>
      <w:szCs w:val="24"/>
      <w:lang w:val="zh-TW" w:eastAsia="zh-TW" w:bidi="zh-TW"/>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1158">
    <w:name w:val="浅色底纹1"/>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159">
    <w:name w:val="网格型5"/>
    <w:basedOn w:val="59"/>
    <w:qFormat/>
    <w:uiPriority w:val="59"/>
    <w:pPr>
      <w:widowControl w:val="0"/>
    </w:pPr>
    <w:rPr>
      <w:rFonts w:hint="eastAsia" w:ascii="Calibri" w:hAnsi="Calibri" w:eastAsia="Microsoft JhengHei Light" w:cs="Microsoft JhengHei Light"/>
      <w:lang w:val="zh-TW" w:eastAsia="zh-TW" w:bidi="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彩色底纹 - 强调文字颜色 31"/>
    <w:basedOn w:val="59"/>
    <w:qFormat/>
    <w:uiPriority w:val="71"/>
    <w:pPr>
      <w:widowControl w:val="0"/>
    </w:pPr>
    <w:rPr>
      <w:rFonts w:hint="eastAsia" w:ascii="Calibri" w:hAnsi="Calibri" w:eastAsia="Microsoft JhengHei Light" w:cs="Microsoft JhengHei Light"/>
      <w:color w:val="000000"/>
      <w:sz w:val="24"/>
      <w:szCs w:val="24"/>
      <w:lang w:val="zh-TW" w:eastAsia="zh-TW" w:bidi="zh-TW"/>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cPr>
        <w:tcBorders>
          <w:top w:val="nil"/>
          <w:left w:val="nil"/>
          <w:bottom w:val="nil"/>
          <w:right w:val="nil"/>
          <w:insideH w:val="nil"/>
          <w:insideV w:val="nil"/>
          <w:tl2br w:val="nil"/>
          <w:tr2bl w:val="nil"/>
        </w:tcBorders>
        <w:shd w:val="clear" w:color="auto" w:fill="5E7530"/>
      </w:tcPr>
    </w:tblStylePr>
    <w:tblStylePr w:type="band1Vert">
      <w:tcPr>
        <w:shd w:val="clear" w:color="auto" w:fill="D6E3BC"/>
      </w:tcPr>
    </w:tblStylePr>
    <w:tblStylePr w:type="band1Horz">
      <w:tcPr>
        <w:shd w:val="clear" w:color="auto" w:fill="CDDDAC"/>
      </w:tcPr>
    </w:tblStylePr>
  </w:style>
  <w:style w:type="table" w:customStyle="1" w:styleId="1161">
    <w:name w:val="浅色网格 - 强调文字颜色 31"/>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eastAsia="Tunga" w:cs="Estrangelo Edessa"/>
        <w:b/>
        <w:bCs/>
      </w:r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eastAsia="Tunga" w:cs="Estrangelo Edessa"/>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eastAsia="Tunga" w:cs="Estrangelo Edessa"/>
        <w:b/>
        <w:bCs/>
      </w:rPr>
    </w:tblStylePr>
    <w:tblStylePr w:type="lastCol">
      <w:rPr>
        <w:rFonts w:eastAsia="Tunga" w:cs="Estrangelo Edessa"/>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customStyle="1" w:styleId="1162">
    <w:name w:val="网格型1161"/>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63">
    <w:name w:val="网格型11611"/>
    <w:basedOn w:val="59"/>
    <w:qFormat/>
    <w:uiPriority w:val="0"/>
    <w:pPr>
      <w:widowControl w:val="0"/>
    </w:pPr>
    <w:rPr>
      <w:rFonts w:hint="eastAsia" w:ascii="Calibri" w:hAnsi="Calibri" w:eastAsia="Microsoft JhengHei Light" w:cs="Microsoft JhengHei Light"/>
      <w:sz w:val="24"/>
      <w:szCs w:val="24"/>
      <w:lang w:val="zh-TW" w:eastAsia="zh-TW" w:bidi="zh-TW"/>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64">
    <w:name w:val="浅色底纹2"/>
    <w:basedOn w:val="59"/>
    <w:qFormat/>
    <w:uiPriority w:val="60"/>
    <w:pPr>
      <w:widowControl w:val="0"/>
    </w:pPr>
    <w:rPr>
      <w:rFonts w:hint="eastAsia" w:ascii="Calibri" w:hAnsi="Calibri" w:eastAsia="Microsoft JhengHei Light" w:cs="Microsoft JhengHei Light"/>
      <w:color w:val="000000"/>
      <w:sz w:val="24"/>
      <w:szCs w:val="24"/>
      <w:lang w:val="zh-TW" w:eastAsia="zh-TW" w:bidi="zh-TW"/>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character" w:customStyle="1" w:styleId="1165">
    <w:name w:val="正文文本首行缩进 2 字符"/>
    <w:semiHidden/>
    <w:qFormat/>
    <w:uiPriority w:val="99"/>
    <w:rPr>
      <w:rFonts w:ascii="Times New Roman" w:hAnsi="Times New Roman" w:eastAsia="宋体" w:cs="Times New Roman"/>
      <w:sz w:val="24"/>
      <w:szCs w:val="24"/>
    </w:rPr>
  </w:style>
  <w:style w:type="character" w:customStyle="1" w:styleId="1166">
    <w:name w:val="正文文本首行缩进 字符"/>
    <w:semiHidden/>
    <w:qFormat/>
    <w:uiPriority w:val="99"/>
    <w:rPr>
      <w:rFonts w:ascii="Times New Roman" w:hAnsi="Times New Roman" w:eastAsia="宋体" w:cs="Times New Roman"/>
      <w:sz w:val="24"/>
      <w:szCs w:val="24"/>
    </w:rPr>
  </w:style>
  <w:style w:type="paragraph" w:customStyle="1" w:styleId="1167">
    <w:name w:val="文章"/>
    <w:next w:val="18"/>
    <w:qFormat/>
    <w:uiPriority w:val="99"/>
    <w:pPr>
      <w:ind w:firstLine="480"/>
      <w:jc w:val="center"/>
    </w:pPr>
    <w:rPr>
      <w:rFonts w:ascii="Times New Roman" w:hAnsi="Times New Roman" w:eastAsia="宋体" w:cs="Times New Roman"/>
      <w:kern w:val="2"/>
      <w:sz w:val="26"/>
      <w:szCs w:val="22"/>
      <w:lang w:val="en-US" w:eastAsia="zh-CN" w:bidi="ar-SA"/>
    </w:rPr>
  </w:style>
  <w:style w:type="paragraph" w:customStyle="1" w:styleId="1168">
    <w:name w:val="图标题1"/>
    <w:basedOn w:val="1"/>
    <w:link w:val="1169"/>
    <w:qFormat/>
    <w:uiPriority w:val="0"/>
    <w:pPr>
      <w:adjustRightInd w:val="0"/>
      <w:snapToGrid w:val="0"/>
      <w:ind w:firstLine="0" w:firstLineChars="0"/>
      <w:jc w:val="center"/>
    </w:pPr>
    <w:rPr>
      <w:rFonts w:eastAsia="仿宋_GB2312"/>
      <w:b/>
    </w:rPr>
  </w:style>
  <w:style w:type="character" w:customStyle="1" w:styleId="1169">
    <w:name w:val="图标题1 字符"/>
    <w:link w:val="1168"/>
    <w:qFormat/>
    <w:uiPriority w:val="0"/>
    <w:rPr>
      <w:rFonts w:ascii="Times New Roman" w:hAnsi="Times New Roman" w:eastAsia="仿宋_GB2312" w:cs="Times New Roman"/>
      <w:b/>
      <w:sz w:val="24"/>
      <w:szCs w:val="24"/>
    </w:rPr>
  </w:style>
  <w:style w:type="character" w:customStyle="1" w:styleId="1170">
    <w:name w:val="图名 字符"/>
    <w:qFormat/>
    <w:uiPriority w:val="0"/>
    <w:rPr>
      <w:rFonts w:ascii="Times New Roman" w:hAnsi="Times New Roman" w:eastAsia="仿宋_GB2312" w:cs="Times New Roman"/>
      <w:b/>
      <w:sz w:val="24"/>
      <w:szCs w:val="24"/>
    </w:rPr>
  </w:style>
  <w:style w:type="paragraph" w:customStyle="1" w:styleId="1171">
    <w:name w:val="表1"/>
    <w:basedOn w:val="20"/>
    <w:link w:val="1172"/>
    <w:qFormat/>
    <w:uiPriority w:val="0"/>
    <w:pPr>
      <w:spacing w:beforeLines="0" w:afterLines="0" w:line="240" w:lineRule="auto"/>
      <w:ind w:firstLine="0" w:firstLineChars="0"/>
      <w:jc w:val="center"/>
    </w:pPr>
    <w:rPr>
      <w:rFonts w:ascii="Times New Roman" w:hAnsi="Times New Roman" w:eastAsia="仿宋_GB2312"/>
      <w:sz w:val="24"/>
      <w:szCs w:val="24"/>
    </w:rPr>
  </w:style>
  <w:style w:type="character" w:customStyle="1" w:styleId="1172">
    <w:name w:val="表1 字符"/>
    <w:link w:val="1171"/>
    <w:qFormat/>
    <w:uiPriority w:val="0"/>
    <w:rPr>
      <w:rFonts w:ascii="Times New Roman" w:hAnsi="Times New Roman" w:eastAsia="仿宋_GB2312" w:cs="Times New Roman"/>
      <w:b/>
      <w:sz w:val="24"/>
      <w:szCs w:val="24"/>
    </w:rPr>
  </w:style>
  <w:style w:type="character" w:customStyle="1" w:styleId="1173">
    <w:name w:val="页眉 字符2"/>
    <w:qFormat/>
    <w:uiPriority w:val="99"/>
    <w:rPr>
      <w:rFonts w:ascii="等线" w:hAnsi="等线" w:eastAsia="等线"/>
      <w:kern w:val="2"/>
      <w:sz w:val="18"/>
      <w:szCs w:val="18"/>
    </w:rPr>
  </w:style>
  <w:style w:type="character" w:customStyle="1" w:styleId="1174">
    <w:name w:val="页脚 字符3"/>
    <w:qFormat/>
    <w:uiPriority w:val="99"/>
    <w:rPr>
      <w:rFonts w:ascii="等线" w:hAnsi="等线" w:eastAsia="等线" w:cs="Times New Roman"/>
      <w:sz w:val="18"/>
      <w:szCs w:val="18"/>
    </w:rPr>
  </w:style>
  <w:style w:type="character" w:customStyle="1" w:styleId="1175">
    <w:name w:val="批注框文本 字符3"/>
    <w:qFormat/>
    <w:uiPriority w:val="99"/>
    <w:rPr>
      <w:rFonts w:ascii="等线" w:hAnsi="等线" w:eastAsia="等线" w:cs="Times New Roman"/>
      <w:sz w:val="18"/>
      <w:szCs w:val="18"/>
    </w:rPr>
  </w:style>
  <w:style w:type="character" w:customStyle="1" w:styleId="1176">
    <w:name w:val="批注文字 字符3"/>
    <w:qFormat/>
    <w:uiPriority w:val="99"/>
    <w:rPr>
      <w:rFonts w:ascii="等线" w:hAnsi="等线" w:eastAsia="等线" w:cs="Times New Roman"/>
    </w:rPr>
  </w:style>
  <w:style w:type="character" w:customStyle="1" w:styleId="1177">
    <w:name w:val="批注主题 字符3"/>
    <w:qFormat/>
    <w:uiPriority w:val="99"/>
    <w:rPr>
      <w:rFonts w:ascii="等线" w:hAnsi="等线" w:eastAsia="等线" w:cs="Times New Roman"/>
      <w:b/>
      <w:bCs/>
    </w:rPr>
  </w:style>
  <w:style w:type="character" w:customStyle="1" w:styleId="1178">
    <w:name w:val="文档结构图 字符4"/>
    <w:qFormat/>
    <w:uiPriority w:val="99"/>
    <w:rPr>
      <w:rFonts w:ascii="宋体" w:hAnsi="等线" w:eastAsia="宋体" w:cs="Times New Roman"/>
      <w:sz w:val="18"/>
      <w:szCs w:val="18"/>
    </w:rPr>
  </w:style>
  <w:style w:type="character" w:customStyle="1" w:styleId="1179">
    <w:name w:val="标题 2 字符3"/>
    <w:qFormat/>
    <w:uiPriority w:val="9"/>
    <w:rPr>
      <w:rFonts w:ascii="Times New Roman" w:hAnsi="Times New Roman" w:eastAsia="黑体" w:cs="Times New Roman"/>
      <w:bCs/>
      <w:sz w:val="32"/>
      <w:szCs w:val="32"/>
    </w:rPr>
  </w:style>
  <w:style w:type="character" w:customStyle="1" w:styleId="1180">
    <w:name w:val="标题 3 字符1"/>
    <w:qFormat/>
    <w:uiPriority w:val="9"/>
    <w:rPr>
      <w:rFonts w:ascii="Times New Roman" w:hAnsi="Times New Roman" w:eastAsia="黑体" w:cs="Times New Roman"/>
      <w:bCs/>
      <w:sz w:val="30"/>
      <w:szCs w:val="30"/>
    </w:rPr>
  </w:style>
  <w:style w:type="character" w:customStyle="1" w:styleId="1181">
    <w:name w:val="标题 5 字符2"/>
    <w:qFormat/>
    <w:uiPriority w:val="9"/>
    <w:rPr>
      <w:rFonts w:ascii="Calibri" w:hAnsi="Calibri" w:eastAsia="仿宋"/>
      <w:bCs/>
      <w:sz w:val="28"/>
      <w:szCs w:val="28"/>
    </w:rPr>
  </w:style>
  <w:style w:type="paragraph" w:customStyle="1" w:styleId="1182">
    <w:name w:val="标准正文"/>
    <w:basedOn w:val="1"/>
    <w:link w:val="1183"/>
    <w:qFormat/>
    <w:uiPriority w:val="0"/>
    <w:pPr>
      <w:snapToGrid w:val="0"/>
      <w:spacing w:beforeLines="50"/>
      <w:ind w:firstLine="560"/>
    </w:pPr>
    <w:rPr>
      <w:rFonts w:eastAsia="仿宋_GB2312"/>
      <w:sz w:val="28"/>
    </w:rPr>
  </w:style>
  <w:style w:type="character" w:customStyle="1" w:styleId="1183">
    <w:name w:val="标准正文 Char"/>
    <w:link w:val="1182"/>
    <w:qFormat/>
    <w:uiPriority w:val="0"/>
    <w:rPr>
      <w:rFonts w:ascii="Times New Roman" w:hAnsi="Times New Roman" w:eastAsia="仿宋_GB2312" w:cs="Times New Roman"/>
      <w:sz w:val="28"/>
      <w:szCs w:val="24"/>
    </w:rPr>
  </w:style>
  <w:style w:type="character" w:customStyle="1" w:styleId="1184">
    <w:name w:val="脚注文本 字符3"/>
    <w:qFormat/>
    <w:uiPriority w:val="99"/>
    <w:rPr>
      <w:rFonts w:ascii="等线" w:hAnsi="等线" w:eastAsia="等线" w:cs="Times New Roman"/>
      <w:sz w:val="18"/>
      <w:szCs w:val="18"/>
    </w:rPr>
  </w:style>
  <w:style w:type="character" w:customStyle="1" w:styleId="1185">
    <w:name w:val="正文-1 Char"/>
    <w:link w:val="1186"/>
    <w:qFormat/>
    <w:uiPriority w:val="0"/>
    <w:rPr>
      <w:rFonts w:ascii="Times New Roman" w:hAnsi="Times New Roman" w:eastAsia="宋体"/>
      <w:sz w:val="24"/>
      <w:szCs w:val="24"/>
    </w:rPr>
  </w:style>
  <w:style w:type="paragraph" w:customStyle="1" w:styleId="1186">
    <w:name w:val="正文-1"/>
    <w:basedOn w:val="1"/>
    <w:link w:val="1185"/>
    <w:qFormat/>
    <w:uiPriority w:val="0"/>
    <w:pPr>
      <w:spacing w:before="60" w:line="460" w:lineRule="exact"/>
    </w:pPr>
    <w:rPr>
      <w:rFonts w:cstheme="minorBidi"/>
    </w:rPr>
  </w:style>
  <w:style w:type="character" w:customStyle="1" w:styleId="1187">
    <w:name w:val="题注 字符2"/>
    <w:qFormat/>
    <w:locked/>
    <w:uiPriority w:val="0"/>
    <w:rPr>
      <w:rFonts w:ascii="等线 Light" w:hAnsi="等线 Light" w:eastAsia="黑体" w:cs="Times New Roman"/>
      <w:sz w:val="20"/>
      <w:szCs w:val="20"/>
    </w:rPr>
  </w:style>
  <w:style w:type="paragraph" w:customStyle="1" w:styleId="1188">
    <w:name w:val="正文_1"/>
    <w:basedOn w:val="1"/>
    <w:qFormat/>
    <w:uiPriority w:val="99"/>
    <w:pPr>
      <w:spacing w:before="60" w:after="60"/>
      <w:ind w:firstLine="560"/>
      <w:jc w:val="left"/>
    </w:pPr>
  </w:style>
  <w:style w:type="paragraph" w:customStyle="1" w:styleId="1189">
    <w:name w:val="生态表格正文"/>
    <w:basedOn w:val="1"/>
    <w:qFormat/>
    <w:uiPriority w:val="99"/>
    <w:pPr>
      <w:widowControl/>
      <w:spacing w:line="400" w:lineRule="exact"/>
      <w:jc w:val="center"/>
    </w:pPr>
    <w:rPr>
      <w:rFonts w:eastAsia="仿宋_GB2312"/>
      <w:kern w:val="0"/>
      <w:szCs w:val="21"/>
    </w:rPr>
  </w:style>
  <w:style w:type="character" w:customStyle="1" w:styleId="1190">
    <w:name w:val="正文文本 字符3"/>
    <w:qFormat/>
    <w:uiPriority w:val="99"/>
    <w:rPr>
      <w:rFonts w:ascii="Times New Roman" w:hAnsi="Times New Roman" w:eastAsia="宋体" w:cs="Times New Roman"/>
      <w:sz w:val="44"/>
      <w:szCs w:val="20"/>
    </w:rPr>
  </w:style>
  <w:style w:type="character" w:customStyle="1" w:styleId="1191">
    <w:name w:val="纯文本 字符3"/>
    <w:qFormat/>
    <w:uiPriority w:val="99"/>
    <w:rPr>
      <w:rFonts w:ascii="宋体" w:hAnsi="Courier New" w:eastAsia="宋体" w:cs="Times New Roman"/>
      <w:sz w:val="28"/>
      <w:szCs w:val="20"/>
    </w:rPr>
  </w:style>
  <w:style w:type="paragraph" w:customStyle="1" w:styleId="1192">
    <w:name w:val="xl229"/>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193">
    <w:name w:val="xl225"/>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color w:val="000000"/>
      <w:kern w:val="0"/>
      <w:sz w:val="20"/>
      <w:szCs w:val="20"/>
    </w:rPr>
  </w:style>
  <w:style w:type="paragraph" w:customStyle="1" w:styleId="1194">
    <w:name w:val="xl221"/>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195">
    <w:name w:val="xl217"/>
    <w:basedOn w:val="1"/>
    <w:qFormat/>
    <w:uiPriority w:val="99"/>
    <w:pPr>
      <w:widowControl/>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196">
    <w:name w:val="xl226"/>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left"/>
      <w:textAlignment w:val="center"/>
    </w:pPr>
    <w:rPr>
      <w:rFonts w:ascii="宋体" w:hAnsi="宋体" w:cs="宋体"/>
      <w:color w:val="FF0000"/>
      <w:kern w:val="0"/>
      <w:sz w:val="20"/>
      <w:szCs w:val="20"/>
    </w:rPr>
  </w:style>
  <w:style w:type="paragraph" w:customStyle="1" w:styleId="1197">
    <w:name w:val="xl222"/>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198">
    <w:name w:val="xl218"/>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199">
    <w:name w:val="xl227"/>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200">
    <w:name w:val="xl223"/>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201">
    <w:name w:val="xl219"/>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202">
    <w:name w:val="xl228"/>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203">
    <w:name w:val="xl224"/>
    <w:basedOn w:val="1"/>
    <w:qFormat/>
    <w:uiPriority w:val="99"/>
    <w:pPr>
      <w:widowControl/>
      <w:pBdr>
        <w:top w:val="single" w:color="00FF00" w:sz="4" w:space="0"/>
        <w:left w:val="single" w:color="00FF00" w:sz="4" w:space="0"/>
        <w:bottom w:val="single" w:color="00FF00" w:sz="4" w:space="0"/>
        <w:right w:val="single" w:color="00FF00"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204">
    <w:name w:val="xl220"/>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1205">
    <w:name w:val="xl216"/>
    <w:basedOn w:val="1"/>
    <w:qFormat/>
    <w:uiPriority w:val="99"/>
    <w:pPr>
      <w:widowControl/>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1206">
    <w:name w:val="xl230"/>
    <w:basedOn w:val="1"/>
    <w:qFormat/>
    <w:uiPriority w:val="99"/>
    <w:pPr>
      <w:widowControl/>
      <w:pBdr>
        <w:top w:val="single" w:color="4F81BD" w:sz="4" w:space="0"/>
        <w:left w:val="single" w:color="4F81BD" w:sz="4" w:space="0"/>
        <w:bottom w:val="single" w:color="4F81BD" w:sz="4" w:space="0"/>
        <w:right w:val="single" w:color="4F81BD" w:sz="4" w:space="0"/>
      </w:pBdr>
      <w:spacing w:before="100" w:beforeAutospacing="1" w:after="100" w:afterAutospacing="1" w:line="240" w:lineRule="auto"/>
      <w:ind w:firstLine="0" w:firstLineChars="0"/>
      <w:jc w:val="center"/>
      <w:textAlignment w:val="center"/>
    </w:pPr>
    <w:rPr>
      <w:rFonts w:ascii="宋体" w:hAnsi="宋体" w:cs="宋体"/>
      <w:color w:val="FF0000"/>
      <w:kern w:val="0"/>
      <w:sz w:val="20"/>
      <w:szCs w:val="20"/>
    </w:rPr>
  </w:style>
  <w:style w:type="paragraph" w:customStyle="1" w:styleId="1207">
    <w:name w:val="四级标题"/>
    <w:basedOn w:val="798"/>
    <w:qFormat/>
    <w:uiPriority w:val="99"/>
    <w:pPr>
      <w:adjustRightInd/>
      <w:snapToGrid/>
      <w:spacing w:line="560" w:lineRule="exact"/>
    </w:pPr>
    <w:rPr>
      <w:rFonts w:eastAsia="方正黑体简体"/>
      <w:kern w:val="2"/>
      <w:sz w:val="32"/>
      <w:szCs w:val="32"/>
    </w:rPr>
  </w:style>
  <w:style w:type="paragraph" w:customStyle="1" w:styleId="1208">
    <w:name w:val="Char Char Char Char1"/>
    <w:basedOn w:val="1"/>
    <w:qFormat/>
    <w:uiPriority w:val="0"/>
    <w:pPr>
      <w:spacing w:line="240" w:lineRule="auto"/>
      <w:ind w:firstLine="0" w:firstLineChars="0"/>
    </w:pPr>
    <w:rPr>
      <w:sz w:val="21"/>
    </w:rPr>
  </w:style>
  <w:style w:type="paragraph" w:customStyle="1" w:styleId="1209">
    <w:name w:val="Char Char Char Char Char Char Char Char Char Char Char Char Char"/>
    <w:basedOn w:val="1"/>
    <w:qFormat/>
    <w:uiPriority w:val="99"/>
    <w:pPr>
      <w:widowControl/>
      <w:spacing w:after="160" w:line="240" w:lineRule="exact"/>
      <w:ind w:firstLine="0" w:firstLineChars="0"/>
      <w:jc w:val="left"/>
    </w:pPr>
    <w:rPr>
      <w:sz w:val="21"/>
    </w:rPr>
  </w:style>
  <w:style w:type="character" w:customStyle="1" w:styleId="1210">
    <w:name w:val="ared"/>
    <w:qFormat/>
    <w:uiPriority w:val="0"/>
  </w:style>
  <w:style w:type="paragraph" w:customStyle="1" w:styleId="1211">
    <w:name w:val="Char Char Char Char Char Char Char Char Char Char Char Char1 Char Char Char Char"/>
    <w:basedOn w:val="1"/>
    <w:qFormat/>
    <w:uiPriority w:val="99"/>
    <w:pPr>
      <w:spacing w:line="240" w:lineRule="auto"/>
      <w:ind w:firstLine="0" w:firstLineChars="0"/>
    </w:pPr>
    <w:rPr>
      <w:sz w:val="21"/>
      <w:szCs w:val="20"/>
    </w:rPr>
  </w:style>
  <w:style w:type="paragraph" w:customStyle="1" w:styleId="1212">
    <w:name w:val="p17"/>
    <w:basedOn w:val="1"/>
    <w:qFormat/>
    <w:uiPriority w:val="99"/>
    <w:pPr>
      <w:widowControl/>
      <w:spacing w:line="620" w:lineRule="atLeast"/>
      <w:ind w:firstLine="420" w:firstLineChars="0"/>
    </w:pPr>
    <w:rPr>
      <w:rFonts w:ascii="仿宋_GB2312" w:hAnsi="宋体" w:eastAsia="仿宋_GB2312" w:cs="宋体"/>
      <w:kern w:val="0"/>
      <w:sz w:val="32"/>
      <w:szCs w:val="32"/>
    </w:rPr>
  </w:style>
  <w:style w:type="paragraph" w:customStyle="1" w:styleId="1213">
    <w:name w:val="TOC 标题111"/>
    <w:basedOn w:val="4"/>
    <w:next w:val="1"/>
    <w:qFormat/>
    <w:uiPriority w:val="39"/>
    <w:pPr>
      <w:widowControl/>
      <w:adjustRightInd/>
      <w:spacing w:before="240" w:after="0" w:afterAutospacing="0" w:line="259" w:lineRule="auto"/>
      <w:ind w:firstLine="0" w:firstLineChars="0"/>
      <w:jc w:val="left"/>
      <w:outlineLvl w:val="9"/>
    </w:pPr>
    <w:rPr>
      <w:rFonts w:ascii="等线 Light" w:hAnsi="等线 Light" w:eastAsia="等线 Light"/>
      <w:b w:val="0"/>
      <w:color w:val="2F5496"/>
      <w:sz w:val="32"/>
      <w:szCs w:val="32"/>
    </w:rPr>
  </w:style>
  <w:style w:type="paragraph" w:customStyle="1" w:styleId="1214">
    <w:name w:val="图表前"/>
    <w:next w:val="1"/>
    <w:qFormat/>
    <w:uiPriority w:val="99"/>
    <w:pPr>
      <w:widowControl w:val="0"/>
      <w:spacing w:before="240" w:after="120"/>
      <w:ind w:firstLine="200"/>
      <w:jc w:val="center"/>
    </w:pPr>
    <w:rPr>
      <w:rFonts w:ascii="Times New Roman" w:hAnsi="Times New Roman" w:eastAsia="Times New Roman" w:cs="Times New Roman"/>
      <w:color w:val="000000"/>
      <w:kern w:val="2"/>
      <w:sz w:val="21"/>
      <w:szCs w:val="21"/>
      <w:lang w:val="en-US" w:eastAsia="zh-CN" w:bidi="ar-SA"/>
    </w:rPr>
  </w:style>
  <w:style w:type="character" w:customStyle="1" w:styleId="1215">
    <w:name w:val="无"/>
    <w:qFormat/>
    <w:uiPriority w:val="0"/>
  </w:style>
  <w:style w:type="paragraph" w:customStyle="1" w:styleId="1216">
    <w:name w:val="font10"/>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szCs w:val="20"/>
    </w:rPr>
  </w:style>
  <w:style w:type="paragraph" w:customStyle="1" w:styleId="1217">
    <w:name w:val="font12"/>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18">
    <w:name w:val="font13"/>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19">
    <w:name w:val="font14"/>
    <w:basedOn w:val="1"/>
    <w:qFormat/>
    <w:uiPriority w:val="99"/>
    <w:pPr>
      <w:widowControl/>
      <w:spacing w:before="100" w:beforeAutospacing="1" w:after="100" w:afterAutospacing="1" w:line="240" w:lineRule="auto"/>
      <w:ind w:firstLine="0" w:firstLineChars="0"/>
      <w:jc w:val="left"/>
    </w:pPr>
    <w:rPr>
      <w:color w:val="000000"/>
      <w:kern w:val="0"/>
      <w:sz w:val="20"/>
      <w:szCs w:val="20"/>
    </w:rPr>
  </w:style>
  <w:style w:type="paragraph" w:customStyle="1" w:styleId="1220">
    <w:name w:val="font15"/>
    <w:basedOn w:val="1"/>
    <w:qFormat/>
    <w:uiPriority w:val="99"/>
    <w:pPr>
      <w:widowControl/>
      <w:spacing w:before="100" w:beforeAutospacing="1" w:after="100" w:afterAutospacing="1" w:line="240" w:lineRule="auto"/>
      <w:ind w:firstLine="0" w:firstLineChars="0"/>
      <w:jc w:val="left"/>
    </w:pPr>
    <w:rPr>
      <w:color w:val="000000"/>
      <w:kern w:val="0"/>
      <w:sz w:val="20"/>
      <w:szCs w:val="20"/>
    </w:rPr>
  </w:style>
  <w:style w:type="paragraph" w:customStyle="1" w:styleId="1221">
    <w:name w:val="font16"/>
    <w:basedOn w:val="1"/>
    <w:qFormat/>
    <w:uiPriority w:val="99"/>
    <w:pPr>
      <w:widowControl/>
      <w:spacing w:before="100" w:beforeAutospacing="1" w:after="100" w:afterAutospacing="1" w:line="240" w:lineRule="auto"/>
      <w:ind w:firstLine="0" w:firstLineChars="0"/>
      <w:jc w:val="left"/>
    </w:pPr>
    <w:rPr>
      <w:rFonts w:ascii="宋体" w:hAnsi="宋体" w:cs="宋体"/>
      <w:color w:val="FF0000"/>
      <w:kern w:val="0"/>
      <w:sz w:val="20"/>
      <w:szCs w:val="20"/>
    </w:rPr>
  </w:style>
  <w:style w:type="paragraph" w:customStyle="1" w:styleId="1222">
    <w:name w:val="font17"/>
    <w:basedOn w:val="1"/>
    <w:qFormat/>
    <w:uiPriority w:val="99"/>
    <w:pPr>
      <w:widowControl/>
      <w:spacing w:before="100" w:beforeAutospacing="1" w:after="100" w:afterAutospacing="1" w:line="240" w:lineRule="auto"/>
      <w:ind w:firstLine="0" w:firstLineChars="0"/>
      <w:jc w:val="left"/>
    </w:pPr>
    <w:rPr>
      <w:color w:val="FF0000"/>
      <w:kern w:val="0"/>
      <w:sz w:val="20"/>
      <w:szCs w:val="20"/>
    </w:rPr>
  </w:style>
  <w:style w:type="paragraph" w:customStyle="1" w:styleId="1223">
    <w:name w:val="font18"/>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24">
    <w:name w:val="font19"/>
    <w:basedOn w:val="1"/>
    <w:qFormat/>
    <w:uiPriority w:val="99"/>
    <w:pPr>
      <w:widowControl/>
      <w:spacing w:before="100" w:beforeAutospacing="1" w:after="100" w:afterAutospacing="1" w:line="240" w:lineRule="auto"/>
      <w:ind w:firstLine="0" w:firstLineChars="0"/>
      <w:jc w:val="left"/>
    </w:pPr>
    <w:rPr>
      <w:color w:val="000000"/>
      <w:kern w:val="0"/>
      <w:sz w:val="20"/>
      <w:szCs w:val="20"/>
    </w:rPr>
  </w:style>
  <w:style w:type="paragraph" w:customStyle="1" w:styleId="1225">
    <w:name w:val="font20"/>
    <w:basedOn w:val="1"/>
    <w:qFormat/>
    <w:uiPriority w:val="99"/>
    <w:pPr>
      <w:widowControl/>
      <w:spacing w:before="100" w:beforeAutospacing="1" w:after="100" w:afterAutospacing="1" w:line="240" w:lineRule="auto"/>
      <w:ind w:firstLine="0" w:firstLineChars="0"/>
      <w:jc w:val="left"/>
    </w:pPr>
    <w:rPr>
      <w:rFonts w:ascii="宋体" w:hAnsi="宋体" w:cs="宋体"/>
      <w:color w:val="000000"/>
      <w:kern w:val="0"/>
      <w:sz w:val="20"/>
      <w:szCs w:val="20"/>
    </w:rPr>
  </w:style>
  <w:style w:type="paragraph" w:customStyle="1" w:styleId="1226">
    <w:name w:val="font22"/>
    <w:basedOn w:val="1"/>
    <w:qFormat/>
    <w:uiPriority w:val="99"/>
    <w:pPr>
      <w:widowControl/>
      <w:spacing w:before="100" w:beforeAutospacing="1" w:after="100" w:afterAutospacing="1" w:line="240" w:lineRule="auto"/>
      <w:ind w:firstLine="0" w:firstLineChars="0"/>
      <w:jc w:val="left"/>
    </w:pPr>
    <w:rPr>
      <w:rFonts w:ascii="宋体" w:hAnsi="宋体" w:cs="宋体"/>
      <w:kern w:val="0"/>
      <w:sz w:val="20"/>
      <w:szCs w:val="20"/>
    </w:rPr>
  </w:style>
  <w:style w:type="paragraph" w:customStyle="1" w:styleId="1227">
    <w:name w:val="font23"/>
    <w:basedOn w:val="1"/>
    <w:qFormat/>
    <w:uiPriority w:val="99"/>
    <w:pPr>
      <w:widowControl/>
      <w:spacing w:before="100" w:beforeAutospacing="1" w:after="100" w:afterAutospacing="1" w:line="240" w:lineRule="auto"/>
      <w:ind w:firstLine="0" w:firstLineChars="0"/>
      <w:jc w:val="left"/>
    </w:pPr>
    <w:rPr>
      <w:kern w:val="0"/>
      <w:sz w:val="20"/>
      <w:szCs w:val="20"/>
    </w:rPr>
  </w:style>
  <w:style w:type="paragraph" w:customStyle="1" w:styleId="1228">
    <w:name w:val="新正文"/>
    <w:basedOn w:val="1"/>
    <w:qFormat/>
    <w:uiPriority w:val="99"/>
    <w:pPr>
      <w:spacing w:before="60" w:line="460" w:lineRule="exact"/>
    </w:pPr>
    <w:rPr>
      <w:szCs w:val="20"/>
    </w:rPr>
  </w:style>
  <w:style w:type="paragraph" w:customStyle="1" w:styleId="1229">
    <w:name w:val="表序号"/>
    <w:basedOn w:val="1"/>
    <w:link w:val="1230"/>
    <w:qFormat/>
    <w:uiPriority w:val="99"/>
    <w:pPr>
      <w:keepNext/>
      <w:spacing w:line="240" w:lineRule="auto"/>
      <w:ind w:firstLine="0" w:firstLineChars="0"/>
      <w:jc w:val="left"/>
    </w:pPr>
    <w:rPr>
      <w:spacing w:val="10"/>
      <w:kern w:val="28"/>
      <w:sz w:val="20"/>
      <w:szCs w:val="28"/>
    </w:rPr>
  </w:style>
  <w:style w:type="character" w:customStyle="1" w:styleId="1230">
    <w:name w:val="表序号 Char"/>
    <w:link w:val="1229"/>
    <w:qFormat/>
    <w:uiPriority w:val="99"/>
    <w:rPr>
      <w:rFonts w:ascii="Times New Roman" w:hAnsi="Times New Roman" w:eastAsia="宋体" w:cs="Times New Roman"/>
      <w:spacing w:val="10"/>
      <w:kern w:val="28"/>
      <w:sz w:val="20"/>
      <w:szCs w:val="28"/>
    </w:rPr>
  </w:style>
  <w:style w:type="paragraph" w:customStyle="1" w:styleId="1231">
    <w:name w:val="表格五号"/>
    <w:basedOn w:val="1"/>
    <w:link w:val="1232"/>
    <w:qFormat/>
    <w:uiPriority w:val="0"/>
    <w:pPr>
      <w:tabs>
        <w:tab w:val="right" w:pos="8814"/>
      </w:tabs>
      <w:suppressAutoHyphens/>
      <w:snapToGrid w:val="0"/>
      <w:spacing w:line="240" w:lineRule="auto"/>
      <w:ind w:firstLine="0" w:firstLineChars="0"/>
      <w:jc w:val="center"/>
    </w:pPr>
    <w:rPr>
      <w:color w:val="000000"/>
      <w:kern w:val="0"/>
    </w:rPr>
  </w:style>
  <w:style w:type="character" w:customStyle="1" w:styleId="1232">
    <w:name w:val="表格五号 Char"/>
    <w:link w:val="1231"/>
    <w:qFormat/>
    <w:uiPriority w:val="0"/>
    <w:rPr>
      <w:rFonts w:ascii="Times New Roman" w:hAnsi="Times New Roman" w:eastAsia="宋体" w:cs="Times New Roman"/>
      <w:color w:val="000000"/>
      <w:kern w:val="0"/>
      <w:sz w:val="24"/>
      <w:szCs w:val="24"/>
    </w:rPr>
  </w:style>
  <w:style w:type="paragraph" w:customStyle="1" w:styleId="1233">
    <w:name w:val="三调"/>
    <w:next w:val="1"/>
    <w:link w:val="1234"/>
    <w:qFormat/>
    <w:uiPriority w:val="0"/>
    <w:pPr>
      <w:widowControl w:val="0"/>
      <w:spacing w:line="520" w:lineRule="exact"/>
      <w:jc w:val="both"/>
    </w:pPr>
    <w:rPr>
      <w:rFonts w:ascii="Times New Roman" w:hAnsi="Times New Roman" w:eastAsia="宋体" w:cs="Times New Roman"/>
      <w:kern w:val="2"/>
      <w:sz w:val="24"/>
      <w:szCs w:val="24"/>
      <w:lang w:val="en-US" w:eastAsia="zh-CN" w:bidi="ar-SA"/>
    </w:rPr>
  </w:style>
  <w:style w:type="character" w:customStyle="1" w:styleId="1234">
    <w:name w:val="三调 Char"/>
    <w:link w:val="1233"/>
    <w:qFormat/>
    <w:uiPriority w:val="0"/>
    <w:rPr>
      <w:rFonts w:ascii="Times New Roman" w:hAnsi="Times New Roman" w:eastAsia="宋体" w:cs="Times New Roman"/>
      <w:sz w:val="24"/>
      <w:szCs w:val="24"/>
    </w:rPr>
  </w:style>
  <w:style w:type="paragraph" w:customStyle="1" w:styleId="1235">
    <w:name w:val="图表格式"/>
    <w:basedOn w:val="20"/>
    <w:link w:val="1236"/>
    <w:qFormat/>
    <w:uiPriority w:val="0"/>
    <w:pPr>
      <w:adjustRightInd w:val="0"/>
      <w:snapToGrid w:val="0"/>
      <w:spacing w:beforeLines="0" w:afterLines="0" w:line="240" w:lineRule="auto"/>
      <w:ind w:firstLine="0" w:firstLineChars="0"/>
      <w:jc w:val="center"/>
    </w:pPr>
    <w:rPr>
      <w:rFonts w:ascii="Times New Roman" w:hAnsi="Times New Roman" w:eastAsia="仿宋_GB2312"/>
      <w:b w:val="0"/>
      <w:sz w:val="21"/>
      <w:szCs w:val="24"/>
    </w:rPr>
  </w:style>
  <w:style w:type="character" w:customStyle="1" w:styleId="1236">
    <w:name w:val="图表格式 Char"/>
    <w:link w:val="1235"/>
    <w:qFormat/>
    <w:uiPriority w:val="0"/>
    <w:rPr>
      <w:rFonts w:ascii="Times New Roman" w:hAnsi="Times New Roman" w:eastAsia="仿宋_GB2312" w:cs="Times New Roman"/>
      <w:szCs w:val="24"/>
    </w:rPr>
  </w:style>
  <w:style w:type="paragraph" w:customStyle="1" w:styleId="1237">
    <w:name w:val="7表格(治)"/>
    <w:link w:val="1238"/>
    <w:qFormat/>
    <w:uiPriority w:val="0"/>
    <w:pPr>
      <w:keepNext/>
      <w:widowControl w:val="0"/>
      <w:tabs>
        <w:tab w:val="right" w:leader="middleDot" w:pos="600"/>
      </w:tabs>
      <w:adjustRightInd w:val="0"/>
      <w:snapToGrid w:val="0"/>
      <w:spacing w:line="360" w:lineRule="auto"/>
      <w:jc w:val="center"/>
    </w:pPr>
    <w:rPr>
      <w:rFonts w:ascii="Times New Roman" w:hAnsi="Times New Roman" w:eastAsia="仿宋_GB2312" w:cs="Times New Roman"/>
      <w:kern w:val="2"/>
      <w:sz w:val="21"/>
      <w:szCs w:val="21"/>
      <w:lang w:val="en-US" w:eastAsia="zh-CN" w:bidi="ar-SA"/>
    </w:rPr>
  </w:style>
  <w:style w:type="character" w:customStyle="1" w:styleId="1238">
    <w:name w:val="7表格(治) Char"/>
    <w:link w:val="1237"/>
    <w:qFormat/>
    <w:uiPriority w:val="0"/>
    <w:rPr>
      <w:rFonts w:ascii="Times New Roman" w:hAnsi="Times New Roman" w:eastAsia="仿宋_GB2312" w:cs="Times New Roman"/>
      <w:szCs w:val="21"/>
    </w:rPr>
  </w:style>
  <w:style w:type="paragraph" w:customStyle="1" w:styleId="1239">
    <w:name w:val="5文章(治)"/>
    <w:next w:val="41"/>
    <w:qFormat/>
    <w:uiPriority w:val="99"/>
    <w:pPr>
      <w:widowControl w:val="0"/>
      <w:spacing w:line="360" w:lineRule="auto"/>
      <w:ind w:firstLine="200" w:firstLineChars="200"/>
      <w:jc w:val="both"/>
    </w:pPr>
    <w:rPr>
      <w:rFonts w:ascii="Calibri" w:hAnsi="Calibri" w:eastAsia="宋体" w:cs="Arial"/>
      <w:kern w:val="2"/>
      <w:sz w:val="24"/>
      <w:szCs w:val="22"/>
      <w:lang w:val="en-US" w:eastAsia="zh-CN" w:bidi="ar-SA"/>
    </w:rPr>
  </w:style>
  <w:style w:type="paragraph" w:customStyle="1" w:styleId="1240">
    <w:name w:val="xl417"/>
    <w:basedOn w:val="1"/>
    <w:qFormat/>
    <w:uiPriority w:val="99"/>
    <w:pPr>
      <w:widowControl/>
      <w:spacing w:before="100" w:beforeAutospacing="1" w:after="100" w:afterAutospacing="1" w:line="240" w:lineRule="auto"/>
      <w:ind w:firstLine="0" w:firstLineChars="0"/>
      <w:jc w:val="center"/>
    </w:pPr>
    <w:rPr>
      <w:rFonts w:ascii="宋体" w:hAnsi="宋体" w:cs="宋体"/>
      <w:kern w:val="0"/>
    </w:rPr>
  </w:style>
  <w:style w:type="paragraph" w:customStyle="1" w:styleId="1241">
    <w:name w:val="xl4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18"/>
      <w:szCs w:val="18"/>
    </w:rPr>
  </w:style>
  <w:style w:type="paragraph" w:customStyle="1" w:styleId="1242">
    <w:name w:val="xl4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18"/>
      <w:szCs w:val="18"/>
    </w:rPr>
  </w:style>
  <w:style w:type="paragraph" w:customStyle="1" w:styleId="1243">
    <w:name w:val="xl4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kern w:val="0"/>
      <w:sz w:val="18"/>
      <w:szCs w:val="18"/>
    </w:rPr>
  </w:style>
  <w:style w:type="paragraph" w:customStyle="1" w:styleId="1244">
    <w:name w:val="xl421"/>
    <w:basedOn w:val="1"/>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45">
    <w:name w:val="xl422"/>
    <w:basedOn w:val="1"/>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46">
    <w:name w:val="xl423"/>
    <w:basedOn w:val="1"/>
    <w:qFormat/>
    <w:uiPriority w:val="99"/>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b/>
      <w:bCs/>
      <w:kern w:val="0"/>
      <w:sz w:val="18"/>
      <w:szCs w:val="18"/>
    </w:rPr>
  </w:style>
  <w:style w:type="paragraph" w:customStyle="1" w:styleId="1247">
    <w:name w:val="xl424"/>
    <w:basedOn w:val="1"/>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cs="宋体"/>
      <w:b/>
      <w:bCs/>
      <w:kern w:val="0"/>
      <w:sz w:val="18"/>
      <w:szCs w:val="18"/>
    </w:rPr>
  </w:style>
  <w:style w:type="paragraph" w:customStyle="1" w:styleId="1248">
    <w:name w:val="xl425"/>
    <w:basedOn w:val="1"/>
    <w:qFormat/>
    <w:uiPriority w:val="99"/>
    <w:pPr>
      <w:widowControl/>
      <w:pBdr>
        <w:top w:val="single" w:color="auto" w:sz="4" w:space="0"/>
        <w:bottom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49">
    <w:name w:val="xl426"/>
    <w:basedOn w:val="1"/>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0">
    <w:name w:val="xl427"/>
    <w:basedOn w:val="1"/>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1">
    <w:name w:val="xl428"/>
    <w:basedOn w:val="1"/>
    <w:qFormat/>
    <w:uiPriority w:val="99"/>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2">
    <w:name w:val="xl429"/>
    <w:basedOn w:val="1"/>
    <w:qFormat/>
    <w:uiPriority w:val="99"/>
    <w:pPr>
      <w:widowControl/>
      <w:pBdr>
        <w:top w:val="single" w:color="auto" w:sz="4" w:space="0"/>
        <w:bottom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3">
    <w:name w:val="xl430"/>
    <w:basedOn w:val="1"/>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4">
    <w:name w:val="xl431"/>
    <w:basedOn w:val="1"/>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5">
    <w:name w:val="xl432"/>
    <w:basedOn w:val="1"/>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6">
    <w:name w:val="xl4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7">
    <w:name w:val="xl4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b/>
      <w:bCs/>
      <w:kern w:val="0"/>
      <w:sz w:val="18"/>
      <w:szCs w:val="18"/>
    </w:rPr>
  </w:style>
  <w:style w:type="paragraph" w:customStyle="1" w:styleId="1258">
    <w:name w:val="样式35"/>
    <w:next w:val="834"/>
    <w:qFormat/>
    <w:uiPriority w:val="99"/>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1259">
    <w:name w:val="td1"/>
    <w:basedOn w:val="1"/>
    <w:next w:val="1"/>
    <w:qFormat/>
    <w:uiPriority w:val="99"/>
    <w:pPr>
      <w:widowControl/>
      <w:spacing w:before="280" w:after="280" w:line="300" w:lineRule="atLeast"/>
      <w:ind w:firstLine="0" w:firstLineChars="0"/>
    </w:pPr>
    <w:rPr>
      <w:rFonts w:ascii="等线" w:hAnsi="等线" w:eastAsia="等线"/>
      <w:color w:val="000000"/>
      <w:sz w:val="18"/>
      <w:szCs w:val="22"/>
    </w:rPr>
  </w:style>
  <w:style w:type="paragraph" w:customStyle="1" w:styleId="1260">
    <w:name w:val="LZ-正文"/>
    <w:basedOn w:val="1"/>
    <w:qFormat/>
    <w:uiPriority w:val="0"/>
    <w:pPr>
      <w:widowControl/>
    </w:pPr>
    <w:rPr>
      <w:rFonts w:cs="仿宋"/>
      <w:color w:val="000000"/>
      <w:kern w:val="0"/>
      <w:szCs w:val="28"/>
      <w:lang w:val="zh-CN"/>
    </w:rPr>
  </w:style>
  <w:style w:type="paragraph" w:customStyle="1" w:styleId="1261">
    <w:name w:val="图表-VOC"/>
    <w:basedOn w:val="1"/>
    <w:next w:val="1"/>
    <w:qFormat/>
    <w:uiPriority w:val="0"/>
    <w:pPr>
      <w:spacing w:before="120" w:line="240" w:lineRule="auto"/>
      <w:ind w:firstLine="0" w:firstLineChars="0"/>
      <w:jc w:val="center"/>
    </w:pPr>
    <w:rPr>
      <w:rFonts w:hAnsi="黑体"/>
      <w:b/>
      <w:szCs w:val="21"/>
    </w:rPr>
  </w:style>
  <w:style w:type="character" w:customStyle="1" w:styleId="1262">
    <w:name w:val="副标题 字符3"/>
    <w:qFormat/>
    <w:uiPriority w:val="11"/>
    <w:rPr>
      <w:rFonts w:ascii="Cambria" w:hAnsi="Cambria" w:eastAsia="宋体" w:cs="Times New Roman"/>
      <w:i/>
      <w:iCs/>
      <w:color w:val="4F81BD"/>
      <w:spacing w:val="15"/>
      <w:sz w:val="24"/>
      <w:szCs w:val="24"/>
    </w:rPr>
  </w:style>
  <w:style w:type="character" w:customStyle="1" w:styleId="1263">
    <w:name w:val="fontstyle01"/>
    <w:qFormat/>
    <w:uiPriority w:val="0"/>
    <w:rPr>
      <w:rFonts w:ascii="宋体" w:hAnsi="宋体" w:eastAsia="宋体" w:cs="宋体"/>
      <w:color w:val="000000"/>
      <w:sz w:val="22"/>
      <w:szCs w:val="22"/>
    </w:rPr>
  </w:style>
  <w:style w:type="character" w:customStyle="1" w:styleId="1264">
    <w:name w:val="fontstyle11"/>
    <w:qFormat/>
    <w:uiPriority w:val="0"/>
    <w:rPr>
      <w:rFonts w:ascii="仿宋_GB2312" w:eastAsia="仿宋_GB2312" w:cs="仿宋_GB2312"/>
      <w:color w:val="000000"/>
      <w:sz w:val="28"/>
      <w:szCs w:val="28"/>
    </w:rPr>
  </w:style>
  <w:style w:type="character" w:customStyle="1" w:styleId="1265">
    <w:name w:val="fontstyle31"/>
    <w:qFormat/>
    <w:uiPriority w:val="0"/>
    <w:rPr>
      <w:rFonts w:hint="default" w:ascii="Times New Roman" w:hAnsi="Times New Roman" w:cs="Times New Roman"/>
      <w:color w:val="000000"/>
      <w:sz w:val="28"/>
      <w:szCs w:val="28"/>
    </w:rPr>
  </w:style>
  <w:style w:type="paragraph" w:customStyle="1" w:styleId="1266">
    <w:name w:val="样式 仿宋_GB2312 四号"/>
    <w:basedOn w:val="1"/>
    <w:qFormat/>
    <w:uiPriority w:val="99"/>
    <w:pPr>
      <w:spacing w:line="240" w:lineRule="auto"/>
    </w:pPr>
    <w:rPr>
      <w:rFonts w:ascii="仿宋_GB2312" w:eastAsia="仿宋_GB2312" w:cs="宋体"/>
      <w:sz w:val="28"/>
      <w:szCs w:val="20"/>
    </w:rPr>
  </w:style>
  <w:style w:type="paragraph" w:customStyle="1" w:styleId="1267">
    <w:name w:val="WPSOffice手动目录 1"/>
    <w:qFormat/>
    <w:uiPriority w:val="99"/>
    <w:rPr>
      <w:rFonts w:ascii="Calibri" w:hAnsi="Calibri" w:eastAsia="宋体" w:cs="Times New Roman"/>
      <w:lang w:val="en-US" w:eastAsia="zh-CN" w:bidi="ar-SA"/>
    </w:rPr>
  </w:style>
  <w:style w:type="paragraph" w:customStyle="1" w:styleId="1268">
    <w:name w:val="WPSOffice手动目录 2"/>
    <w:qFormat/>
    <w:uiPriority w:val="99"/>
    <w:pPr>
      <w:ind w:left="200" w:leftChars="200"/>
    </w:pPr>
    <w:rPr>
      <w:rFonts w:ascii="Calibri" w:hAnsi="Calibri" w:eastAsia="宋体" w:cs="Times New Roman"/>
      <w:lang w:val="en-US" w:eastAsia="zh-CN" w:bidi="ar-SA"/>
    </w:rPr>
  </w:style>
  <w:style w:type="character" w:customStyle="1" w:styleId="1269">
    <w:name w:val="font71"/>
    <w:qFormat/>
    <w:uiPriority w:val="0"/>
    <w:rPr>
      <w:rFonts w:hint="eastAsia" w:ascii="宋体" w:hAnsi="宋体" w:eastAsia="宋体" w:cs="宋体"/>
      <w:b/>
      <w:color w:val="000000"/>
      <w:sz w:val="18"/>
      <w:szCs w:val="18"/>
      <w:u w:val="none"/>
    </w:rPr>
  </w:style>
  <w:style w:type="character" w:customStyle="1" w:styleId="1270">
    <w:name w:val="doc-header-title"/>
    <w:qFormat/>
    <w:uiPriority w:val="0"/>
  </w:style>
  <w:style w:type="character" w:customStyle="1" w:styleId="1271">
    <w:name w:val="新正文 Char Char"/>
    <w:link w:val="1272"/>
    <w:qFormat/>
    <w:uiPriority w:val="0"/>
    <w:rPr>
      <w:rFonts w:eastAsia="宋体"/>
      <w:sz w:val="24"/>
      <w:szCs w:val="24"/>
    </w:rPr>
  </w:style>
  <w:style w:type="paragraph" w:customStyle="1" w:styleId="1272">
    <w:name w:val="新正文 Char"/>
    <w:basedOn w:val="1"/>
    <w:link w:val="1271"/>
    <w:qFormat/>
    <w:uiPriority w:val="0"/>
    <w:rPr>
      <w:rFonts w:asciiTheme="minorHAnsi" w:hAnsiTheme="minorHAnsi" w:cstheme="minorBidi"/>
    </w:rPr>
  </w:style>
  <w:style w:type="paragraph" w:customStyle="1" w:styleId="1273">
    <w:name w:val="6表(图)头(治)"/>
    <w:next w:val="1"/>
    <w:link w:val="1274"/>
    <w:qFormat/>
    <w:uiPriority w:val="0"/>
    <w:pPr>
      <w:widowControl w:val="0"/>
      <w:jc w:val="center"/>
    </w:pPr>
    <w:rPr>
      <w:rFonts w:ascii="Times New Roman" w:hAnsi="Times New Roman" w:eastAsia="黑体" w:cs="Times New Roman"/>
      <w:b/>
      <w:bCs/>
      <w:sz w:val="24"/>
      <w:szCs w:val="30"/>
      <w:lang w:val="en-US" w:eastAsia="zh-CN" w:bidi="ar-SA"/>
    </w:rPr>
  </w:style>
  <w:style w:type="character" w:customStyle="1" w:styleId="1274">
    <w:name w:val="6表(图)头(治) Char"/>
    <w:link w:val="1273"/>
    <w:qFormat/>
    <w:uiPriority w:val="0"/>
    <w:rPr>
      <w:rFonts w:ascii="Times New Roman" w:hAnsi="Times New Roman" w:eastAsia="黑体" w:cs="Times New Roman"/>
      <w:b/>
      <w:bCs/>
      <w:kern w:val="0"/>
      <w:sz w:val="24"/>
      <w:szCs w:val="30"/>
    </w:rPr>
  </w:style>
  <w:style w:type="character" w:customStyle="1" w:styleId="1275">
    <w:name w:val="文本 字符"/>
    <w:qFormat/>
    <w:uiPriority w:val="0"/>
    <w:rPr>
      <w:rFonts w:ascii="Times New Roman" w:hAnsi="Times New Roman" w:eastAsia="宋体" w:cs="Times New Roman"/>
      <w:sz w:val="24"/>
      <w:szCs w:val="24"/>
    </w:rPr>
  </w:style>
  <w:style w:type="paragraph" w:customStyle="1" w:styleId="1276">
    <w:name w:val="样式 (中文) 黑体 小四 居中 行距: 1.5 倍行距"/>
    <w:basedOn w:val="1"/>
    <w:qFormat/>
    <w:uiPriority w:val="0"/>
    <w:pPr>
      <w:adjustRightInd w:val="0"/>
      <w:snapToGrid w:val="0"/>
      <w:jc w:val="center"/>
    </w:pPr>
    <w:rPr>
      <w:rFonts w:eastAsia="黑体" w:cs="宋体"/>
      <w:szCs w:val="20"/>
    </w:rPr>
  </w:style>
  <w:style w:type="character" w:customStyle="1" w:styleId="1277">
    <w:name w:val="NormalCharacter"/>
    <w:qFormat/>
    <w:uiPriority w:val="0"/>
  </w:style>
  <w:style w:type="paragraph" w:customStyle="1" w:styleId="1278">
    <w:name w:val="样式 宋体 四号"/>
    <w:basedOn w:val="1"/>
    <w:qFormat/>
    <w:uiPriority w:val="0"/>
    <w:pPr>
      <w:spacing w:line="312" w:lineRule="auto"/>
      <w:ind w:firstLine="720" w:firstLineChars="257"/>
    </w:pPr>
    <w:rPr>
      <w:rFonts w:ascii="仿宋_GB2312" w:hAnsi="宋体" w:eastAsia="仿宋_GB2312" w:cs="宋体"/>
      <w:sz w:val="30"/>
      <w:szCs w:val="20"/>
    </w:rPr>
  </w:style>
  <w:style w:type="paragraph" w:customStyle="1" w:styleId="1279">
    <w:name w:val="表格标题xiaowo"/>
    <w:basedOn w:val="1"/>
    <w:qFormat/>
    <w:uiPriority w:val="0"/>
    <w:pPr>
      <w:ind w:firstLine="0" w:firstLineChars="0"/>
      <w:jc w:val="center"/>
    </w:pPr>
    <w:rPr>
      <w:b/>
      <w:szCs w:val="21"/>
    </w:rPr>
  </w:style>
  <w:style w:type="paragraph" w:customStyle="1" w:styleId="1280">
    <w:name w:val="表格内容xiaowo"/>
    <w:basedOn w:val="1"/>
    <w:qFormat/>
    <w:uiPriority w:val="0"/>
    <w:pPr>
      <w:spacing w:line="240" w:lineRule="auto"/>
      <w:ind w:firstLine="0" w:firstLineChars="0"/>
    </w:pPr>
    <w:rPr>
      <w:sz w:val="21"/>
      <w:szCs w:val="21"/>
    </w:rPr>
  </w:style>
  <w:style w:type="paragraph" w:customStyle="1" w:styleId="1281">
    <w:name w:val="Titre B1"/>
    <w:basedOn w:val="1"/>
    <w:next w:val="1"/>
    <w:qFormat/>
    <w:uiPriority w:val="99"/>
    <w:pPr>
      <w:keepNext/>
      <w:keepLines/>
      <w:spacing w:before="260" w:after="260" w:line="416" w:lineRule="auto"/>
      <w:ind w:firstLine="0" w:firstLineChars="0"/>
      <w:outlineLvl w:val="1"/>
    </w:pPr>
    <w:rPr>
      <w:rFonts w:ascii="等线 Light" w:hAnsi="等线 Light" w:eastAsia="等线 Light"/>
      <w:b/>
      <w:bCs/>
      <w:sz w:val="32"/>
      <w:szCs w:val="32"/>
    </w:rPr>
  </w:style>
  <w:style w:type="paragraph" w:customStyle="1" w:styleId="1282">
    <w:name w:val="标题 51"/>
    <w:basedOn w:val="1"/>
    <w:next w:val="1"/>
    <w:qFormat/>
    <w:uiPriority w:val="9"/>
    <w:pPr>
      <w:keepNext/>
      <w:keepLines/>
      <w:spacing w:before="280" w:after="290" w:line="376" w:lineRule="auto"/>
      <w:ind w:firstLine="0" w:firstLineChars="0"/>
      <w:outlineLvl w:val="4"/>
    </w:pPr>
    <w:rPr>
      <w:rFonts w:ascii="等线" w:hAnsi="等线"/>
      <w:b/>
      <w:bCs/>
      <w:sz w:val="30"/>
      <w:szCs w:val="28"/>
    </w:rPr>
  </w:style>
  <w:style w:type="paragraph" w:customStyle="1" w:styleId="1283">
    <w:name w:val="实德题注1"/>
    <w:basedOn w:val="1"/>
    <w:next w:val="1"/>
    <w:qFormat/>
    <w:uiPriority w:val="0"/>
    <w:pPr>
      <w:spacing w:line="240" w:lineRule="auto"/>
      <w:ind w:firstLine="0" w:firstLineChars="0"/>
    </w:pPr>
    <w:rPr>
      <w:rFonts w:ascii="等线 Light" w:hAnsi="等线 Light" w:eastAsia="黑体"/>
      <w:sz w:val="20"/>
      <w:szCs w:val="20"/>
    </w:rPr>
  </w:style>
  <w:style w:type="paragraph" w:customStyle="1" w:styleId="1284">
    <w:name w:val="样式9"/>
    <w:basedOn w:val="5"/>
    <w:link w:val="1285"/>
    <w:qFormat/>
    <w:uiPriority w:val="0"/>
    <w:pPr>
      <w:autoSpaceDE/>
      <w:autoSpaceDN/>
      <w:snapToGrid/>
      <w:ind w:firstLine="0" w:firstLineChars="0"/>
      <w:jc w:val="both"/>
    </w:pPr>
    <w:rPr>
      <w:rFonts w:ascii="等线 Light" w:hAnsi="等线 Light" w:eastAsia="等线 Light"/>
      <w:snapToGrid/>
      <w:kern w:val="2"/>
    </w:rPr>
  </w:style>
  <w:style w:type="character" w:customStyle="1" w:styleId="1285">
    <w:name w:val="样式9 Char"/>
    <w:link w:val="1284"/>
    <w:qFormat/>
    <w:uiPriority w:val="0"/>
    <w:rPr>
      <w:rFonts w:ascii="等线 Light" w:hAnsi="等线 Light" w:eastAsia="等线 Light" w:cs="Times New Roman"/>
      <w:b/>
      <w:bCs/>
      <w:sz w:val="32"/>
      <w:szCs w:val="32"/>
    </w:rPr>
  </w:style>
  <w:style w:type="paragraph" w:customStyle="1" w:styleId="1286">
    <w:name w:val="列表段落1"/>
    <w:basedOn w:val="1"/>
    <w:qFormat/>
    <w:uiPriority w:val="34"/>
    <w:pPr>
      <w:spacing w:line="240" w:lineRule="auto"/>
      <w:ind w:firstLine="420"/>
    </w:pPr>
    <w:rPr>
      <w:rFonts w:ascii="等线" w:hAnsi="等线"/>
      <w:sz w:val="21"/>
      <w:szCs w:val="22"/>
    </w:rPr>
  </w:style>
  <w:style w:type="paragraph" w:customStyle="1" w:styleId="1287">
    <w:name w:val="正文图件"/>
    <w:basedOn w:val="1"/>
    <w:qFormat/>
    <w:uiPriority w:val="0"/>
    <w:pPr>
      <w:adjustRightInd w:val="0"/>
      <w:snapToGrid w:val="0"/>
      <w:spacing w:line="240" w:lineRule="auto"/>
      <w:ind w:firstLine="0" w:firstLineChars="0"/>
      <w:jc w:val="center"/>
    </w:pPr>
    <w:rPr>
      <w:rFonts w:ascii="等线" w:hAnsi="等线"/>
      <w:kern w:val="0"/>
    </w:rPr>
  </w:style>
  <w:style w:type="paragraph" w:customStyle="1" w:styleId="1288">
    <w:name w:val="常用标题2"/>
    <w:basedOn w:val="5"/>
    <w:link w:val="1289"/>
    <w:qFormat/>
    <w:uiPriority w:val="0"/>
    <w:pPr>
      <w:numPr>
        <w:ilvl w:val="1"/>
        <w:numId w:val="1"/>
      </w:numPr>
      <w:autoSpaceDE/>
      <w:autoSpaceDN/>
      <w:snapToGrid/>
      <w:ind w:firstLineChars="0"/>
      <w:jc w:val="both"/>
    </w:pPr>
    <w:rPr>
      <w:rFonts w:ascii="等线 Light" w:hAnsi="等线 Light" w:eastAsia="等线 Light"/>
      <w:snapToGrid/>
      <w:kern w:val="2"/>
    </w:rPr>
  </w:style>
  <w:style w:type="character" w:customStyle="1" w:styleId="1289">
    <w:name w:val="常用标题2 字符"/>
    <w:link w:val="1288"/>
    <w:qFormat/>
    <w:uiPriority w:val="0"/>
    <w:rPr>
      <w:rFonts w:ascii="等线 Light" w:hAnsi="等线 Light" w:eastAsia="等线 Light" w:cs="Times New Roman"/>
      <w:b/>
      <w:bCs/>
      <w:sz w:val="32"/>
      <w:szCs w:val="32"/>
    </w:rPr>
  </w:style>
  <w:style w:type="paragraph" w:customStyle="1" w:styleId="1290">
    <w:name w:val="表格alt+b"/>
    <w:basedOn w:val="1"/>
    <w:link w:val="1291"/>
    <w:qFormat/>
    <w:uiPriority w:val="0"/>
    <w:pPr>
      <w:tabs>
        <w:tab w:val="left" w:pos="1526"/>
      </w:tabs>
      <w:spacing w:beforeLines="50" w:afterLines="50"/>
      <w:ind w:firstLine="480"/>
    </w:pPr>
    <w:rPr>
      <w:rFonts w:ascii="仿宋_GB2312" w:eastAsia="仿宋_GB2312" w:cs="仿宋_GB2312"/>
      <w:b/>
      <w:color w:val="000000"/>
      <w:kern w:val="0"/>
    </w:rPr>
  </w:style>
  <w:style w:type="character" w:customStyle="1" w:styleId="1291">
    <w:name w:val="表格alt+b Char"/>
    <w:link w:val="1290"/>
    <w:qFormat/>
    <w:uiPriority w:val="0"/>
    <w:rPr>
      <w:rFonts w:ascii="仿宋_GB2312" w:hAnsi="Times New Roman" w:eastAsia="仿宋_GB2312" w:cs="仿宋_GB2312"/>
      <w:b/>
      <w:color w:val="000000"/>
      <w:kern w:val="0"/>
      <w:sz w:val="24"/>
      <w:szCs w:val="24"/>
    </w:rPr>
  </w:style>
  <w:style w:type="paragraph" w:customStyle="1" w:styleId="1292">
    <w:name w:val="样式 一、 + 首行缩进:  2 字符 段前: 0.5 行 段后: 0.5 行"/>
    <w:basedOn w:val="1"/>
    <w:qFormat/>
    <w:uiPriority w:val="0"/>
    <w:pPr>
      <w:spacing w:beforeLines="50" w:afterLines="50" w:line="700" w:lineRule="exact"/>
      <w:ind w:firstLine="624"/>
      <w:jc w:val="left"/>
      <w:outlineLvl w:val="1"/>
    </w:pPr>
    <w:rPr>
      <w:rFonts w:ascii="宋体" w:hAnsi="宋体" w:eastAsia="黑体" w:cs="宋体"/>
      <w:color w:val="000000"/>
      <w:spacing w:val="6"/>
      <w:kern w:val="0"/>
      <w:sz w:val="30"/>
      <w:szCs w:val="20"/>
      <w:lang w:val="zh-CN"/>
    </w:rPr>
  </w:style>
  <w:style w:type="paragraph" w:customStyle="1" w:styleId="1293">
    <w:name w:val="TOC 21"/>
    <w:basedOn w:val="1"/>
    <w:next w:val="1"/>
    <w:qFormat/>
    <w:uiPriority w:val="39"/>
    <w:pPr>
      <w:widowControl/>
      <w:spacing w:beforeLines="50" w:afterLines="50" w:line="259" w:lineRule="auto"/>
      <w:ind w:left="220" w:firstLine="480"/>
      <w:jc w:val="left"/>
    </w:pPr>
    <w:rPr>
      <w:rFonts w:ascii="仿宋_GB2312" w:hAnsi="等线" w:eastAsia="仿宋_GB2312"/>
      <w:color w:val="000000"/>
      <w:kern w:val="0"/>
      <w:sz w:val="22"/>
    </w:rPr>
  </w:style>
  <w:style w:type="paragraph" w:customStyle="1" w:styleId="1294">
    <w:name w:val="TOC 11"/>
    <w:basedOn w:val="1"/>
    <w:next w:val="1"/>
    <w:qFormat/>
    <w:uiPriority w:val="39"/>
    <w:pPr>
      <w:widowControl/>
      <w:spacing w:beforeLines="50" w:afterLines="50" w:line="259" w:lineRule="auto"/>
      <w:ind w:firstLine="480"/>
      <w:jc w:val="left"/>
    </w:pPr>
    <w:rPr>
      <w:rFonts w:ascii="仿宋_GB2312" w:hAnsi="等线" w:eastAsia="仿宋_GB2312"/>
      <w:color w:val="000000"/>
      <w:kern w:val="0"/>
      <w:sz w:val="22"/>
    </w:rPr>
  </w:style>
  <w:style w:type="paragraph" w:customStyle="1" w:styleId="1295">
    <w:name w:val="TOC 31"/>
    <w:basedOn w:val="1"/>
    <w:next w:val="1"/>
    <w:qFormat/>
    <w:uiPriority w:val="39"/>
    <w:pPr>
      <w:widowControl/>
      <w:spacing w:beforeLines="50" w:afterLines="50" w:line="259" w:lineRule="auto"/>
      <w:ind w:left="440" w:firstLine="480"/>
      <w:jc w:val="left"/>
    </w:pPr>
    <w:rPr>
      <w:rFonts w:ascii="仿宋_GB2312" w:hAnsi="等线" w:eastAsia="仿宋_GB2312"/>
      <w:color w:val="000000"/>
      <w:kern w:val="0"/>
      <w:sz w:val="22"/>
    </w:rPr>
  </w:style>
  <w:style w:type="character" w:customStyle="1" w:styleId="1296">
    <w:name w:val="超链接1"/>
    <w:qFormat/>
    <w:uiPriority w:val="99"/>
    <w:rPr>
      <w:color w:val="0563C1"/>
      <w:u w:val="single"/>
    </w:rPr>
  </w:style>
  <w:style w:type="paragraph" w:customStyle="1" w:styleId="1297">
    <w:name w:val="TOC 41"/>
    <w:basedOn w:val="1"/>
    <w:next w:val="1"/>
    <w:qFormat/>
    <w:uiPriority w:val="39"/>
    <w:pPr>
      <w:spacing w:beforeLines="50" w:afterLines="50"/>
      <w:ind w:left="1260" w:leftChars="600" w:firstLine="480"/>
    </w:pPr>
    <w:rPr>
      <w:rFonts w:ascii="仿宋_GB2312" w:hAnsi="等线" w:eastAsia="仿宋_GB2312" w:cs="仿宋_GB2312"/>
      <w:color w:val="000000"/>
      <w:kern w:val="0"/>
    </w:rPr>
  </w:style>
  <w:style w:type="paragraph" w:customStyle="1" w:styleId="1298">
    <w:name w:val="TOC 51"/>
    <w:basedOn w:val="1"/>
    <w:next w:val="1"/>
    <w:qFormat/>
    <w:uiPriority w:val="39"/>
    <w:pPr>
      <w:spacing w:beforeLines="50" w:afterLines="50"/>
      <w:ind w:left="1680" w:leftChars="800" w:firstLine="480"/>
    </w:pPr>
    <w:rPr>
      <w:rFonts w:ascii="仿宋_GB2312" w:hAnsi="等线" w:eastAsia="仿宋_GB2312" w:cs="仿宋_GB2312"/>
      <w:color w:val="000000"/>
      <w:kern w:val="0"/>
    </w:rPr>
  </w:style>
  <w:style w:type="paragraph" w:customStyle="1" w:styleId="1299">
    <w:name w:val="TOC 61"/>
    <w:basedOn w:val="1"/>
    <w:next w:val="1"/>
    <w:qFormat/>
    <w:uiPriority w:val="39"/>
    <w:pPr>
      <w:spacing w:beforeLines="50" w:afterLines="50"/>
      <w:ind w:left="2100" w:leftChars="1000" w:firstLine="480"/>
    </w:pPr>
    <w:rPr>
      <w:rFonts w:ascii="仿宋_GB2312" w:hAnsi="等线" w:eastAsia="仿宋_GB2312" w:cs="仿宋_GB2312"/>
      <w:color w:val="000000"/>
      <w:kern w:val="0"/>
    </w:rPr>
  </w:style>
  <w:style w:type="paragraph" w:customStyle="1" w:styleId="1300">
    <w:name w:val="TOC 71"/>
    <w:basedOn w:val="1"/>
    <w:next w:val="1"/>
    <w:qFormat/>
    <w:uiPriority w:val="39"/>
    <w:pPr>
      <w:spacing w:beforeLines="50" w:afterLines="50"/>
      <w:ind w:left="2520" w:leftChars="1200" w:firstLine="480"/>
    </w:pPr>
    <w:rPr>
      <w:rFonts w:ascii="仿宋_GB2312" w:hAnsi="等线" w:eastAsia="仿宋_GB2312" w:cs="仿宋_GB2312"/>
      <w:color w:val="000000"/>
      <w:kern w:val="0"/>
    </w:rPr>
  </w:style>
  <w:style w:type="paragraph" w:customStyle="1" w:styleId="1301">
    <w:name w:val="TOC 81"/>
    <w:basedOn w:val="1"/>
    <w:next w:val="1"/>
    <w:qFormat/>
    <w:uiPriority w:val="39"/>
    <w:pPr>
      <w:spacing w:beforeLines="50" w:afterLines="50"/>
      <w:ind w:left="2940" w:leftChars="1400" w:firstLine="480"/>
    </w:pPr>
    <w:rPr>
      <w:rFonts w:ascii="仿宋_GB2312" w:hAnsi="等线" w:eastAsia="仿宋_GB2312" w:cs="仿宋_GB2312"/>
      <w:color w:val="000000"/>
      <w:kern w:val="0"/>
    </w:rPr>
  </w:style>
  <w:style w:type="paragraph" w:customStyle="1" w:styleId="1302">
    <w:name w:val="TOC 91"/>
    <w:basedOn w:val="1"/>
    <w:next w:val="1"/>
    <w:qFormat/>
    <w:uiPriority w:val="39"/>
    <w:pPr>
      <w:spacing w:beforeLines="50" w:afterLines="50"/>
      <w:ind w:left="3360" w:leftChars="1600" w:firstLine="480"/>
    </w:pPr>
    <w:rPr>
      <w:rFonts w:ascii="仿宋_GB2312" w:hAnsi="等线" w:eastAsia="仿宋_GB2312" w:cs="仿宋_GB2312"/>
      <w:color w:val="000000"/>
      <w:kern w:val="0"/>
    </w:rPr>
  </w:style>
  <w:style w:type="paragraph" w:customStyle="1" w:styleId="1303">
    <w:name w:val="脚注文本1"/>
    <w:basedOn w:val="1"/>
    <w:next w:val="47"/>
    <w:qFormat/>
    <w:uiPriority w:val="0"/>
    <w:pPr>
      <w:snapToGrid w:val="0"/>
      <w:spacing w:beforeLines="50" w:afterLines="50"/>
      <w:jc w:val="left"/>
    </w:pPr>
    <w:rPr>
      <w:sz w:val="18"/>
      <w:szCs w:val="18"/>
    </w:rPr>
  </w:style>
  <w:style w:type="paragraph" w:customStyle="1" w:styleId="1304">
    <w:name w:val="标准文字"/>
    <w:basedOn w:val="1"/>
    <w:link w:val="1305"/>
    <w:qFormat/>
    <w:uiPriority w:val="99"/>
    <w:pPr>
      <w:spacing w:beforeLines="50" w:afterLines="50"/>
      <w:ind w:firstLine="600"/>
    </w:pPr>
    <w:rPr>
      <w:rFonts w:eastAsia="仿宋_GB2312"/>
      <w:color w:val="000000"/>
      <w:kern w:val="0"/>
      <w:sz w:val="30"/>
      <w:szCs w:val="30"/>
    </w:rPr>
  </w:style>
  <w:style w:type="character" w:customStyle="1" w:styleId="1305">
    <w:name w:val="标准文字 Char"/>
    <w:link w:val="1304"/>
    <w:qFormat/>
    <w:locked/>
    <w:uiPriority w:val="99"/>
    <w:rPr>
      <w:rFonts w:ascii="Times New Roman" w:hAnsi="Times New Roman" w:eastAsia="仿宋_GB2312" w:cs="Times New Roman"/>
      <w:color w:val="000000"/>
      <w:kern w:val="0"/>
      <w:sz w:val="30"/>
      <w:szCs w:val="30"/>
    </w:rPr>
  </w:style>
  <w:style w:type="character" w:customStyle="1" w:styleId="1306">
    <w:name w:val="表格标题11 Char"/>
    <w:link w:val="1307"/>
    <w:qFormat/>
    <w:locked/>
    <w:uiPriority w:val="0"/>
    <w:rPr>
      <w:rFonts w:ascii="黑体" w:hAnsi="黑体" w:eastAsia="黑体" w:cs="宋体"/>
      <w:sz w:val="24"/>
      <w:szCs w:val="28"/>
    </w:rPr>
  </w:style>
  <w:style w:type="paragraph" w:customStyle="1" w:styleId="1307">
    <w:name w:val="表格标题11"/>
    <w:basedOn w:val="1"/>
    <w:link w:val="1306"/>
    <w:qFormat/>
    <w:uiPriority w:val="0"/>
    <w:pPr>
      <w:spacing w:line="440" w:lineRule="exact"/>
      <w:ind w:firstLine="0" w:firstLineChars="0"/>
      <w:jc w:val="center"/>
    </w:pPr>
    <w:rPr>
      <w:rFonts w:ascii="黑体" w:hAnsi="黑体" w:eastAsia="黑体" w:cs="宋体"/>
      <w:szCs w:val="28"/>
    </w:rPr>
  </w:style>
  <w:style w:type="paragraph" w:customStyle="1" w:styleId="1308">
    <w:name w:val="规划正文"/>
    <w:basedOn w:val="1"/>
    <w:qFormat/>
    <w:uiPriority w:val="0"/>
    <w:pPr>
      <w:spacing w:line="480" w:lineRule="exact"/>
    </w:pPr>
    <w:rPr>
      <w:rFonts w:ascii="仿宋_GB2312" w:eastAsia="仿宋_GB2312"/>
      <w:sz w:val="30"/>
      <w:szCs w:val="30"/>
    </w:rPr>
  </w:style>
  <w:style w:type="character" w:customStyle="1" w:styleId="1309">
    <w:name w:val="font41"/>
    <w:qFormat/>
    <w:uiPriority w:val="0"/>
    <w:rPr>
      <w:rFonts w:hint="default" w:ascii="Times New Roman" w:hAnsi="Times New Roman" w:cs="Times New Roman"/>
      <w:color w:val="000000"/>
      <w:sz w:val="20"/>
      <w:szCs w:val="20"/>
      <w:u w:val="none"/>
    </w:rPr>
  </w:style>
  <w:style w:type="character" w:customStyle="1" w:styleId="1310">
    <w:name w:val="mod-title11"/>
    <w:qFormat/>
    <w:uiPriority w:val="0"/>
  </w:style>
  <w:style w:type="paragraph" w:customStyle="1" w:styleId="1311">
    <w:name w:val="z正文"/>
    <w:basedOn w:val="1"/>
    <w:qFormat/>
    <w:uiPriority w:val="0"/>
    <w:pPr>
      <w:adjustRightInd w:val="0"/>
      <w:snapToGrid w:val="0"/>
      <w:ind w:firstLine="567" w:firstLineChars="0"/>
    </w:pPr>
    <w:rPr>
      <w:rFonts w:ascii="仿宋_GB2312" w:hAnsi="Tahoma" w:eastAsia="仿宋_GB2312" w:cs="Tahoma"/>
      <w:color w:val="000000"/>
      <w:kern w:val="0"/>
      <w:sz w:val="30"/>
      <w:szCs w:val="30"/>
    </w:rPr>
  </w:style>
  <w:style w:type="paragraph" w:customStyle="1" w:styleId="1312">
    <w:name w:val="金皇-表格内文字"/>
    <w:basedOn w:val="1"/>
    <w:qFormat/>
    <w:uiPriority w:val="99"/>
    <w:pPr>
      <w:tabs>
        <w:tab w:val="left" w:pos="0"/>
      </w:tabs>
      <w:adjustRightInd w:val="0"/>
      <w:snapToGrid w:val="0"/>
      <w:spacing w:line="240" w:lineRule="auto"/>
      <w:ind w:firstLine="0" w:firstLineChars="0"/>
      <w:jc w:val="center"/>
    </w:pPr>
    <w:rPr>
      <w:snapToGrid w:val="0"/>
      <w:sz w:val="21"/>
      <w:szCs w:val="21"/>
    </w:rPr>
  </w:style>
  <w:style w:type="paragraph" w:customStyle="1" w:styleId="1313">
    <w:name w:val="SB"/>
    <w:basedOn w:val="1"/>
    <w:qFormat/>
    <w:uiPriority w:val="99"/>
    <w:pPr>
      <w:adjustRightInd w:val="0"/>
      <w:snapToGrid w:val="0"/>
      <w:spacing w:line="240" w:lineRule="auto"/>
      <w:ind w:firstLine="0" w:firstLineChars="0"/>
      <w:jc w:val="center"/>
    </w:pPr>
    <w:rPr>
      <w:kern w:val="0"/>
      <w:sz w:val="21"/>
      <w:szCs w:val="21"/>
    </w:rPr>
  </w:style>
  <w:style w:type="paragraph" w:customStyle="1" w:styleId="1314">
    <w:name w:val="SZ"/>
    <w:basedOn w:val="1"/>
    <w:qFormat/>
    <w:uiPriority w:val="99"/>
    <w:pPr>
      <w:spacing w:line="300" w:lineRule="auto"/>
      <w:ind w:firstLine="422" w:firstLineChars="0"/>
    </w:pPr>
    <w:rPr>
      <w:rFonts w:ascii="仿宋_GB2312" w:eastAsia="仿宋_GB2312"/>
      <w:color w:val="000000"/>
      <w:sz w:val="28"/>
      <w:szCs w:val="21"/>
    </w:rPr>
  </w:style>
  <w:style w:type="character" w:customStyle="1" w:styleId="1315">
    <w:name w:val="无间隔 字符"/>
    <w:qFormat/>
    <w:uiPriority w:val="1"/>
    <w:rPr>
      <w:rFonts w:ascii="Times New Roman" w:hAnsi="Times New Roman" w:eastAsia="宋体"/>
      <w:b/>
      <w:sz w:val="32"/>
    </w:rPr>
  </w:style>
  <w:style w:type="character" w:customStyle="1" w:styleId="1316">
    <w:name w:val="标题 2 字符2"/>
    <w:qFormat/>
    <w:uiPriority w:val="9"/>
    <w:rPr>
      <w:rFonts w:ascii="Times New Roman" w:hAnsi="Times New Roman" w:eastAsia="黑体" w:cs="Times New Roman"/>
      <w:bCs/>
      <w:kern w:val="0"/>
      <w:sz w:val="32"/>
      <w:szCs w:val="32"/>
    </w:rPr>
  </w:style>
  <w:style w:type="character" w:customStyle="1" w:styleId="1317">
    <w:name w:val="页脚 字符2"/>
    <w:qFormat/>
    <w:uiPriority w:val="99"/>
    <w:rPr>
      <w:rFonts w:ascii="等线" w:hAnsi="等线" w:eastAsia="等线" w:cs="Times New Roman"/>
      <w:kern w:val="0"/>
      <w:sz w:val="18"/>
      <w:szCs w:val="18"/>
    </w:rPr>
  </w:style>
  <w:style w:type="character" w:customStyle="1" w:styleId="1318">
    <w:name w:val="批注文字 字符2"/>
    <w:qFormat/>
    <w:uiPriority w:val="99"/>
    <w:rPr>
      <w:rFonts w:ascii="等线" w:hAnsi="等线" w:eastAsia="等线" w:cs="Times New Roman"/>
    </w:rPr>
  </w:style>
  <w:style w:type="character" w:customStyle="1" w:styleId="1319">
    <w:name w:val="题注 字符1"/>
    <w:qFormat/>
    <w:locked/>
    <w:uiPriority w:val="0"/>
    <w:rPr>
      <w:rFonts w:ascii="等线 Light" w:hAnsi="等线 Light" w:eastAsia="黑体" w:cs="Times New Roman"/>
      <w:kern w:val="0"/>
      <w:sz w:val="20"/>
      <w:szCs w:val="20"/>
    </w:rPr>
  </w:style>
  <w:style w:type="paragraph" w:customStyle="1" w:styleId="1320">
    <w:name w:val="正文-宋体"/>
    <w:basedOn w:val="1"/>
    <w:qFormat/>
    <w:uiPriority w:val="99"/>
    <w:pPr>
      <w:ind w:left="100" w:leftChars="100" w:firstLine="0" w:firstLineChars="0"/>
    </w:pPr>
    <w:rPr>
      <w:rFonts w:eastAsia="仿宋_GB2312"/>
      <w:bCs/>
      <w:szCs w:val="28"/>
    </w:rPr>
  </w:style>
  <w:style w:type="character" w:customStyle="1" w:styleId="1321">
    <w:name w:val="题注 Char1"/>
    <w:qFormat/>
    <w:locked/>
    <w:uiPriority w:val="0"/>
    <w:rPr>
      <w:rFonts w:ascii="等线 Light" w:hAnsi="等线 Light" w:eastAsia="黑体" w:cs="Times New Roman"/>
      <w:sz w:val="20"/>
      <w:szCs w:val="20"/>
    </w:rPr>
  </w:style>
  <w:style w:type="character" w:customStyle="1" w:styleId="1322">
    <w:name w:val="日期 Char3"/>
    <w:qFormat/>
    <w:uiPriority w:val="99"/>
  </w:style>
  <w:style w:type="character" w:customStyle="1" w:styleId="1323">
    <w:name w:val="正文文本 Char3"/>
    <w:qFormat/>
    <w:uiPriority w:val="0"/>
    <w:rPr>
      <w:rFonts w:ascii="Times New Roman" w:hAnsi="Times New Roman" w:eastAsia="宋体" w:cs="Times New Roman"/>
      <w:sz w:val="44"/>
      <w:szCs w:val="20"/>
    </w:rPr>
  </w:style>
  <w:style w:type="character" w:customStyle="1" w:styleId="1324">
    <w:name w:val="纯文本 Char3"/>
    <w:qFormat/>
    <w:uiPriority w:val="0"/>
    <w:rPr>
      <w:rFonts w:ascii="宋体" w:hAnsi="Courier New" w:eastAsia="宋体" w:cs="Times New Roman"/>
      <w:sz w:val="28"/>
      <w:szCs w:val="20"/>
    </w:rPr>
  </w:style>
  <w:style w:type="character" w:customStyle="1" w:styleId="1325">
    <w:name w:val="无间隔 Char1"/>
    <w:qFormat/>
    <w:uiPriority w:val="1"/>
    <w:rPr>
      <w:rFonts w:ascii="Calibri" w:hAnsi="Calibri" w:eastAsia="宋体" w:cs="Times New Roman"/>
      <w:kern w:val="0"/>
      <w:sz w:val="22"/>
    </w:rPr>
  </w:style>
  <w:style w:type="paragraph" w:customStyle="1" w:styleId="1326">
    <w:name w:val="正文alt+z"/>
    <w:basedOn w:val="1"/>
    <w:link w:val="1327"/>
    <w:qFormat/>
    <w:uiPriority w:val="0"/>
    <w:pPr>
      <w:overflowPunct w:val="0"/>
      <w:topLinePunct/>
      <w:spacing w:before="156" w:afterLines="50"/>
    </w:pPr>
    <w:rPr>
      <w:rFonts w:eastAsia="仿宋_GB2312"/>
      <w:color w:val="000000"/>
      <w:kern w:val="0"/>
      <w:sz w:val="28"/>
      <w:szCs w:val="28"/>
    </w:rPr>
  </w:style>
  <w:style w:type="character" w:customStyle="1" w:styleId="1327">
    <w:name w:val="正文alt+z Char"/>
    <w:link w:val="1326"/>
    <w:qFormat/>
    <w:uiPriority w:val="0"/>
    <w:rPr>
      <w:rFonts w:ascii="Times New Roman" w:hAnsi="Times New Roman" w:eastAsia="仿宋_GB2312" w:cs="Times New Roman"/>
      <w:color w:val="000000"/>
      <w:kern w:val="0"/>
      <w:sz w:val="28"/>
      <w:szCs w:val="28"/>
    </w:rPr>
  </w:style>
  <w:style w:type="paragraph" w:customStyle="1" w:styleId="1328">
    <w:name w:val="标题  1"/>
    <w:basedOn w:val="4"/>
    <w:link w:val="1329"/>
    <w:qFormat/>
    <w:uiPriority w:val="0"/>
    <w:pPr>
      <w:snapToGrid w:val="0"/>
      <w:spacing w:before="156" w:afterLines="50" w:afterAutospacing="0" w:line="360" w:lineRule="auto"/>
      <w:ind w:firstLine="0" w:firstLineChars="0"/>
      <w:jc w:val="both"/>
    </w:pPr>
    <w:rPr>
      <w:rFonts w:ascii="Times New Roman" w:hAnsi="Times New Roman"/>
      <w:color w:val="auto"/>
      <w:spacing w:val="-4"/>
      <w:kern w:val="44"/>
      <w:sz w:val="36"/>
      <w:szCs w:val="36"/>
    </w:rPr>
  </w:style>
  <w:style w:type="character" w:customStyle="1" w:styleId="1329">
    <w:name w:val="标题  1 字符"/>
    <w:link w:val="1328"/>
    <w:qFormat/>
    <w:uiPriority w:val="0"/>
    <w:rPr>
      <w:rFonts w:ascii="Times New Roman" w:hAnsi="Times New Roman" w:eastAsia="黑体" w:cs="Times New Roman"/>
      <w:b/>
      <w:spacing w:val="-4"/>
      <w:kern w:val="44"/>
      <w:sz w:val="36"/>
      <w:szCs w:val="36"/>
    </w:rPr>
  </w:style>
  <w:style w:type="paragraph" w:customStyle="1" w:styleId="1330">
    <w:name w:val="！正文"/>
    <w:basedOn w:val="1"/>
    <w:qFormat/>
    <w:uiPriority w:val="0"/>
    <w:pPr>
      <w:adjustRightInd w:val="0"/>
      <w:ind w:firstLine="560"/>
    </w:pPr>
    <w:rPr>
      <w:rFonts w:eastAsia="仿宋_GB2312"/>
      <w:sz w:val="30"/>
      <w:szCs w:val="28"/>
    </w:rPr>
  </w:style>
  <w:style w:type="paragraph" w:customStyle="1" w:styleId="1331">
    <w:name w:val="一级标题1"/>
    <w:basedOn w:val="254"/>
    <w:qFormat/>
    <w:uiPriority w:val="0"/>
  </w:style>
  <w:style w:type="paragraph" w:customStyle="1" w:styleId="1332">
    <w:name w:val="2单位"/>
    <w:basedOn w:val="1"/>
    <w:qFormat/>
    <w:uiPriority w:val="99"/>
    <w:pPr>
      <w:tabs>
        <w:tab w:val="left" w:pos="1575"/>
      </w:tabs>
      <w:spacing w:line="240" w:lineRule="auto"/>
      <w:ind w:firstLine="437" w:firstLineChars="0"/>
      <w:jc w:val="right"/>
    </w:pPr>
    <w:rPr>
      <w:rFonts w:ascii="宋体" w:hAnsi="宋体"/>
      <w:spacing w:val="4"/>
      <w:sz w:val="21"/>
      <w:szCs w:val="21"/>
    </w:rPr>
  </w:style>
  <w:style w:type="paragraph" w:customStyle="1" w:styleId="1333">
    <w:name w:val="1.1.1"/>
    <w:next w:val="1"/>
    <w:link w:val="1334"/>
    <w:qFormat/>
    <w:uiPriority w:val="0"/>
    <w:pPr>
      <w:adjustRightInd w:val="0"/>
      <w:snapToGrid w:val="0"/>
      <w:spacing w:line="360" w:lineRule="auto"/>
      <w:outlineLvl w:val="4"/>
    </w:pPr>
    <w:rPr>
      <w:rFonts w:ascii="Times New Roman" w:hAnsi="Times New Roman" w:eastAsia="宋体" w:cs="Times New Roman"/>
      <w:sz w:val="24"/>
      <w:lang w:val="en-US" w:eastAsia="zh-CN" w:bidi="ar-SA"/>
    </w:rPr>
  </w:style>
  <w:style w:type="character" w:customStyle="1" w:styleId="1334">
    <w:name w:val="1.1.1 字符"/>
    <w:link w:val="1333"/>
    <w:qFormat/>
    <w:uiPriority w:val="0"/>
    <w:rPr>
      <w:rFonts w:ascii="Times New Roman" w:hAnsi="Times New Roman" w:eastAsia="宋体" w:cs="Times New Roman"/>
      <w:kern w:val="0"/>
      <w:sz w:val="24"/>
      <w:szCs w:val="20"/>
    </w:rPr>
  </w:style>
  <w:style w:type="character" w:customStyle="1" w:styleId="1335">
    <w:name w:val="二级标题2 字符"/>
    <w:link w:val="1336"/>
    <w:qFormat/>
    <w:locked/>
    <w:uiPriority w:val="0"/>
    <w:rPr>
      <w:rFonts w:ascii="Times New Roman" w:hAnsi="Times New Roman" w:eastAsia="黑体" w:cs="Times New Roman"/>
      <w:bCs/>
      <w:snapToGrid w:val="0"/>
      <w:kern w:val="0"/>
      <w:sz w:val="32"/>
      <w:szCs w:val="32"/>
    </w:rPr>
  </w:style>
  <w:style w:type="paragraph" w:customStyle="1" w:styleId="1336">
    <w:name w:val="二级标题2"/>
    <w:basedOn w:val="1"/>
    <w:link w:val="1335"/>
    <w:qFormat/>
    <w:uiPriority w:val="0"/>
    <w:pPr>
      <w:keepNext/>
      <w:keepLines/>
      <w:autoSpaceDE w:val="0"/>
      <w:autoSpaceDN w:val="0"/>
      <w:spacing w:before="156" w:beforeLines="50" w:after="156" w:afterLines="50"/>
      <w:ind w:firstLine="0" w:firstLineChars="0"/>
      <w:outlineLvl w:val="1"/>
    </w:pPr>
    <w:rPr>
      <w:rFonts w:eastAsia="黑体"/>
      <w:bCs/>
      <w:snapToGrid w:val="0"/>
      <w:kern w:val="0"/>
      <w:sz w:val="32"/>
      <w:szCs w:val="32"/>
    </w:rPr>
  </w:style>
  <w:style w:type="character" w:customStyle="1" w:styleId="1337">
    <w:name w:val="1、 Char"/>
    <w:link w:val="1338"/>
    <w:qFormat/>
    <w:locked/>
    <w:uiPriority w:val="0"/>
    <w:rPr>
      <w:sz w:val="24"/>
      <w:szCs w:val="24"/>
    </w:rPr>
  </w:style>
  <w:style w:type="paragraph" w:customStyle="1" w:styleId="1338">
    <w:name w:val="1、"/>
    <w:basedOn w:val="1"/>
    <w:link w:val="1337"/>
    <w:qFormat/>
    <w:uiPriority w:val="0"/>
    <w:pPr>
      <w:spacing w:beforeLines="50" w:afterLines="50" w:line="480" w:lineRule="exact"/>
      <w:ind w:firstLine="480"/>
    </w:pPr>
    <w:rPr>
      <w:rFonts w:asciiTheme="minorHAnsi" w:hAnsiTheme="minorHAnsi" w:eastAsiaTheme="minorEastAsia" w:cstheme="minorBidi"/>
    </w:rPr>
  </w:style>
  <w:style w:type="character" w:customStyle="1" w:styleId="1339">
    <w:name w:val="（1） Char"/>
    <w:link w:val="1340"/>
    <w:qFormat/>
    <w:locked/>
    <w:uiPriority w:val="0"/>
    <w:rPr>
      <w:b/>
      <w:sz w:val="24"/>
      <w:szCs w:val="24"/>
    </w:rPr>
  </w:style>
  <w:style w:type="paragraph" w:customStyle="1" w:styleId="1340">
    <w:name w:val="（1）"/>
    <w:basedOn w:val="1"/>
    <w:link w:val="1339"/>
    <w:qFormat/>
    <w:uiPriority w:val="0"/>
    <w:pPr>
      <w:spacing w:beforeLines="50" w:afterLines="50" w:line="480" w:lineRule="exact"/>
      <w:ind w:firstLine="482"/>
      <w:outlineLvl w:val="3"/>
    </w:pPr>
    <w:rPr>
      <w:rFonts w:asciiTheme="minorHAnsi" w:hAnsiTheme="minorHAnsi" w:eastAsiaTheme="minorEastAsia" w:cstheme="minorBidi"/>
      <w:b/>
    </w:rPr>
  </w:style>
  <w:style w:type="paragraph" w:customStyle="1" w:styleId="1341">
    <w:name w:val="000附表标题"/>
    <w:qFormat/>
    <w:uiPriority w:val="0"/>
    <w:pPr>
      <w:widowControl w:val="0"/>
      <w:snapToGrid w:val="0"/>
      <w:spacing w:before="100" w:beforeAutospacing="1" w:after="100" w:afterAutospacing="1" w:line="360" w:lineRule="auto"/>
      <w:jc w:val="center"/>
      <w:outlineLvl w:val="1"/>
    </w:pPr>
    <w:rPr>
      <w:rFonts w:ascii="楷体_GB2312" w:hAnsi="Times New Roman" w:eastAsia="楷体_GB2312" w:cs="Times New Roman"/>
      <w:b/>
      <w:bCs/>
      <w:sz w:val="30"/>
      <w:szCs w:val="30"/>
      <w:lang w:val="en-US" w:eastAsia="zh-CN" w:bidi="ar-SA"/>
    </w:rPr>
  </w:style>
  <w:style w:type="paragraph" w:customStyle="1" w:styleId="1342">
    <w:name w:val="标题5"/>
    <w:basedOn w:val="1"/>
    <w:qFormat/>
    <w:uiPriority w:val="99"/>
    <w:pPr>
      <w:spacing w:line="240" w:lineRule="auto"/>
      <w:ind w:firstLine="562" w:firstLineChars="0"/>
      <w:outlineLvl w:val="4"/>
    </w:pPr>
    <w:rPr>
      <w:rFonts w:ascii="等线" w:hAnsi="等线" w:eastAsia="等线"/>
      <w:b/>
      <w:sz w:val="21"/>
      <w:szCs w:val="22"/>
    </w:rPr>
  </w:style>
  <w:style w:type="character" w:customStyle="1" w:styleId="1343">
    <w:name w:val="标题 4 字符2"/>
    <w:qFormat/>
    <w:uiPriority w:val="0"/>
    <w:rPr>
      <w:rFonts w:ascii="Times New Roman" w:hAnsi="Times New Roman" w:eastAsia="仿宋_GB2312" w:cs="Times New Roman"/>
      <w:b/>
      <w:bCs/>
      <w:kern w:val="0"/>
      <w:sz w:val="28"/>
      <w:szCs w:val="28"/>
    </w:rPr>
  </w:style>
  <w:style w:type="paragraph" w:customStyle="1" w:styleId="1344">
    <w:name w:val="_Style 163"/>
    <w:unhideWhenUsed/>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345">
    <w:name w:val="Char Char Char Char Char Char Char Char Char Char Char Char Char Char Char Char Char Char Char Char Char Char Char Char"/>
    <w:basedOn w:val="1"/>
    <w:qFormat/>
    <w:uiPriority w:val="0"/>
    <w:rPr>
      <w:rFonts w:ascii="宋体" w:hAnsi="宋体" w:eastAsia="仿宋_GB2312" w:cs="宋体"/>
      <w:szCs w:val="32"/>
    </w:rPr>
  </w:style>
  <w:style w:type="paragraph" w:customStyle="1" w:styleId="1346">
    <w:name w:val="默认段落字体 Para Char"/>
    <w:basedOn w:val="1"/>
    <w:qFormat/>
    <w:uiPriority w:val="0"/>
    <w:pPr>
      <w:spacing w:line="400" w:lineRule="exact"/>
      <w:ind w:firstLine="0" w:firstLineChars="0"/>
    </w:pPr>
    <w:rPr>
      <w:rFonts w:ascii="Tahoma" w:hAnsi="Tahoma" w:cs="Tahoma"/>
    </w:rPr>
  </w:style>
  <w:style w:type="character" w:customStyle="1" w:styleId="1347">
    <w:name w:val="五年报正文 Char"/>
    <w:link w:val="1348"/>
    <w:qFormat/>
    <w:uiPriority w:val="0"/>
    <w:rPr>
      <w:rFonts w:ascii="Times New Roman" w:hAnsi="Times New Roman" w:eastAsia="仿宋"/>
      <w:sz w:val="24"/>
      <w:szCs w:val="24"/>
    </w:rPr>
  </w:style>
  <w:style w:type="paragraph" w:customStyle="1" w:styleId="1348">
    <w:name w:val="五年报正文"/>
    <w:basedOn w:val="1"/>
    <w:link w:val="1347"/>
    <w:qFormat/>
    <w:uiPriority w:val="0"/>
    <w:pPr>
      <w:spacing w:beforeLines="50"/>
      <w:ind w:firstLine="420" w:firstLineChars="0"/>
    </w:pPr>
    <w:rPr>
      <w:rFonts w:eastAsia="仿宋" w:cstheme="minorBidi"/>
      <w:shd w:val="clear" w:color="auto" w:fill="FFFFFF"/>
    </w:rPr>
  </w:style>
  <w:style w:type="character" w:customStyle="1" w:styleId="1349">
    <w:name w:val="5n表格 Char"/>
    <w:link w:val="1350"/>
    <w:qFormat/>
    <w:uiPriority w:val="0"/>
    <w:rPr>
      <w:rFonts w:ascii="宋体" w:hAnsi="宋体" w:eastAsia="宋体"/>
      <w:sz w:val="18"/>
      <w:szCs w:val="24"/>
    </w:rPr>
  </w:style>
  <w:style w:type="paragraph" w:customStyle="1" w:styleId="1350">
    <w:name w:val="5n表格"/>
    <w:basedOn w:val="1"/>
    <w:next w:val="1"/>
    <w:link w:val="1349"/>
    <w:qFormat/>
    <w:uiPriority w:val="0"/>
    <w:pPr>
      <w:autoSpaceDE w:val="0"/>
      <w:autoSpaceDN w:val="0"/>
      <w:adjustRightInd w:val="0"/>
      <w:spacing w:line="240" w:lineRule="atLeast"/>
      <w:ind w:firstLine="0" w:firstLineChars="0"/>
      <w:jc w:val="center"/>
    </w:pPr>
    <w:rPr>
      <w:rFonts w:ascii="宋体" w:hAnsi="宋体" w:cstheme="minorBidi"/>
      <w:sz w:val="18"/>
    </w:rPr>
  </w:style>
  <w:style w:type="character" w:customStyle="1" w:styleId="1351">
    <w:name w:val="五年报图表标题 Char"/>
    <w:link w:val="1352"/>
    <w:qFormat/>
    <w:uiPriority w:val="0"/>
    <w:rPr>
      <w:rFonts w:ascii="Times New Roman" w:hAnsi="Times New Roman" w:eastAsia="仿宋"/>
      <w:b/>
      <w:color w:val="000000"/>
      <w:szCs w:val="21"/>
    </w:rPr>
  </w:style>
  <w:style w:type="paragraph" w:customStyle="1" w:styleId="1352">
    <w:name w:val="五年报图表标题"/>
    <w:basedOn w:val="1"/>
    <w:link w:val="1351"/>
    <w:qFormat/>
    <w:uiPriority w:val="0"/>
    <w:pPr>
      <w:ind w:firstLine="0" w:firstLineChars="0"/>
      <w:jc w:val="center"/>
    </w:pPr>
    <w:rPr>
      <w:rFonts w:eastAsia="仿宋" w:cstheme="minorBidi"/>
      <w:b/>
      <w:color w:val="000000"/>
      <w:sz w:val="21"/>
      <w:szCs w:val="21"/>
    </w:rPr>
  </w:style>
  <w:style w:type="character" w:customStyle="1" w:styleId="1353">
    <w:name w:val="5n表格头 Char"/>
    <w:link w:val="1354"/>
    <w:qFormat/>
    <w:uiPriority w:val="0"/>
    <w:rPr>
      <w:rFonts w:ascii="Times New Roman" w:hAnsi="Times New Roman" w:eastAsia="仿宋"/>
      <w:b/>
      <w:color w:val="000000"/>
      <w:szCs w:val="21"/>
    </w:rPr>
  </w:style>
  <w:style w:type="paragraph" w:customStyle="1" w:styleId="1354">
    <w:name w:val="5n表格头"/>
    <w:basedOn w:val="1"/>
    <w:next w:val="1"/>
    <w:link w:val="1353"/>
    <w:qFormat/>
    <w:uiPriority w:val="0"/>
    <w:pPr>
      <w:spacing w:beforeLines="100" w:afterLines="50" w:line="240" w:lineRule="exact"/>
      <w:ind w:firstLine="0" w:firstLineChars="0"/>
      <w:jc w:val="center"/>
    </w:pPr>
    <w:rPr>
      <w:rFonts w:eastAsia="仿宋" w:cstheme="minorBidi"/>
      <w:b/>
      <w:color w:val="000000"/>
      <w:sz w:val="21"/>
      <w:szCs w:val="21"/>
    </w:rPr>
  </w:style>
  <w:style w:type="paragraph" w:customStyle="1" w:styleId="1355">
    <w:name w:val="00表后空行"/>
    <w:basedOn w:val="1"/>
    <w:qFormat/>
    <w:uiPriority w:val="99"/>
    <w:pPr>
      <w:widowControl/>
      <w:spacing w:line="140" w:lineRule="exact"/>
      <w:jc w:val="left"/>
    </w:pPr>
    <w:rPr>
      <w:rFonts w:ascii="宋体" w:hAnsi="宋体"/>
      <w:kern w:val="0"/>
      <w:sz w:val="16"/>
    </w:rPr>
  </w:style>
  <w:style w:type="paragraph" w:customStyle="1" w:styleId="1356">
    <w:name w:val="书正文"/>
    <w:qFormat/>
    <w:uiPriority w:val="99"/>
    <w:pPr>
      <w:widowControl w:val="0"/>
      <w:spacing w:line="360" w:lineRule="auto"/>
      <w:ind w:firstLine="480" w:firstLineChars="200"/>
      <w:jc w:val="both"/>
    </w:pPr>
    <w:rPr>
      <w:rFonts w:ascii="Times New Roman" w:hAnsi="Times New Roman" w:eastAsia="宋体" w:cs="Courier New"/>
      <w:kern w:val="2"/>
      <w:sz w:val="24"/>
      <w:szCs w:val="24"/>
      <w:lang w:val="en-US" w:eastAsia="zh-CN" w:bidi="ar-SA"/>
    </w:rPr>
  </w:style>
  <w:style w:type="character" w:customStyle="1" w:styleId="1357">
    <w:name w:val="页眉 Char3"/>
    <w:qFormat/>
    <w:uiPriority w:val="99"/>
    <w:rPr>
      <w:rFonts w:ascii="等线" w:hAnsi="等线" w:eastAsia="等线" w:cs="Times New Roman"/>
      <w:sz w:val="18"/>
      <w:szCs w:val="18"/>
    </w:rPr>
  </w:style>
  <w:style w:type="character" w:customStyle="1" w:styleId="1358">
    <w:name w:val="页脚 Char3"/>
    <w:qFormat/>
    <w:uiPriority w:val="99"/>
    <w:rPr>
      <w:rFonts w:ascii="等线" w:hAnsi="等线" w:eastAsia="等线" w:cs="Times New Roman"/>
      <w:sz w:val="18"/>
      <w:szCs w:val="18"/>
    </w:rPr>
  </w:style>
  <w:style w:type="character" w:customStyle="1" w:styleId="1359">
    <w:name w:val="批注框文本 Char3"/>
    <w:qFormat/>
    <w:uiPriority w:val="99"/>
    <w:rPr>
      <w:rFonts w:ascii="等线" w:hAnsi="等线" w:eastAsia="等线" w:cs="Times New Roman"/>
      <w:sz w:val="18"/>
      <w:szCs w:val="18"/>
    </w:rPr>
  </w:style>
  <w:style w:type="character" w:customStyle="1" w:styleId="1360">
    <w:name w:val="文档结构图 Char3"/>
    <w:qFormat/>
    <w:uiPriority w:val="99"/>
    <w:rPr>
      <w:rFonts w:ascii="宋体" w:hAnsi="等线" w:eastAsia="宋体" w:cs="Times New Roman"/>
      <w:sz w:val="18"/>
      <w:szCs w:val="18"/>
    </w:rPr>
  </w:style>
  <w:style w:type="character" w:customStyle="1" w:styleId="1361">
    <w:name w:val="标题 5 Char2"/>
    <w:qFormat/>
    <w:uiPriority w:val="9"/>
    <w:rPr>
      <w:rFonts w:ascii="Calibri" w:hAnsi="Calibri" w:eastAsia="仿宋" w:cs="Times New Roman"/>
      <w:b/>
      <w:bCs/>
      <w:kern w:val="0"/>
      <w:sz w:val="28"/>
      <w:szCs w:val="28"/>
    </w:rPr>
  </w:style>
  <w:style w:type="character" w:customStyle="1" w:styleId="1362">
    <w:name w:val="标题 6 Char2"/>
    <w:qFormat/>
    <w:uiPriority w:val="9"/>
    <w:rPr>
      <w:rFonts w:ascii="Calibri Light" w:hAnsi="Calibri Light" w:eastAsia="宋体" w:cs="Times New Roman"/>
      <w:b/>
      <w:bCs/>
      <w:kern w:val="0"/>
      <w:sz w:val="24"/>
      <w:szCs w:val="24"/>
    </w:rPr>
  </w:style>
  <w:style w:type="character" w:customStyle="1" w:styleId="1363">
    <w:name w:val="标题 7 Char2"/>
    <w:qFormat/>
    <w:uiPriority w:val="9"/>
    <w:rPr>
      <w:rFonts w:ascii="Calibri" w:hAnsi="Calibri" w:eastAsia="仿宋" w:cs="Times New Roman"/>
      <w:b/>
      <w:bCs/>
      <w:kern w:val="0"/>
      <w:sz w:val="24"/>
      <w:szCs w:val="24"/>
    </w:rPr>
  </w:style>
  <w:style w:type="paragraph" w:customStyle="1" w:styleId="1364">
    <w:name w:val="TOC 标题3"/>
    <w:basedOn w:val="4"/>
    <w:next w:val="1"/>
    <w:qFormat/>
    <w:uiPriority w:val="39"/>
    <w:pPr>
      <w:widowControl/>
      <w:adjustRightInd/>
      <w:spacing w:before="480" w:after="0" w:afterAutospacing="0" w:line="276" w:lineRule="auto"/>
      <w:ind w:firstLine="0" w:firstLineChars="0"/>
      <w:jc w:val="left"/>
      <w:outlineLvl w:val="9"/>
    </w:pPr>
    <w:rPr>
      <w:rFonts w:ascii="等线 Light" w:hAnsi="等线 Light" w:eastAsia="等线 Light"/>
      <w:bCs/>
      <w:color w:val="2F5496"/>
      <w:sz w:val="28"/>
      <w:szCs w:val="28"/>
      <w:lang w:val="zh-CN"/>
    </w:rPr>
  </w:style>
  <w:style w:type="character" w:customStyle="1" w:styleId="1365">
    <w:name w:val="题注 Char2"/>
    <w:qFormat/>
    <w:locked/>
    <w:uiPriority w:val="0"/>
    <w:rPr>
      <w:rFonts w:ascii="等线 Light" w:hAnsi="等线 Light" w:eastAsia="黑体" w:cs="Times New Roman"/>
      <w:sz w:val="20"/>
      <w:szCs w:val="20"/>
    </w:rPr>
  </w:style>
  <w:style w:type="character" w:customStyle="1" w:styleId="1366">
    <w:name w:val="日期 Char4"/>
    <w:qFormat/>
    <w:uiPriority w:val="99"/>
    <w:rPr>
      <w:rFonts w:ascii="等线" w:hAnsi="等线" w:eastAsia="等线" w:cs="Times New Roman"/>
    </w:rPr>
  </w:style>
  <w:style w:type="character" w:customStyle="1" w:styleId="1367">
    <w:name w:val="正文文本 Char4"/>
    <w:qFormat/>
    <w:uiPriority w:val="0"/>
    <w:rPr>
      <w:rFonts w:ascii="Times New Roman" w:hAnsi="Times New Roman" w:eastAsia="宋体" w:cs="Times New Roman"/>
      <w:sz w:val="44"/>
      <w:szCs w:val="20"/>
    </w:rPr>
  </w:style>
  <w:style w:type="character" w:customStyle="1" w:styleId="1368">
    <w:name w:val="纯文本 Char4"/>
    <w:qFormat/>
    <w:uiPriority w:val="0"/>
    <w:rPr>
      <w:rFonts w:ascii="宋体" w:hAnsi="Courier New" w:eastAsia="宋体" w:cs="Times New Roman"/>
      <w:sz w:val="28"/>
      <w:szCs w:val="20"/>
    </w:rPr>
  </w:style>
  <w:style w:type="character" w:customStyle="1" w:styleId="1369">
    <w:name w:val="无间隔 Char2"/>
    <w:qFormat/>
    <w:uiPriority w:val="1"/>
    <w:rPr>
      <w:sz w:val="22"/>
      <w:szCs w:val="22"/>
      <w:lang w:bidi="ar-SA"/>
    </w:rPr>
  </w:style>
  <w:style w:type="character" w:customStyle="1" w:styleId="1370">
    <w:name w:val="标题 Char3"/>
    <w:qFormat/>
    <w:uiPriority w:val="10"/>
    <w:rPr>
      <w:rFonts w:ascii="Cambria" w:hAnsi="Cambria" w:eastAsia="宋体" w:cs="Times New Roman"/>
      <w:b/>
      <w:bCs/>
      <w:sz w:val="32"/>
      <w:szCs w:val="32"/>
    </w:rPr>
  </w:style>
  <w:style w:type="character" w:customStyle="1" w:styleId="1371">
    <w:name w:val="书籍标题2"/>
    <w:qFormat/>
    <w:uiPriority w:val="33"/>
    <w:rPr>
      <w:b/>
      <w:bCs/>
      <w:smallCaps/>
      <w:spacing w:val="5"/>
    </w:rPr>
  </w:style>
  <w:style w:type="character" w:customStyle="1" w:styleId="1372">
    <w:name w:val="不明显强调2"/>
    <w:qFormat/>
    <w:uiPriority w:val="19"/>
    <w:rPr>
      <w:i/>
      <w:iCs/>
      <w:color w:val="808080"/>
    </w:rPr>
  </w:style>
  <w:style w:type="character" w:customStyle="1" w:styleId="1373">
    <w:name w:val="正文文本缩进 2 Char3"/>
    <w:qFormat/>
    <w:uiPriority w:val="0"/>
    <w:rPr>
      <w:rFonts w:ascii="Times New Roman" w:hAnsi="Times New Roman" w:eastAsia="宋体" w:cs="Times New Roman"/>
      <w:kern w:val="0"/>
      <w:sz w:val="30"/>
      <w:szCs w:val="24"/>
    </w:rPr>
  </w:style>
  <w:style w:type="character" w:customStyle="1" w:styleId="1374">
    <w:name w:val="正文文本缩进 3 Char3"/>
    <w:qFormat/>
    <w:uiPriority w:val="0"/>
    <w:rPr>
      <w:rFonts w:ascii="仿宋_GB2312" w:hAnsi="Times New Roman" w:eastAsia="宋体" w:cs="Times New Roman"/>
      <w:kern w:val="0"/>
      <w:sz w:val="24"/>
      <w:szCs w:val="20"/>
    </w:rPr>
  </w:style>
  <w:style w:type="table" w:customStyle="1" w:styleId="1375">
    <w:name w:val="网格型18"/>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网格型－朱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77">
    <w:name w:val="网格型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网格型21"/>
    <w:basedOn w:val="59"/>
    <w:qFormat/>
    <w:uiPriority w:val="3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网格型－朱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网格型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网格型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网格型－朱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网格型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网格型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网格型－朱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网格型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网格型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网格型－朱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89">
    <w:name w:val="网格型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网格型2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网格型－朱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网格型1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网格型2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网格型－朱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网格型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网格型2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网格型－朱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网格型－朱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浅色底纹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400">
    <w:name w:val="网格型浅色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01">
    <w:name w:val="网格型1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网格型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网格型－朱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网格型186"/>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网格型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网格型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网格型5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浅色底纹18"/>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409">
    <w:name w:val="表格式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表格式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网格型12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网格型22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网格型5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网格型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网格型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网格型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网格型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8">
    <w:name w:val="未处理的提及1"/>
    <w:semiHidden/>
    <w:qFormat/>
    <w:uiPriority w:val="99"/>
    <w:rPr>
      <w:color w:val="605E5C"/>
      <w:shd w:val="clear" w:color="auto" w:fill="E1DFDD"/>
    </w:rPr>
  </w:style>
  <w:style w:type="character" w:customStyle="1" w:styleId="1419">
    <w:name w:val="纯文本 字符2"/>
    <w:semiHidden/>
    <w:qFormat/>
    <w:uiPriority w:val="99"/>
    <w:rPr>
      <w:rFonts w:ascii="等线" w:hAnsi="Courier New" w:cs="Courier New"/>
      <w:sz w:val="28"/>
    </w:rPr>
  </w:style>
  <w:style w:type="paragraph" w:customStyle="1" w:styleId="1420">
    <w:name w:val="样式 样式 仿宋_GB2312 小三 首行缩进:  2 字符 段前: 0.25 行 段后: 0.25 行 + 首行缩进:  2 ..."/>
    <w:basedOn w:val="1"/>
    <w:semiHidden/>
    <w:qFormat/>
    <w:uiPriority w:val="0"/>
    <w:pPr>
      <w:spacing w:afterLines="25" w:line="300" w:lineRule="auto"/>
    </w:pPr>
    <w:rPr>
      <w:rFonts w:ascii="仿宋_GB2312" w:hAnsi="仿宋_GB2312" w:eastAsia="仿宋_GB2312" w:cs="宋体"/>
      <w:sz w:val="30"/>
      <w:szCs w:val="20"/>
    </w:rPr>
  </w:style>
  <w:style w:type="table" w:customStyle="1" w:styleId="1421">
    <w:name w:val="网格型－朱11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22">
    <w:name w:val="表格式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表格式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网格型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网格型6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网格型7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网格型8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网格型9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网格型10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网格型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网格型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网格型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网格型22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网格型5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35">
    <w:name w:val="未处理的提及2"/>
    <w:semiHidden/>
    <w:qFormat/>
    <w:uiPriority w:val="99"/>
    <w:rPr>
      <w:color w:val="605E5C"/>
      <w:shd w:val="clear" w:color="auto" w:fill="E1DFDD"/>
    </w:rPr>
  </w:style>
  <w:style w:type="table" w:customStyle="1" w:styleId="1436">
    <w:name w:val="FHDI中文报告表格样式"/>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1437">
    <w:name w:val="网格型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网格型－朱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网格型18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浅色底纹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441">
    <w:name w:val="网格型1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网格型26"/>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网格型－朱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44">
    <w:name w:val="网格型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网格型21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网格型－朱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网格型1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网格型21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网格型－朱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网格型1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网格型2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网格型－朱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网格型1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网格型2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网格型－朱4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56">
    <w:name w:val="网格型1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网格型24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网格型－朱1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网格型112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网格型212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网格型－朱5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网格型1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网格型25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网格型－朱6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网格型－朱7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浅色底纹1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467">
    <w:name w:val="网格型浅色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468">
    <w:name w:val="网格型16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网格型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网格型5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网格型5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网格型3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网格型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网格型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网格型5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表格式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表格式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网格型5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网格型6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网格型7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网格型8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网格型9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网格型10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表格式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表格式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网格型17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网格型6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网格型7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网格型8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网格型9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网格型10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网格型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网格型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网格型1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网格型22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网格型5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网格型2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网格型－朱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网格型18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浅色底纹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501">
    <w:name w:val="网格型1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网格型27"/>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网格型－朱1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04">
    <w:name w:val="网格型1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网格型21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网格型－朱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网格型11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网格型21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网格型－朱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网格型1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网格型2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网格型－朱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网格型1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网格型2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网格型－朱4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16">
    <w:name w:val="网格型1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网格型24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网格型－朱1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网格型112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网格型212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网格型－朱5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网格型1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网格型25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网格型－朱6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网格型－朱7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浅色底纹1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527">
    <w:name w:val="网格型浅色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528">
    <w:name w:val="网格型16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网格型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网格型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网格型5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网格型3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网格型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网格型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网格型5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表格式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表格式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网格型5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网格型6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网格型7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网格型8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网格型9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网格型10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表格式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表格式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网格型17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网格型6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网格型7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网格型8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网格型9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网格型10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网格型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网格型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网格型1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网格型22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网格型5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网格型－朱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网格型18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浅色底纹14"/>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560">
    <w:name w:val="网格型11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网格型28"/>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网格型－朱1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3">
    <w:name w:val="网格型11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网格型21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网格型－朱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网格型1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网格型21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网格型－朱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网格型1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网格型2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朱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网格型1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网格型2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网格型－朱4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75">
    <w:name w:val="网格型1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网格型24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网格型－朱1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网格型112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网格型212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网格型－朱5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网格型1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网格型25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网格型－朱6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网格型－朱7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浅色底纹1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586">
    <w:name w:val="网格型浅色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587">
    <w:name w:val="网格型16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网格型4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网格型5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网格型52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网格型3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网格型3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网格型4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网格型51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表格式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表格式2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网格型5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网格型6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网格型7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网格型8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网格型9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网格型10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表格式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表格式2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网格型17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网格型6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网格型7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网格型8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网格型9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网格型10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网格型12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网格型13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网格型14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网格型22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网格型52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6">
    <w:name w:val="未处理的提及3"/>
    <w:semiHidden/>
    <w:qFormat/>
    <w:uiPriority w:val="99"/>
    <w:rPr>
      <w:color w:val="605E5C"/>
      <w:shd w:val="clear" w:color="auto" w:fill="E1DFDD"/>
    </w:rPr>
  </w:style>
  <w:style w:type="table" w:customStyle="1" w:styleId="1617">
    <w:name w:val="网格型－朱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网格型18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浅色底纹1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620">
    <w:name w:val="网格型11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网格型29"/>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网格型－朱1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23">
    <w:name w:val="网格型1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网格型216"/>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网格型－朱1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网格型11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网格型211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网格型－朱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网格型1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网格型2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网格型－朱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网格型1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网格型2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网格型－朱4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35">
    <w:name w:val="网格型1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24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网格型－朱1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网格型112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网格型212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网格型－朱5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网格型1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网格型25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网格型－朱6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网格型－朱7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浅色底纹114"/>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646">
    <w:name w:val="网格型浅色1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647">
    <w:name w:val="网格型16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网格型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网格型5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网格型5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网格型3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网格型3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网格型4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网格型51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表格式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表格式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网格型51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网格型6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7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网格型8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网格型9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网格型10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表格式1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表格式2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网格型17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6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网格型7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网格型8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网格型9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网格型10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网格型12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网格型13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网格型14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网格型221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网格型521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FHDI中文报告表格样式1"/>
    <w:basedOn w:val="59"/>
    <w:qFormat/>
    <w:uiPriority w:val="0"/>
    <w:pPr>
      <w:snapToGrid w:val="0"/>
      <w:spacing w:beforeLines="20"/>
      <w:jc w:val="both"/>
    </w:pPr>
    <w:rPr>
      <w:rFonts w:ascii="Arial" w:hAnsi="Arial"/>
      <w:sz w:val="24"/>
      <w:szCs w:val="24"/>
    </w:rPr>
    <w:tblP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cPr>
      <w:vAlign w:val="center"/>
    </w:tcPr>
  </w:style>
  <w:style w:type="table" w:customStyle="1" w:styleId="1677">
    <w:name w:val="网格型19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网格型－朱8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网格型181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浅色底纹12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681">
    <w:name w:val="网格型110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网格型26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网格型－朱13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84">
    <w:name w:val="网格型11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网格型213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网格型－朱1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网格型11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网格型211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网格型－朱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12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网格型222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网格型－朱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网格型2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网格型－朱4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6">
    <w:name w:val="网格型14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网格型241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网格型－朱1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网格型1121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网格型212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网格型－朱51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网格型15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网格型25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网格型－朱6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网格型－朱7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浅色底纹11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707">
    <w:name w:val="网格型浅色1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08">
    <w:name w:val="网格型16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网格型4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网格型5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网格型52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网格型32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网格型3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网格型4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网格型512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表格式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表格式2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网格型5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网格型6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网格型7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网格型8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网格型9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网格型10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表格式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表格式2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网格型17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6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网格型7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网格型8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网格型9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网格型10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网格型12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网格型13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网格型14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网格型221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网格型52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网格型20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网格型－朱9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网格型182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浅色底纹13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741">
    <w:name w:val="网格型11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网格型27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朱14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44">
    <w:name w:val="网格型11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网格型214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网格型－朱11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网格型111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网格型2112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网格型－朱2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网格型12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网格型22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网格型－朱3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网格型13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网格型232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网格型－朱42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56">
    <w:name w:val="网格型14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网格型242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网格型－朱122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1122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网格型2122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网格型－朱52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网格型152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网格型252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网格型－朱62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网格型－朱72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浅色底纹112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767">
    <w:name w:val="网格型浅色12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768">
    <w:name w:val="网格型162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网格型4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网格型5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网格型52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网格型33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网格型3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网格型4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网格型51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表格式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表格式2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网格型51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网格型6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网格型7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网格型8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网格型9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网格型10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表格式1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表格式2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网格型17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网格型6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网格型7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网格型8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网格型9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网格型10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网格型12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网格型13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14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网格型2212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网格型5212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网格型－朱10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网格型183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浅色底纹14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800">
    <w:name w:val="网格型28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网格型－朱15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02">
    <w:name w:val="网格型117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网格型215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网格型－朱11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网格型111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网格型211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网格型－朱2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网格型12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网格型224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网格型－朱3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13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网格型233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网格型－朱43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14">
    <w:name w:val="网格型14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网格型243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网格型－朱123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网格型1123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网格型2123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网格型－朱53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网格型153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网格型253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网格型－朱63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网格型－朱73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浅色底纹113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825">
    <w:name w:val="网格型浅色13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826">
    <w:name w:val="网格型163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网格型4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5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网格型52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网格型34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网格型3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网格型4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网格型514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表格式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表格式2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网格型51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网格型6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网格型7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网格型8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网格型9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网格型10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表格式1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表格式2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网格型17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网格型6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网格型7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网格型8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网格型9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网格型10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网格型12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网格型13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网格型14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网格型2213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网格型5213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网格型－朱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网格型18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浅色底纹1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858">
    <w:name w:val="网格型1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网格型21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网格型－朱1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61">
    <w:name w:val="网格型11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网格型217"/>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网格型－朱1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网格型11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网格型211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网格型－朱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网格型1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网格型2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网格型－朱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网格型1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网格型2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网格型－朱4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73">
    <w:name w:val="网格型1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网格型24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网格型－朱1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网格型112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网格型212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网格型－朱5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网格型1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网格型25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网格型－朱6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网格型－朱7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浅色底纹11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884">
    <w:name w:val="网格型浅色1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885">
    <w:name w:val="网格型16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网格型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网格型5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网格型5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网格型3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网格型3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网格型4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网格型51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表格式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表格式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网格型5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网格型6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网格型7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网格型8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9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网格型10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表格式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表格式2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网格型17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网格型6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网格型7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网格型8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网格型9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网格型10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网格型12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网格型13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网格型14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网格型221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网格型52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FHDI中文报告表格样式2"/>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1915">
    <w:name w:val="网格型19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网格型－朱8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网格型181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浅色底纹12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19">
    <w:name w:val="网格型110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网格型26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网格型－朱13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22">
    <w:name w:val="网格型11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网格型213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网格型－朱1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网格型111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网格型211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网格型－朱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网格型12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网格型22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网格型－朱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网格型13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网格型2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网格型－朱4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34">
    <w:name w:val="网格型14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网格型241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朱1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网格型112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网格型212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网格型－朱51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网格型15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网格型25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网格型－朱6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网格型－朱7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浅色底纹11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45">
    <w:name w:val="网格型浅色1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946">
    <w:name w:val="网格型16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网格型4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网格型5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网格型52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网格型32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格型3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网格型4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网格型51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表格式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表格式2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网格型5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网格型6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网格型7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网格型8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网格型9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网格型10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表格式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表格式2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网格型17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网格型6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网格型7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网格型8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网格型9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网格型10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网格型12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网格型13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网格型14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网格型221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网格型52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网格型202"/>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网格型－朱9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网格型182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浅色底纹13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79">
    <w:name w:val="网格型11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网格型27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网格型－朱14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82">
    <w:name w:val="网格型11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网格型214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网格型－朱11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网格型111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网格型211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网格型－朱2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网格型12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网格型22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网格型－朱3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网格型13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网格型232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网格型－朱42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94">
    <w:name w:val="网格型14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网格型242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网格型－朱122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网格型1122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网格型2122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网格型－朱52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网格型152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网格型252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网格型－朱62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网格型－朱72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浅色底纹112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05">
    <w:name w:val="网格型浅色12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06">
    <w:name w:val="网格型162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网格型4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网格型5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网格型52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网格型33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1">
    <w:name w:val="网格型3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2">
    <w:name w:val="网格型4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3">
    <w:name w:val="网格型51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4">
    <w:name w:val="表格式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5">
    <w:name w:val="表格式2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6">
    <w:name w:val="网格型51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网格型6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网格型7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网格型8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网格型9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网格型10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表格式1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表格式2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网格型17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网格型6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网格型7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网格型8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网格型9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网格型10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网格型12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网格型13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2">
    <w:name w:val="网格型14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网格型2212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网格型5212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网格型－朱10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网格型183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浅色底纹14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38">
    <w:name w:val="网格型116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网格型28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网格型－朱15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41">
    <w:name w:val="网格型117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网格型215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网格型－朱11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网格型111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网格型211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网格型－朱2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网格型12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网格型224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网格型－朱3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网格型13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网格型233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网格型－朱43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53">
    <w:name w:val="网格型14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网格型243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网格型－朱123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网格型1123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网格型2123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网格型－朱53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网格型153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网格型253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网格型－朱63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网格型－朱73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浅色底纹113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64">
    <w:name w:val="网格型浅色13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065">
    <w:name w:val="网格型163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网格型4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网格型5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网格型52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网格型34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网格型3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网格型4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网格型514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表格式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表格式2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网格型51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网格型6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网格型7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网格型8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网格型9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网格型10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表格式1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表格式2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网格型17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网格型6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网格型7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网格型8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网格型9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网格型10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网格型12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网格型13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网格型14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网格型2213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网格型5213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网格型－朱16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网格型184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浅色底纹15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097">
    <w:name w:val="网格型118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网格型29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网格型－朱17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00">
    <w:name w:val="网格型119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网格型216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网格型－朱114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网格型111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网格型2114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网格型－朱24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网格型12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网格型225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网格型－朱34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网格型13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网格型234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网格型－朱44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2">
    <w:name w:val="网格型145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网格型244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网格型－朱124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网格型1124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网格型2124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网格型－朱54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网格型154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网格型254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网格型－朱64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网格型－朱74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浅色底纹114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123">
    <w:name w:val="网格型浅色14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124">
    <w:name w:val="网格型164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网格型4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网格型56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网格型52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网格型35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网格型3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网格型4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网格型515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表格式1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表格式2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网格型51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网格型6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网格型7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网格型8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网格型9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网格型105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表格式1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表格式2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网格型17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网格型6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网格型7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网格型8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网格型9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网格型10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网格型12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网格型13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网格型14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网格型2214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网格型5214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FHDI中文报告表格样式11"/>
    <w:basedOn w:val="59"/>
    <w:qFormat/>
    <w:uiPriority w:val="0"/>
    <w:pPr>
      <w:snapToGrid w:val="0"/>
      <w:spacing w:beforeLines="20"/>
      <w:jc w:val="both"/>
    </w:pPr>
    <w:rPr>
      <w:rFonts w:ascii="Arial" w:hAnsi="Arial"/>
      <w:sz w:val="24"/>
      <w:szCs w:val="24"/>
    </w:rPr>
    <w:tblP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cPr>
      <w:vAlign w:val="center"/>
    </w:tcPr>
  </w:style>
  <w:style w:type="table" w:customStyle="1" w:styleId="2154">
    <w:name w:val="网格型19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网格型－朱8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网格型1811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浅色底纹12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158">
    <w:name w:val="网格型110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网格型261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网格型－朱13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61">
    <w:name w:val="网格型11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网格型2131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网格型－朱11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网格型111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网格型2111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网格型－朱2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网格型12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网格型22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网格型－朱3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网格型13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网格型231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网格型－朱41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73">
    <w:name w:val="网格型14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网格型2411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网格型－朱121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网格型11211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网格型2121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网格型－朱511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网格型151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网格型251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网格型－朱61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网格型－朱71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浅色底纹111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184">
    <w:name w:val="网格型浅色11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185">
    <w:name w:val="网格型161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网格型4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网格型5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网格型52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网格型32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网格型3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网格型4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网格型51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表格式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表格式2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网格型51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网格型6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网格型7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网格型8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网格型9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网格型10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表格式1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表格式2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网格型17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网格型6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网格型7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网格型8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网格型9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网格型10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网格型12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网格型13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网格型14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网格型2211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网格型5211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网格型20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网格型－朱9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网格型1821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浅色底纹13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218">
    <w:name w:val="网格型114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网格型271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网格型－朱14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21">
    <w:name w:val="网格型115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网格型2141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网格型－朱11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网格型111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网格型211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网格型－朱2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网格型12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网格型22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网格型－朱3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网格型13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网格型232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网格型－朱42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33">
    <w:name w:val="网格型14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网格型2421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网格型－朱122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11221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网格型2122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网格型－朱521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网格型152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网格型252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网格型－朱62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网格型－朱72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浅色底纹112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244">
    <w:name w:val="网格型浅色12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245">
    <w:name w:val="网格型162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网格型4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网格型5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网格型52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网格型33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网格型3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网格型4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网格型51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表格式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表格式2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网格型51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网格型6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网格型7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网格型8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网格型9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网格型10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表格式1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表格式2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网格型17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网格型6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网格型7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网格型8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网格型9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网格型10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网格型12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网格型13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网格型14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网格型2212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网格型5212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网格型－朱10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网格型18311"/>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浅色底纹14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277">
    <w:name w:val="网格型2811"/>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网格型－朱15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79">
    <w:name w:val="网格型117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网格型21511"/>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网格型－朱11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网格型111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网格型211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网格型－朱2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网格型124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网格型224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网格型－朱3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网格型134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网格型233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网格型－朱4311"/>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91">
    <w:name w:val="网格型144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网格型24311"/>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网格型－朱12311"/>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网格型112311"/>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网格型2123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网格型－朱531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网格型15311"/>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网格型2531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网格型－朱63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网格型－朱73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浅色底纹11311"/>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302">
    <w:name w:val="网格型浅色1311"/>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03">
    <w:name w:val="网格型163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网格型4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网格型55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网格型52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网格型3411"/>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网格型3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网格型4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网格型51411"/>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表格式1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表格式2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网格型51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网格型6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网格型7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网格型8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网格型9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网格型104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表格式1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表格式2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网格型17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网格型6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网格型7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网格型8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5">
    <w:name w:val="网格型9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网格型10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网格型12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网格型13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网格型14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网格型221311"/>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网格型521311"/>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网格型3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浅色底纹17"/>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334">
    <w:name w:val="网格型12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5">
    <w:name w:val="网格型21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网格型－朱110"/>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37">
    <w:name w:val="网格型111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网格型219"/>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网格型－朱1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网格型111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网格型211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网格型－朱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网格型128"/>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网格型22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网格型－朱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网格型13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网格型23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网格型－朱4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49">
    <w:name w:val="网格型14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网格型246"/>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网格型－朱1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网格型112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网格型212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网格型－朱5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网格型15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网格型25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网格型－朱6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网格型－朱7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浅色底纹116"/>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360">
    <w:name w:val="网格型浅色16"/>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61">
    <w:name w:val="网格型166"/>
    <w:basedOn w:val="59"/>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网格型111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网格型2110"/>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网格型－朱1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网格型11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网格型211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网格型－朱2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网格型12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网格型22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网格型－朱3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网格型13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网格型23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网格型－朱4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74">
    <w:name w:val="网格型14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网格型247"/>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网格型－朱12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网格型112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网格型212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网格型－朱57"/>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网格型15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网格型25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网格型－朱6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网格型－朱7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浅色底纹117"/>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385">
    <w:name w:val="网格型浅色17"/>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386">
    <w:name w:val="网格型167"/>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网格型4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网格型5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网格型5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网格型37"/>
    <w:basedOn w:val="59"/>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网格型3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网格型4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网格型51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表格式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表格式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网格型5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网格型6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网格型7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网格型8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网格型9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网格型10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表格式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表格式2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网格型17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5">
    <w:name w:val="网格型6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6">
    <w:name w:val="网格型7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7">
    <w:name w:val="网格型8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8">
    <w:name w:val="网格型9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9">
    <w:name w:val="网格型10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0">
    <w:name w:val="网格型12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1">
    <w:name w:val="网格型13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2">
    <w:name w:val="网格型14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3">
    <w:name w:val="网格型221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4">
    <w:name w:val="网格型52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5">
    <w:name w:val="网格型2122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6">
    <w:name w:val="网格型38"/>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7">
    <w:name w:val="网格型39"/>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18">
    <w:name w:val="网格型－朱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9">
    <w:name w:val="网格型187"/>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0">
    <w:name w:val="浅色底纹19"/>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21">
    <w:name w:val="网格型13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2">
    <w:name w:val="网格型229"/>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3">
    <w:name w:val="网格型－朱11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24">
    <w:name w:val="网格型11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5">
    <w:name w:val="网格型2118"/>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6">
    <w:name w:val="网格型－朱11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7">
    <w:name w:val="网格型111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8">
    <w:name w:val="网格型211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9">
    <w:name w:val="网格型－朱2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0">
    <w:name w:val="网格型121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1">
    <w:name w:val="网格型22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2">
    <w:name w:val="网格型－朱3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3">
    <w:name w:val="网格型13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4">
    <w:name w:val="网格型23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5">
    <w:name w:val="网格型－朱48"/>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36">
    <w:name w:val="网格型14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7">
    <w:name w:val="网格型248"/>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8">
    <w:name w:val="网格型－朱12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9">
    <w:name w:val="网格型1128"/>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0">
    <w:name w:val="网格型212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1">
    <w:name w:val="网格型－朱58"/>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2">
    <w:name w:val="网格型15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3">
    <w:name w:val="网格型25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4">
    <w:name w:val="网格型－朱6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5">
    <w:name w:val="网格型－朱7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6">
    <w:name w:val="浅色底纹118"/>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47">
    <w:name w:val="网格型浅色18"/>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448">
    <w:name w:val="网格型168"/>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9">
    <w:name w:val="网格型4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0">
    <w:name w:val="网格型5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1">
    <w:name w:val="网格型5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2">
    <w:name w:val="网格型310"/>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3">
    <w:name w:val="网格型3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4">
    <w:name w:val="网格型4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5">
    <w:name w:val="网格型51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6">
    <w:name w:val="表格式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7">
    <w:name w:val="表格式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8">
    <w:name w:val="网格型5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9">
    <w:name w:val="网格型6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0">
    <w:name w:val="网格型7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1">
    <w:name w:val="网格型8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2">
    <w:name w:val="网格型9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3">
    <w:name w:val="网格型10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4">
    <w:name w:val="表格式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5">
    <w:name w:val="表格式2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6">
    <w:name w:val="网格型17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7">
    <w:name w:val="网格型6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8">
    <w:name w:val="网格型7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9">
    <w:name w:val="网格型8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0">
    <w:name w:val="网格型9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1">
    <w:name w:val="网格型10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2">
    <w:name w:val="网格型12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3">
    <w:name w:val="网格型13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4">
    <w:name w:val="网格型14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5">
    <w:name w:val="网格型2217"/>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6">
    <w:name w:val="网格型52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7">
    <w:name w:val="网格型20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8">
    <w:name w:val="浅色底纹15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79">
    <w:name w:val="浅色底纹114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0">
    <w:name w:val="浅色底纹12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1">
    <w:name w:val="浅色底纹111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2">
    <w:name w:val="浅色底纹13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3">
    <w:name w:val="浅色底纹112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4">
    <w:name w:val="浅色底纹14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5">
    <w:name w:val="浅色底纹11312"/>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86">
    <w:name w:val="网格型4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7">
    <w:name w:val="网格型49"/>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8">
    <w:name w:val="网格型－朱3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9">
    <w:name w:val="网格型188"/>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0">
    <w:name w:val="浅色底纹110"/>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491">
    <w:name w:val="网格型14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2">
    <w:name w:val="网格型23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3">
    <w:name w:val="网格型－朱120"/>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94">
    <w:name w:val="网格型112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5">
    <w:name w:val="网格型2120"/>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6">
    <w:name w:val="网格型－朱1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7">
    <w:name w:val="网格型11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8">
    <w:name w:val="网格型211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9">
    <w:name w:val="网格型－朱2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0">
    <w:name w:val="网格型12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1">
    <w:name w:val="网格型221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2">
    <w:name w:val="网格型－朱3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3">
    <w:name w:val="网格型13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4">
    <w:name w:val="网格型23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5">
    <w:name w:val="网格型－朱4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06">
    <w:name w:val="网格型14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7">
    <w:name w:val="网格型249"/>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8">
    <w:name w:val="网格型－朱12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9">
    <w:name w:val="网格型11210"/>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0">
    <w:name w:val="网格型2129"/>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1">
    <w:name w:val="网格型－朱59"/>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2">
    <w:name w:val="网格型15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3">
    <w:name w:val="网格型259"/>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4">
    <w:name w:val="网格型－朱6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5">
    <w:name w:val="网格型－朱7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6">
    <w:name w:val="浅色底纹119"/>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517">
    <w:name w:val="网格型浅色19"/>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518">
    <w:name w:val="网格型169"/>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9">
    <w:name w:val="网格型4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0">
    <w:name w:val="网格型5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1">
    <w:name w:val="网格型52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2">
    <w:name w:val="网格型31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3">
    <w:name w:val="网格型3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4">
    <w:name w:val="网格型4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5">
    <w:name w:val="网格型51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6">
    <w:name w:val="表格式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7">
    <w:name w:val="表格式2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8">
    <w:name w:val="网格型5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9">
    <w:name w:val="网格型6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0">
    <w:name w:val="网格型7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1">
    <w:name w:val="网格型8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2">
    <w:name w:val="网格型9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3">
    <w:name w:val="网格型10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4">
    <w:name w:val="表格式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5">
    <w:name w:val="表格式2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6">
    <w:name w:val="网格型17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7">
    <w:name w:val="网格型6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8">
    <w:name w:val="网格型7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9">
    <w:name w:val="网格型8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0">
    <w:name w:val="网格型9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1">
    <w:name w:val="网格型10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2">
    <w:name w:val="网格型12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3">
    <w:name w:val="网格型13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4">
    <w:name w:val="网格型14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5">
    <w:name w:val="网格型2219"/>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6">
    <w:name w:val="网格型52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7">
    <w:name w:val="FHDI中文报告表格样式3"/>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2548">
    <w:name w:val="网格型19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9">
    <w:name w:val="网格型－朱8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0">
    <w:name w:val="网格型181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1">
    <w:name w:val="浅色底纹12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552">
    <w:name w:val="网格型110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3">
    <w:name w:val="网格型26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4">
    <w:name w:val="网格型－朱13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55">
    <w:name w:val="网格型11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6">
    <w:name w:val="网格型213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7">
    <w:name w:val="网格型－朱11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8">
    <w:name w:val="网格型111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9">
    <w:name w:val="网格型211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0">
    <w:name w:val="网格型－朱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1">
    <w:name w:val="网格型12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2">
    <w:name w:val="网格型22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3">
    <w:name w:val="网格型－朱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4">
    <w:name w:val="网格型13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5">
    <w:name w:val="网格型2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6">
    <w:name w:val="网格型－朱4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67">
    <w:name w:val="网格型14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8">
    <w:name w:val="网格型241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9">
    <w:name w:val="网格型－朱1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0">
    <w:name w:val="网格型1121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1">
    <w:name w:val="网格型212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2">
    <w:name w:val="网格型－朱5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3">
    <w:name w:val="网格型15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4">
    <w:name w:val="网格型25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5">
    <w:name w:val="网格型－朱61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6">
    <w:name w:val="网格型－朱71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7">
    <w:name w:val="浅色底纹11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578">
    <w:name w:val="网格型浅色1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579">
    <w:name w:val="网格型16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0">
    <w:name w:val="网格型4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1">
    <w:name w:val="网格型5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2">
    <w:name w:val="网格型52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3">
    <w:name w:val="网格型32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4">
    <w:name w:val="网格型3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5">
    <w:name w:val="网格型4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6">
    <w:name w:val="网格型51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7">
    <w:name w:val="表格式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8">
    <w:name w:val="表格式2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9">
    <w:name w:val="网格型51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0">
    <w:name w:val="网格型6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1">
    <w:name w:val="网格型7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2">
    <w:name w:val="网格型8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3">
    <w:name w:val="网格型9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4">
    <w:name w:val="网格型10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5">
    <w:name w:val="表格式1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6">
    <w:name w:val="表格式2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7">
    <w:name w:val="网格型17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8">
    <w:name w:val="网格型6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9">
    <w:name w:val="网格型7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0">
    <w:name w:val="网格型8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1">
    <w:name w:val="网格型9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2">
    <w:name w:val="网格型10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3">
    <w:name w:val="网格型12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4">
    <w:name w:val="网格型13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5">
    <w:name w:val="网格型14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6">
    <w:name w:val="网格型221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7">
    <w:name w:val="网格型5211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8">
    <w:name w:val="网格型20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9">
    <w:name w:val="网格型－朱9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0">
    <w:name w:val="网格型182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1">
    <w:name w:val="浅色底纹13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612">
    <w:name w:val="网格型11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3">
    <w:name w:val="网格型27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4">
    <w:name w:val="网格型－朱14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15">
    <w:name w:val="网格型11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6">
    <w:name w:val="网格型214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7">
    <w:name w:val="网格型－朱11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8">
    <w:name w:val="网格型111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9">
    <w:name w:val="网格型211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0">
    <w:name w:val="网格型－朱2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1">
    <w:name w:val="网格型12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2">
    <w:name w:val="网格型22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3">
    <w:name w:val="网格型－朱3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4">
    <w:name w:val="网格型13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5">
    <w:name w:val="网格型232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6">
    <w:name w:val="网格型－朱42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27">
    <w:name w:val="网格型14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8">
    <w:name w:val="网格型242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9">
    <w:name w:val="网格型－朱122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0">
    <w:name w:val="网格型1122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1">
    <w:name w:val="网格型2122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2">
    <w:name w:val="网格型－朱52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3">
    <w:name w:val="网格型152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4">
    <w:name w:val="网格型252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5">
    <w:name w:val="网格型－朱62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6">
    <w:name w:val="网格型－朱72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7">
    <w:name w:val="浅色底纹112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638">
    <w:name w:val="网格型浅色12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39">
    <w:name w:val="网格型162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0">
    <w:name w:val="网格型4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1">
    <w:name w:val="网格型5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2">
    <w:name w:val="网格型52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3">
    <w:name w:val="网格型33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4">
    <w:name w:val="网格型3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5">
    <w:name w:val="网格型4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6">
    <w:name w:val="网格型51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7">
    <w:name w:val="表格式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8">
    <w:name w:val="表格式2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9">
    <w:name w:val="网格型51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0">
    <w:name w:val="网格型6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1">
    <w:name w:val="网格型7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2">
    <w:name w:val="网格型8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3">
    <w:name w:val="网格型9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4">
    <w:name w:val="网格型10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5">
    <w:name w:val="表格式1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6">
    <w:name w:val="表格式2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7">
    <w:name w:val="网格型17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8">
    <w:name w:val="网格型6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9">
    <w:name w:val="网格型7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0">
    <w:name w:val="网格型8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1">
    <w:name w:val="网格型9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2">
    <w:name w:val="网格型10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3">
    <w:name w:val="网格型12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4">
    <w:name w:val="网格型13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5">
    <w:name w:val="网格型14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6">
    <w:name w:val="网格型2212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7">
    <w:name w:val="网格型5212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8">
    <w:name w:val="网格型－朱10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9">
    <w:name w:val="网格型183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0">
    <w:name w:val="浅色底纹14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671">
    <w:name w:val="网格型116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2">
    <w:name w:val="网格型28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3">
    <w:name w:val="网格型－朱15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74">
    <w:name w:val="网格型117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5">
    <w:name w:val="网格型215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6">
    <w:name w:val="网格型－朱11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7">
    <w:name w:val="网格型111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8">
    <w:name w:val="网格型211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9">
    <w:name w:val="网格型－朱2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0">
    <w:name w:val="网格型12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1">
    <w:name w:val="网格型224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2">
    <w:name w:val="网格型－朱3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3">
    <w:name w:val="网格型13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4">
    <w:name w:val="网格型233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5">
    <w:name w:val="网格型－朱43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86">
    <w:name w:val="网格型14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7">
    <w:name w:val="网格型243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8">
    <w:name w:val="网格型－朱123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9">
    <w:name w:val="网格型1123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0">
    <w:name w:val="网格型2123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1">
    <w:name w:val="网格型－朱53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2">
    <w:name w:val="网格型153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3">
    <w:name w:val="网格型253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4">
    <w:name w:val="网格型－朱63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5">
    <w:name w:val="网格型－朱73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6">
    <w:name w:val="浅色底纹113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697">
    <w:name w:val="网格型浅色13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698">
    <w:name w:val="网格型163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9">
    <w:name w:val="网格型4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0">
    <w:name w:val="网格型55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1">
    <w:name w:val="网格型52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2">
    <w:name w:val="网格型343"/>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3">
    <w:name w:val="网格型3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4">
    <w:name w:val="网格型4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5">
    <w:name w:val="网格型514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6">
    <w:name w:val="表格式1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7">
    <w:name w:val="表格式2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8">
    <w:name w:val="网格型51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9">
    <w:name w:val="网格型6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0">
    <w:name w:val="网格型7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1">
    <w:name w:val="网格型8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2">
    <w:name w:val="网格型9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3">
    <w:name w:val="网格型104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4">
    <w:name w:val="表格式1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5">
    <w:name w:val="表格式2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6">
    <w:name w:val="网格型17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7">
    <w:name w:val="网格型6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8">
    <w:name w:val="网格型7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9">
    <w:name w:val="网格型8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0">
    <w:name w:val="网格型9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1">
    <w:name w:val="网格型10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2">
    <w:name w:val="网格型12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3">
    <w:name w:val="网格型13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4">
    <w:name w:val="网格型14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5">
    <w:name w:val="网格型2213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6">
    <w:name w:val="网格型52133"/>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7">
    <w:name w:val="网格型－朱16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8">
    <w:name w:val="网格型184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9">
    <w:name w:val="浅色底纹15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730">
    <w:name w:val="网格型118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1">
    <w:name w:val="网格型29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2">
    <w:name w:val="网格型－朱17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33">
    <w:name w:val="网格型119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4">
    <w:name w:val="网格型216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5">
    <w:name w:val="网格型－朱114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6">
    <w:name w:val="网格型111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7">
    <w:name w:val="网格型2114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8">
    <w:name w:val="网格型－朱24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9">
    <w:name w:val="网格型12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0">
    <w:name w:val="网格型225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1">
    <w:name w:val="网格型－朱34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2">
    <w:name w:val="网格型13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3">
    <w:name w:val="网格型234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4">
    <w:name w:val="网格型－朱44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45">
    <w:name w:val="网格型145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6">
    <w:name w:val="网格型244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7">
    <w:name w:val="网格型－朱124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8">
    <w:name w:val="网格型1124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9">
    <w:name w:val="网格型2124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0">
    <w:name w:val="网格型－朱54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1">
    <w:name w:val="网格型154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2">
    <w:name w:val="网格型254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3">
    <w:name w:val="网格型－朱64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4">
    <w:name w:val="网格型－朱74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5">
    <w:name w:val="浅色底纹114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756">
    <w:name w:val="网格型浅色14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757">
    <w:name w:val="网格型164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8">
    <w:name w:val="网格型4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9">
    <w:name w:val="网格型56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0">
    <w:name w:val="网格型52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1">
    <w:name w:val="网格型35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2">
    <w:name w:val="网格型3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3">
    <w:name w:val="网格型4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4">
    <w:name w:val="网格型515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5">
    <w:name w:val="表格式1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6">
    <w:name w:val="表格式2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7">
    <w:name w:val="网格型51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8">
    <w:name w:val="网格型6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9">
    <w:name w:val="网格型7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0">
    <w:name w:val="网格型8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1">
    <w:name w:val="网格型9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2">
    <w:name w:val="网格型105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3">
    <w:name w:val="表格式1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4">
    <w:name w:val="表格式2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5">
    <w:name w:val="网格型17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6">
    <w:name w:val="网格型6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7">
    <w:name w:val="网格型7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8">
    <w:name w:val="网格型8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9">
    <w:name w:val="网格型9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0">
    <w:name w:val="网格型10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1">
    <w:name w:val="网格型12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2">
    <w:name w:val="网格型13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3">
    <w:name w:val="网格型14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4">
    <w:name w:val="网格型2214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5">
    <w:name w:val="网格型5214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6">
    <w:name w:val="FHDI中文报告表格样式12"/>
    <w:basedOn w:val="59"/>
    <w:qFormat/>
    <w:uiPriority w:val="0"/>
    <w:pPr>
      <w:snapToGrid w:val="0"/>
      <w:spacing w:beforeLines="20"/>
      <w:jc w:val="both"/>
    </w:pPr>
    <w:rPr>
      <w:rFonts w:ascii="Arial" w:hAnsi="Arial"/>
      <w:sz w:val="24"/>
      <w:szCs w:val="24"/>
    </w:rPr>
    <w:tblP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cPr>
      <w:vAlign w:val="center"/>
    </w:tcPr>
  </w:style>
  <w:style w:type="table" w:customStyle="1" w:styleId="2787">
    <w:name w:val="网格型19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8">
    <w:name w:val="网格型－朱8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9">
    <w:name w:val="网格型1811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0">
    <w:name w:val="浅色底纹12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791">
    <w:name w:val="网格型110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2">
    <w:name w:val="网格型261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3">
    <w:name w:val="网格型－朱13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94">
    <w:name w:val="网格型11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5">
    <w:name w:val="网格型2131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6">
    <w:name w:val="网格型－朱11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7">
    <w:name w:val="网格型1111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8">
    <w:name w:val="网格型2111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9">
    <w:name w:val="网格型－朱2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0">
    <w:name w:val="网格型12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1">
    <w:name w:val="网格型222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2">
    <w:name w:val="网格型－朱3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3">
    <w:name w:val="网格型13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4">
    <w:name w:val="网格型231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5">
    <w:name w:val="网格型－朱41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06">
    <w:name w:val="网格型14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7">
    <w:name w:val="网格型2411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8">
    <w:name w:val="网格型－朱121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9">
    <w:name w:val="网格型1121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0">
    <w:name w:val="网格型2121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1">
    <w:name w:val="网格型－朱511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2">
    <w:name w:val="网格型151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3">
    <w:name w:val="网格型251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4">
    <w:name w:val="网格型－朱61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5">
    <w:name w:val="网格型－朱71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6">
    <w:name w:val="浅色底纹111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817">
    <w:name w:val="网格型浅色11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18">
    <w:name w:val="网格型161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9">
    <w:name w:val="网格型4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0">
    <w:name w:val="网格型5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1">
    <w:name w:val="网格型52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2">
    <w:name w:val="网格型32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3">
    <w:name w:val="网格型3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4">
    <w:name w:val="网格型4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5">
    <w:name w:val="网格型512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6">
    <w:name w:val="表格式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7">
    <w:name w:val="表格式2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8">
    <w:name w:val="网格型51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9">
    <w:name w:val="网格型6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0">
    <w:name w:val="网格型7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1">
    <w:name w:val="网格型8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2">
    <w:name w:val="网格型9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3">
    <w:name w:val="网格型10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4">
    <w:name w:val="表格式1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5">
    <w:name w:val="表格式2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6">
    <w:name w:val="网格型17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7">
    <w:name w:val="网格型6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8">
    <w:name w:val="网格型7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9">
    <w:name w:val="网格型8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0">
    <w:name w:val="网格型9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1">
    <w:name w:val="网格型10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2">
    <w:name w:val="网格型12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3">
    <w:name w:val="网格型13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4">
    <w:name w:val="网格型14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5">
    <w:name w:val="网格型2211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6">
    <w:name w:val="网格型5211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7">
    <w:name w:val="网格型20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8">
    <w:name w:val="网格型－朱9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9">
    <w:name w:val="网格型1821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0">
    <w:name w:val="浅色底纹13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851">
    <w:name w:val="网格型114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2">
    <w:name w:val="网格型271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3">
    <w:name w:val="网格型－朱14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54">
    <w:name w:val="网格型115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5">
    <w:name w:val="网格型2141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6">
    <w:name w:val="网格型－朱11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7">
    <w:name w:val="网格型111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8">
    <w:name w:val="网格型2112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9">
    <w:name w:val="网格型－朱2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0">
    <w:name w:val="网格型12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1">
    <w:name w:val="网格型22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2">
    <w:name w:val="网格型－朱3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3">
    <w:name w:val="网格型13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4">
    <w:name w:val="网格型232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5">
    <w:name w:val="网格型－朱42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66">
    <w:name w:val="网格型14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7">
    <w:name w:val="网格型2421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8">
    <w:name w:val="网格型－朱122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9">
    <w:name w:val="网格型1122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0">
    <w:name w:val="网格型2122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1">
    <w:name w:val="网格型－朱521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2">
    <w:name w:val="网格型152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3">
    <w:name w:val="网格型252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4">
    <w:name w:val="网格型－朱62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5">
    <w:name w:val="网格型－朱72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6">
    <w:name w:val="浅色底纹112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877">
    <w:name w:val="网格型浅色12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878">
    <w:name w:val="网格型162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9">
    <w:name w:val="网格型4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0">
    <w:name w:val="网格型5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1">
    <w:name w:val="网格型52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2">
    <w:name w:val="网格型33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3">
    <w:name w:val="网格型3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4">
    <w:name w:val="网格型4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5">
    <w:name w:val="网格型51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6">
    <w:name w:val="表格式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7">
    <w:name w:val="表格式2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8">
    <w:name w:val="网格型51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9">
    <w:name w:val="网格型6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0">
    <w:name w:val="网格型7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1">
    <w:name w:val="网格型8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2">
    <w:name w:val="网格型9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3">
    <w:name w:val="网格型10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4">
    <w:name w:val="表格式1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5">
    <w:name w:val="表格式2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6">
    <w:name w:val="网格型17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7">
    <w:name w:val="网格型6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8">
    <w:name w:val="网格型7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9">
    <w:name w:val="网格型8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0">
    <w:name w:val="网格型9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1">
    <w:name w:val="网格型10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2">
    <w:name w:val="网格型12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3">
    <w:name w:val="网格型13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4">
    <w:name w:val="网格型14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5">
    <w:name w:val="网格型2212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6">
    <w:name w:val="网格型5212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7">
    <w:name w:val="网格型－朱10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8">
    <w:name w:val="网格型18312"/>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9">
    <w:name w:val="浅色底纹14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910">
    <w:name w:val="网格型116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1">
    <w:name w:val="网格型2812"/>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2">
    <w:name w:val="网格型－朱15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13">
    <w:name w:val="网格型117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4">
    <w:name w:val="网格型21512"/>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5">
    <w:name w:val="网格型－朱11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6">
    <w:name w:val="网格型111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7">
    <w:name w:val="网格型211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8">
    <w:name w:val="网格型－朱2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9">
    <w:name w:val="网格型124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0">
    <w:name w:val="网格型224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1">
    <w:name w:val="网格型－朱3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2">
    <w:name w:val="网格型134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3">
    <w:name w:val="网格型233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4">
    <w:name w:val="网格型－朱4312"/>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25">
    <w:name w:val="网格型144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6">
    <w:name w:val="网格型24312"/>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7">
    <w:name w:val="网格型－朱12312"/>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8">
    <w:name w:val="网格型112312"/>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9">
    <w:name w:val="网格型2123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0">
    <w:name w:val="网格型－朱531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1">
    <w:name w:val="网格型15312"/>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2">
    <w:name w:val="网格型25312"/>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3">
    <w:name w:val="网格型－朱63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4">
    <w:name w:val="网格型－朱73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5">
    <w:name w:val="浅色底纹11313"/>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936">
    <w:name w:val="网格型浅色1312"/>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37">
    <w:name w:val="网格型163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8">
    <w:name w:val="网格型4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9">
    <w:name w:val="网格型55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0">
    <w:name w:val="网格型52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1">
    <w:name w:val="网格型3412"/>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2">
    <w:name w:val="网格型3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3">
    <w:name w:val="网格型4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4">
    <w:name w:val="网格型51412"/>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5">
    <w:name w:val="表格式1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6">
    <w:name w:val="表格式2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7">
    <w:name w:val="网格型51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8">
    <w:name w:val="网格型6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9">
    <w:name w:val="网格型7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0">
    <w:name w:val="网格型8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1">
    <w:name w:val="网格型9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2">
    <w:name w:val="网格型104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3">
    <w:name w:val="表格式1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4">
    <w:name w:val="表格式2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5">
    <w:name w:val="网格型17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6">
    <w:name w:val="网格型6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7">
    <w:name w:val="网格型7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8">
    <w:name w:val="网格型8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9">
    <w:name w:val="网格型9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0">
    <w:name w:val="网格型10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1">
    <w:name w:val="网格型12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2">
    <w:name w:val="网格型13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3">
    <w:name w:val="网格型14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4">
    <w:name w:val="网格型221312"/>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5">
    <w:name w:val="网格型521312"/>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6">
    <w:name w:val="网格型5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7">
    <w:name w:val="网格型189"/>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8">
    <w:name w:val="浅色底纹120"/>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969">
    <w:name w:val="网格型15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0">
    <w:name w:val="网格型24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1">
    <w:name w:val="网格型－朱130"/>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72">
    <w:name w:val="网格型113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3">
    <w:name w:val="网格型2130"/>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4">
    <w:name w:val="网格型－朱11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5">
    <w:name w:val="网格型111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6">
    <w:name w:val="网格型2111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7">
    <w:name w:val="网格型－朱2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8">
    <w:name w:val="网格型12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9">
    <w:name w:val="网格型222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0">
    <w:name w:val="网格型－朱3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1">
    <w:name w:val="网格型13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2">
    <w:name w:val="网格型23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3">
    <w:name w:val="网格型－朱410"/>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84">
    <w:name w:val="网格型14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5">
    <w:name w:val="网格型2410"/>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6">
    <w:name w:val="网格型－朱12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7">
    <w:name w:val="网格型1121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8">
    <w:name w:val="网格型21210"/>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9">
    <w:name w:val="网格型－朱51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0">
    <w:name w:val="网格型15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1">
    <w:name w:val="网格型2510"/>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2">
    <w:name w:val="网格型－朱61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3">
    <w:name w:val="网格型－朱71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4">
    <w:name w:val="浅色底纹1110"/>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2995">
    <w:name w:val="网格型浅色110"/>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996">
    <w:name w:val="网格型1610"/>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7">
    <w:name w:val="网格型4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8">
    <w:name w:val="网格型52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9">
    <w:name w:val="网格型52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0">
    <w:name w:val="网格型320"/>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1">
    <w:name w:val="网格型3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2">
    <w:name w:val="网格型4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3">
    <w:name w:val="网格型51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4">
    <w:name w:val="表格式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5">
    <w:name w:val="表格式2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6">
    <w:name w:val="网格型51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7">
    <w:name w:val="网格型6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8">
    <w:name w:val="网格型7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9">
    <w:name w:val="网格型8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0">
    <w:name w:val="网格型9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1">
    <w:name w:val="网格型10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2">
    <w:name w:val="表格式1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3">
    <w:name w:val="表格式2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4">
    <w:name w:val="网格型17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5">
    <w:name w:val="网格型6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6">
    <w:name w:val="网格型7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7">
    <w:name w:val="网格型8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8">
    <w:name w:val="网格型9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9">
    <w:name w:val="网格型10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0">
    <w:name w:val="网格型12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1">
    <w:name w:val="网格型13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2">
    <w:name w:val="网格型1411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3">
    <w:name w:val="网格型22110"/>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4">
    <w:name w:val="网格型521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5">
    <w:name w:val="FHDI中文报告表格样式4"/>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3026">
    <w:name w:val="网格型19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7">
    <w:name w:val="网格型－朱8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8">
    <w:name w:val="网格型181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9">
    <w:name w:val="浅色底纹12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030">
    <w:name w:val="网格型110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1">
    <w:name w:val="网格型264"/>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2">
    <w:name w:val="网格型－朱13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33">
    <w:name w:val="网格型11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4">
    <w:name w:val="网格型213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5">
    <w:name w:val="网格型－朱11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6">
    <w:name w:val="网格型1111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7">
    <w:name w:val="网格型2111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8">
    <w:name w:val="网格型－朱2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9">
    <w:name w:val="网格型12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0">
    <w:name w:val="网格型22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1">
    <w:name w:val="网格型－朱3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2">
    <w:name w:val="网格型13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3">
    <w:name w:val="网格型231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4">
    <w:name w:val="网格型－朱41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45">
    <w:name w:val="网格型14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6">
    <w:name w:val="网格型241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7">
    <w:name w:val="网格型－朱121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8">
    <w:name w:val="网格型1121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9">
    <w:name w:val="网格型2121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0">
    <w:name w:val="网格型－朱51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1">
    <w:name w:val="网格型151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2">
    <w:name w:val="网格型251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3">
    <w:name w:val="网格型－朱61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4">
    <w:name w:val="网格型－朱71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5">
    <w:name w:val="浅色底纹111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056">
    <w:name w:val="网格型浅色11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57">
    <w:name w:val="网格型161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8">
    <w:name w:val="网格型4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9">
    <w:name w:val="网格型5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0">
    <w:name w:val="网格型52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1">
    <w:name w:val="网格型32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2">
    <w:name w:val="网格型3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3">
    <w:name w:val="网格型4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4">
    <w:name w:val="网格型51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5">
    <w:name w:val="表格式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6">
    <w:name w:val="表格式2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7">
    <w:name w:val="网格型51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8">
    <w:name w:val="网格型6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9">
    <w:name w:val="网格型7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0">
    <w:name w:val="网格型8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1">
    <w:name w:val="网格型9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2">
    <w:name w:val="网格型10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3">
    <w:name w:val="表格式1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4">
    <w:name w:val="表格式2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5">
    <w:name w:val="网格型17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6">
    <w:name w:val="网格型6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7">
    <w:name w:val="网格型7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8">
    <w:name w:val="网格型8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9">
    <w:name w:val="网格型9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0">
    <w:name w:val="网格型10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1">
    <w:name w:val="网格型12115"/>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2">
    <w:name w:val="网格型13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3">
    <w:name w:val="网格型14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4">
    <w:name w:val="网格型2211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5">
    <w:name w:val="网格型5211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6">
    <w:name w:val="网格型205"/>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7">
    <w:name w:val="网格型－朱9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8">
    <w:name w:val="网格型182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9">
    <w:name w:val="浅色底纹13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090">
    <w:name w:val="网格型11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1">
    <w:name w:val="网格型274"/>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2">
    <w:name w:val="网格型－朱14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93">
    <w:name w:val="网格型11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4">
    <w:name w:val="网格型214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5">
    <w:name w:val="网格型－朱11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6">
    <w:name w:val="网格型111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7">
    <w:name w:val="网格型211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8">
    <w:name w:val="网格型－朱2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9">
    <w:name w:val="网格型12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0">
    <w:name w:val="网格型22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1">
    <w:name w:val="网格型－朱3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2">
    <w:name w:val="网格型13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3">
    <w:name w:val="网格型232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4">
    <w:name w:val="网格型－朱42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05">
    <w:name w:val="网格型14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6">
    <w:name w:val="网格型242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7">
    <w:name w:val="网格型－朱122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8">
    <w:name w:val="网格型1122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9">
    <w:name w:val="网格型2122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0">
    <w:name w:val="网格型－朱52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1">
    <w:name w:val="网格型152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2">
    <w:name w:val="网格型252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3">
    <w:name w:val="网格型－朱62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4">
    <w:name w:val="网格型－朱72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5">
    <w:name w:val="浅色底纹112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116">
    <w:name w:val="网格型浅色12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17">
    <w:name w:val="网格型162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8">
    <w:name w:val="网格型4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9">
    <w:name w:val="网格型5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0">
    <w:name w:val="网格型52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1">
    <w:name w:val="网格型33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2">
    <w:name w:val="网格型3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3">
    <w:name w:val="网格型4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4">
    <w:name w:val="网格型51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5">
    <w:name w:val="表格式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6">
    <w:name w:val="表格式2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7">
    <w:name w:val="网格型51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8">
    <w:name w:val="网格型6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9">
    <w:name w:val="网格型7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0">
    <w:name w:val="网格型8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1">
    <w:name w:val="网格型9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2">
    <w:name w:val="网格型10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3">
    <w:name w:val="表格式1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4">
    <w:name w:val="表格式2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5">
    <w:name w:val="网格型17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6">
    <w:name w:val="网格型6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7">
    <w:name w:val="网格型7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8">
    <w:name w:val="网格型8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9">
    <w:name w:val="网格型9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0">
    <w:name w:val="网格型10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1">
    <w:name w:val="网格型12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2">
    <w:name w:val="网格型13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3">
    <w:name w:val="网格型14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4">
    <w:name w:val="网格型2212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5">
    <w:name w:val="网格型5212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6">
    <w:name w:val="网格型－朱10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7">
    <w:name w:val="网格型183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8">
    <w:name w:val="浅色底纹14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149">
    <w:name w:val="网格型116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0">
    <w:name w:val="网格型284"/>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1">
    <w:name w:val="网格型－朱15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52">
    <w:name w:val="网格型117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3">
    <w:name w:val="网格型215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4">
    <w:name w:val="网格型－朱11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5">
    <w:name w:val="网格型111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6">
    <w:name w:val="网格型211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7">
    <w:name w:val="网格型－朱2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8">
    <w:name w:val="网格型12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9">
    <w:name w:val="网格型224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0">
    <w:name w:val="网格型－朱3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1">
    <w:name w:val="网格型13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2">
    <w:name w:val="网格型233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3">
    <w:name w:val="网格型－朱43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64">
    <w:name w:val="网格型14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5">
    <w:name w:val="网格型243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6">
    <w:name w:val="网格型－朱123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7">
    <w:name w:val="网格型1123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8">
    <w:name w:val="网格型2123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9">
    <w:name w:val="网格型－朱53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0">
    <w:name w:val="网格型153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1">
    <w:name w:val="网格型253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2">
    <w:name w:val="网格型－朱63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3">
    <w:name w:val="网格型－朱73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4">
    <w:name w:val="浅色底纹1134"/>
    <w:basedOn w:val="59"/>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175">
    <w:name w:val="网格型浅色13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176">
    <w:name w:val="网格型163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7">
    <w:name w:val="网格型4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8">
    <w:name w:val="网格型55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9">
    <w:name w:val="网格型52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0">
    <w:name w:val="网格型34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1">
    <w:name w:val="网格型3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2">
    <w:name w:val="网格型4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3">
    <w:name w:val="网格型514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4">
    <w:name w:val="表格式1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5">
    <w:name w:val="表格式2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6">
    <w:name w:val="网格型51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7">
    <w:name w:val="网格型6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8">
    <w:name w:val="网格型7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9">
    <w:name w:val="网格型8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0">
    <w:name w:val="网格型9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1">
    <w:name w:val="网格型104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2">
    <w:name w:val="表格式1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3">
    <w:name w:val="表格式2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4">
    <w:name w:val="网格型17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5">
    <w:name w:val="网格型6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6">
    <w:name w:val="网格型7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7">
    <w:name w:val="网格型8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8">
    <w:name w:val="网格型9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9">
    <w:name w:val="网格型10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0">
    <w:name w:val="网格型12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1">
    <w:name w:val="网格型13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2">
    <w:name w:val="网格型14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3">
    <w:name w:val="网格型2213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4">
    <w:name w:val="网格型52134"/>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5">
    <w:name w:val="网格型－朱16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6">
    <w:name w:val="网格型184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7">
    <w:name w:val="浅色底纹15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208">
    <w:name w:val="网格型118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9">
    <w:name w:val="网格型29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0">
    <w:name w:val="网格型－朱17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11">
    <w:name w:val="网格型119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2">
    <w:name w:val="网格型216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3">
    <w:name w:val="网格型－朱114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4">
    <w:name w:val="网格型111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5">
    <w:name w:val="网格型2114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6">
    <w:name w:val="网格型－朱24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7">
    <w:name w:val="网格型12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8">
    <w:name w:val="网格型225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9">
    <w:name w:val="网格型－朱34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0">
    <w:name w:val="网格型13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1">
    <w:name w:val="网格型234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2">
    <w:name w:val="网格型－朱44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23">
    <w:name w:val="网格型145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4">
    <w:name w:val="网格型244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5">
    <w:name w:val="网格型－朱124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6">
    <w:name w:val="网格型1124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7">
    <w:name w:val="网格型2124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8">
    <w:name w:val="网格型－朱54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9">
    <w:name w:val="网格型154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0">
    <w:name w:val="网格型254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1">
    <w:name w:val="网格型－朱64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2">
    <w:name w:val="网格型－朱74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3">
    <w:name w:val="浅色底纹114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234">
    <w:name w:val="网格型浅色14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35">
    <w:name w:val="网格型164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6">
    <w:name w:val="网格型4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7">
    <w:name w:val="网格型56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8">
    <w:name w:val="网格型52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9">
    <w:name w:val="网格型35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0">
    <w:name w:val="网格型3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1">
    <w:name w:val="网格型4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2">
    <w:name w:val="网格型515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3">
    <w:name w:val="表格式1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4">
    <w:name w:val="表格式2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5">
    <w:name w:val="网格型51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6">
    <w:name w:val="网格型6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7">
    <w:name w:val="网格型7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8">
    <w:name w:val="网格型8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9">
    <w:name w:val="网格型9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0">
    <w:name w:val="网格型105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1">
    <w:name w:val="表格式1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2">
    <w:name w:val="表格式2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3">
    <w:name w:val="网格型17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4">
    <w:name w:val="网格型6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5">
    <w:name w:val="网格型7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6">
    <w:name w:val="网格型8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7">
    <w:name w:val="网格型9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8">
    <w:name w:val="网格型10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9">
    <w:name w:val="网格型12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0">
    <w:name w:val="网格型13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1">
    <w:name w:val="网格型14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2">
    <w:name w:val="网格型2214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3">
    <w:name w:val="网格型5214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4">
    <w:name w:val="FHDI中文报告表格样式13"/>
    <w:basedOn w:val="59"/>
    <w:qFormat/>
    <w:uiPriority w:val="0"/>
    <w:pPr>
      <w:snapToGrid w:val="0"/>
      <w:spacing w:beforeLines="20"/>
      <w:jc w:val="both"/>
    </w:pPr>
    <w:rPr>
      <w:rFonts w:ascii="Arial" w:hAnsi="Arial"/>
      <w:sz w:val="24"/>
      <w:szCs w:val="24"/>
    </w:rPr>
    <w:tblP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cPr>
      <w:vAlign w:val="center"/>
    </w:tcPr>
  </w:style>
  <w:style w:type="table" w:customStyle="1" w:styleId="3265">
    <w:name w:val="网格型19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6">
    <w:name w:val="网格型－朱8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7">
    <w:name w:val="网格型1811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8">
    <w:name w:val="浅色底纹12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269">
    <w:name w:val="网格型110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0">
    <w:name w:val="网格型261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1">
    <w:name w:val="网格型－朱13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72">
    <w:name w:val="网格型11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3">
    <w:name w:val="网格型2131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4">
    <w:name w:val="网格型－朱11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5">
    <w:name w:val="网格型111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6">
    <w:name w:val="网格型2111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7">
    <w:name w:val="网格型－朱2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8">
    <w:name w:val="网格型12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9">
    <w:name w:val="网格型222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0">
    <w:name w:val="网格型－朱3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1">
    <w:name w:val="网格型13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2">
    <w:name w:val="网格型231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3">
    <w:name w:val="网格型－朱41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84">
    <w:name w:val="网格型14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5">
    <w:name w:val="网格型2411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6">
    <w:name w:val="网格型－朱121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7">
    <w:name w:val="网格型11211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8">
    <w:name w:val="网格型2121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9">
    <w:name w:val="网格型－朱51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0">
    <w:name w:val="网格型151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1">
    <w:name w:val="网格型251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2">
    <w:name w:val="网格型－朱61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3">
    <w:name w:val="网格型－朱71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4">
    <w:name w:val="浅色底纹111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295">
    <w:name w:val="网格型浅色11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296">
    <w:name w:val="网格型161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7">
    <w:name w:val="网格型4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8">
    <w:name w:val="网格型5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9">
    <w:name w:val="网格型52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0">
    <w:name w:val="网格型32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1">
    <w:name w:val="网格型3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2">
    <w:name w:val="网格型4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3">
    <w:name w:val="网格型512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4">
    <w:name w:val="表格式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5">
    <w:name w:val="表格式2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6">
    <w:name w:val="网格型51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7">
    <w:name w:val="网格型6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8">
    <w:name w:val="网格型7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9">
    <w:name w:val="网格型8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0">
    <w:name w:val="网格型9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1">
    <w:name w:val="网格型10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2">
    <w:name w:val="表格式1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3">
    <w:name w:val="表格式2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4">
    <w:name w:val="网格型17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5">
    <w:name w:val="网格型6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6">
    <w:name w:val="网格型7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7">
    <w:name w:val="网格型8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8">
    <w:name w:val="网格型9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9">
    <w:name w:val="网格型10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0">
    <w:name w:val="网格型12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1">
    <w:name w:val="网格型13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2">
    <w:name w:val="网格型14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3">
    <w:name w:val="网格型2211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4">
    <w:name w:val="网格型5211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5">
    <w:name w:val="网格型20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6">
    <w:name w:val="网格型－朱9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7">
    <w:name w:val="网格型1821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8">
    <w:name w:val="浅色底纹13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329">
    <w:name w:val="网格型114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0">
    <w:name w:val="网格型271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1">
    <w:name w:val="网格型－朱14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32">
    <w:name w:val="网格型115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3">
    <w:name w:val="网格型2141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4">
    <w:name w:val="网格型－朱11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5">
    <w:name w:val="网格型111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6">
    <w:name w:val="网格型2112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7">
    <w:name w:val="网格型－朱2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8">
    <w:name w:val="网格型12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9">
    <w:name w:val="网格型22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0">
    <w:name w:val="网格型－朱3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1">
    <w:name w:val="网格型13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2">
    <w:name w:val="网格型232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3">
    <w:name w:val="网格型－朱42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44">
    <w:name w:val="网格型14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5">
    <w:name w:val="网格型2421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6">
    <w:name w:val="网格型－朱122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7">
    <w:name w:val="网格型11221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8">
    <w:name w:val="网格型21221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9">
    <w:name w:val="网格型－朱52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0">
    <w:name w:val="网格型152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1">
    <w:name w:val="网格型252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2">
    <w:name w:val="网格型－朱62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3">
    <w:name w:val="网格型－朱72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4">
    <w:name w:val="浅色底纹112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355">
    <w:name w:val="网格型浅色12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356">
    <w:name w:val="网格型162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7">
    <w:name w:val="网格型4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8">
    <w:name w:val="网格型5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9">
    <w:name w:val="网格型52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0">
    <w:name w:val="网格型33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1">
    <w:name w:val="网格型3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2">
    <w:name w:val="网格型4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3">
    <w:name w:val="网格型51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4">
    <w:name w:val="表格式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5">
    <w:name w:val="表格式2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6">
    <w:name w:val="网格型51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7">
    <w:name w:val="网格型6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8">
    <w:name w:val="网格型7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9">
    <w:name w:val="网格型8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0">
    <w:name w:val="网格型9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1">
    <w:name w:val="网格型10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2">
    <w:name w:val="表格式1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3">
    <w:name w:val="表格式2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4">
    <w:name w:val="网格型17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5">
    <w:name w:val="网格型6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6">
    <w:name w:val="网格型7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7">
    <w:name w:val="网格型8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8">
    <w:name w:val="网格型9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9">
    <w:name w:val="网格型10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0">
    <w:name w:val="网格型12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1">
    <w:name w:val="网格型13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2">
    <w:name w:val="网格型14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3">
    <w:name w:val="网格型2212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4">
    <w:name w:val="网格型5212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5">
    <w:name w:val="网格型－朱10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6">
    <w:name w:val="网格型18313"/>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7">
    <w:name w:val="浅色底纹14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388">
    <w:name w:val="网格型116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9">
    <w:name w:val="网格型2813"/>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0">
    <w:name w:val="网格型－朱15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91">
    <w:name w:val="网格型117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2">
    <w:name w:val="网格型21513"/>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3">
    <w:name w:val="网格型－朱11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4">
    <w:name w:val="网格型111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5">
    <w:name w:val="网格型211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6">
    <w:name w:val="网格型－朱2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7">
    <w:name w:val="网格型124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8">
    <w:name w:val="网格型224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9">
    <w:name w:val="网格型－朱3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0">
    <w:name w:val="网格型134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1">
    <w:name w:val="网格型233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2">
    <w:name w:val="网格型－朱4313"/>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03">
    <w:name w:val="网格型144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4">
    <w:name w:val="网格型24313"/>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5">
    <w:name w:val="网格型－朱12313"/>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6">
    <w:name w:val="网格型112313"/>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7">
    <w:name w:val="网格型2123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8">
    <w:name w:val="网格型－朱53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9">
    <w:name w:val="网格型15313"/>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0">
    <w:name w:val="网格型25313"/>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1">
    <w:name w:val="网格型－朱63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2">
    <w:name w:val="网格型－朱73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3">
    <w:name w:val="浅色底纹11314"/>
    <w:basedOn w:val="59"/>
    <w:qFormat/>
    <w:uiPriority w:val="60"/>
    <w:rPr>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414">
    <w:name w:val="网格型浅色1313"/>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15">
    <w:name w:val="网格型163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6">
    <w:name w:val="网格型4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7">
    <w:name w:val="网格型55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8">
    <w:name w:val="网格型52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9">
    <w:name w:val="网格型3413"/>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0">
    <w:name w:val="网格型3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1">
    <w:name w:val="网格型4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2">
    <w:name w:val="网格型51413"/>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3">
    <w:name w:val="表格式1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4">
    <w:name w:val="表格式2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5">
    <w:name w:val="网格型51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6">
    <w:name w:val="网格型6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7">
    <w:name w:val="网格型7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8">
    <w:name w:val="网格型8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9">
    <w:name w:val="网格型9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0">
    <w:name w:val="网格型104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1">
    <w:name w:val="表格式1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2">
    <w:name w:val="表格式2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3">
    <w:name w:val="网格型17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4">
    <w:name w:val="网格型6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5">
    <w:name w:val="网格型7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6">
    <w:name w:val="网格型8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7">
    <w:name w:val="网格型9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8">
    <w:name w:val="网格型10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9">
    <w:name w:val="网格型12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0">
    <w:name w:val="网格型13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1">
    <w:name w:val="网格型14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2">
    <w:name w:val="网格型221313"/>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3">
    <w:name w:val="网格型521313"/>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4">
    <w:name w:val="网格型6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5">
    <w:name w:val="网格型1810"/>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6">
    <w:name w:val="网格型－朱4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7">
    <w:name w:val="网格型181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8">
    <w:name w:val="浅色底纹12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449">
    <w:name w:val="网格型16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0">
    <w:name w:val="网格型25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1">
    <w:name w:val="网格型－朱13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52">
    <w:name w:val="网格型11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3">
    <w:name w:val="网格型213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4">
    <w:name w:val="网格型－朱111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5">
    <w:name w:val="网格型1111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6">
    <w:name w:val="网格型2111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7">
    <w:name w:val="网格型－朱2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8">
    <w:name w:val="网格型12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9">
    <w:name w:val="网格型22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0">
    <w:name w:val="网格型－朱3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1">
    <w:name w:val="网格型13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2">
    <w:name w:val="网格型231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3">
    <w:name w:val="网格型－朱41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64">
    <w:name w:val="网格型14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5">
    <w:name w:val="网格型241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6">
    <w:name w:val="网格型－朱121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7">
    <w:name w:val="网格型1121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8">
    <w:name w:val="网格型2121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9">
    <w:name w:val="网格型－朱51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0">
    <w:name w:val="网格型151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1">
    <w:name w:val="网格型251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2">
    <w:name w:val="网格型－朱61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3">
    <w:name w:val="网格型－朱71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4">
    <w:name w:val="浅色底纹111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475">
    <w:name w:val="网格型浅色11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476">
    <w:name w:val="网格型161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7">
    <w:name w:val="网格型4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8">
    <w:name w:val="网格型53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9">
    <w:name w:val="网格型52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0">
    <w:name w:val="网格型32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1">
    <w:name w:val="网格型3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2">
    <w:name w:val="网格型4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3">
    <w:name w:val="网格型512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4">
    <w:name w:val="表格式1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5">
    <w:name w:val="表格式2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6">
    <w:name w:val="网格型51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7">
    <w:name w:val="网格型6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8">
    <w:name w:val="网格型7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9">
    <w:name w:val="网格型8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0">
    <w:name w:val="网格型9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1">
    <w:name w:val="网格型102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2">
    <w:name w:val="表格式1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3">
    <w:name w:val="表格式2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4">
    <w:name w:val="网格型17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5">
    <w:name w:val="网格型6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6">
    <w:name w:val="网格型7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7">
    <w:name w:val="网格型8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8">
    <w:name w:val="网格型9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9">
    <w:name w:val="网格型10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0">
    <w:name w:val="网格型12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1">
    <w:name w:val="网格型13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2">
    <w:name w:val="网格型14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3">
    <w:name w:val="网格型2211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4">
    <w:name w:val="网格型52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5">
    <w:name w:val="FHDI中文报告表格样式5"/>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3506">
    <w:name w:val="网格型19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7">
    <w:name w:val="网格型－朱8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8">
    <w:name w:val="网格型1816"/>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9">
    <w:name w:val="浅色底纹12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510">
    <w:name w:val="网格型110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1">
    <w:name w:val="网格型265"/>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2">
    <w:name w:val="网格型－朱13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13">
    <w:name w:val="网格型11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4">
    <w:name w:val="网格型2136"/>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5">
    <w:name w:val="网格型－朱11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6">
    <w:name w:val="网格型1111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7">
    <w:name w:val="网格型2111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8">
    <w:name w:val="网格型－朱21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9">
    <w:name w:val="网格型12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0">
    <w:name w:val="网格型22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1">
    <w:name w:val="网格型－朱3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2">
    <w:name w:val="网格型13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3">
    <w:name w:val="网格型231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4">
    <w:name w:val="网格型－朱41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25">
    <w:name w:val="网格型14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6">
    <w:name w:val="网格型2416"/>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7">
    <w:name w:val="网格型－朱121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8">
    <w:name w:val="网格型11217"/>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9">
    <w:name w:val="网格型2121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0">
    <w:name w:val="网格型－朱51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1">
    <w:name w:val="网格型151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2">
    <w:name w:val="网格型251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3">
    <w:name w:val="网格型－朱61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4">
    <w:name w:val="网格型－朱71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5">
    <w:name w:val="浅色底纹111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536">
    <w:name w:val="网格型浅色116"/>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37">
    <w:name w:val="网格型161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8">
    <w:name w:val="网格型4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9">
    <w:name w:val="网格型5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0">
    <w:name w:val="网格型52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1">
    <w:name w:val="网格型32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2">
    <w:name w:val="网格型3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3">
    <w:name w:val="网格型4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4">
    <w:name w:val="网格型51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5">
    <w:name w:val="表格式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6">
    <w:name w:val="表格式2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7">
    <w:name w:val="网格型51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8">
    <w:name w:val="网格型6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9">
    <w:name w:val="网格型7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0">
    <w:name w:val="网格型8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1">
    <w:name w:val="网格型9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2">
    <w:name w:val="网格型10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3">
    <w:name w:val="表格式1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4">
    <w:name w:val="表格式2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5">
    <w:name w:val="网格型17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6">
    <w:name w:val="网格型6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7">
    <w:name w:val="网格型7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8">
    <w:name w:val="网格型8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9">
    <w:name w:val="网格型9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0">
    <w:name w:val="网格型10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1">
    <w:name w:val="网格型12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2">
    <w:name w:val="网格型13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3">
    <w:name w:val="网格型14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4">
    <w:name w:val="网格型2211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5">
    <w:name w:val="网格型5211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6">
    <w:name w:val="网格型206"/>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7">
    <w:name w:val="网格型－朱9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8">
    <w:name w:val="网格型182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9">
    <w:name w:val="浅色底纹13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570">
    <w:name w:val="网格型11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1">
    <w:name w:val="网格型275"/>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2">
    <w:name w:val="网格型－朱14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73">
    <w:name w:val="网格型11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4">
    <w:name w:val="网格型214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5">
    <w:name w:val="网格型－朱11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6">
    <w:name w:val="网格型111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7">
    <w:name w:val="网格型211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8">
    <w:name w:val="网格型－朱2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9">
    <w:name w:val="网格型12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0">
    <w:name w:val="网格型22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1">
    <w:name w:val="网格型－朱3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2">
    <w:name w:val="网格型13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3">
    <w:name w:val="网格型232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4">
    <w:name w:val="网格型－朱42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85">
    <w:name w:val="网格型14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6">
    <w:name w:val="网格型242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7">
    <w:name w:val="网格型－朱122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8">
    <w:name w:val="网格型1122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9">
    <w:name w:val="网格型2122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0">
    <w:name w:val="网格型－朱52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1">
    <w:name w:val="网格型152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2">
    <w:name w:val="网格型252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3">
    <w:name w:val="网格型－朱62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4">
    <w:name w:val="网格型－朱72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5">
    <w:name w:val="浅色底纹112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596">
    <w:name w:val="网格型浅色12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597">
    <w:name w:val="网格型162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8">
    <w:name w:val="网格型4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9">
    <w:name w:val="网格型5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0">
    <w:name w:val="网格型52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1">
    <w:name w:val="网格型33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2">
    <w:name w:val="网格型3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3">
    <w:name w:val="网格型4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4">
    <w:name w:val="网格型51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5">
    <w:name w:val="表格式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6">
    <w:name w:val="表格式2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7">
    <w:name w:val="网格型51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8">
    <w:name w:val="网格型6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9">
    <w:name w:val="网格型7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0">
    <w:name w:val="网格型8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1">
    <w:name w:val="网格型9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2">
    <w:name w:val="网格型10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3">
    <w:name w:val="表格式1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4">
    <w:name w:val="表格式2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5">
    <w:name w:val="网格型17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6">
    <w:name w:val="网格型6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7">
    <w:name w:val="网格型7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8">
    <w:name w:val="网格型8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9">
    <w:name w:val="网格型9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0">
    <w:name w:val="网格型10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1">
    <w:name w:val="网格型12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2">
    <w:name w:val="网格型13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3">
    <w:name w:val="网格型14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4">
    <w:name w:val="网格型2212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5">
    <w:name w:val="网格型5212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6">
    <w:name w:val="网格型－朱10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7">
    <w:name w:val="网格型183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8">
    <w:name w:val="浅色底纹14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629">
    <w:name w:val="网格型116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0">
    <w:name w:val="网格型285"/>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1">
    <w:name w:val="网格型－朱15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32">
    <w:name w:val="网格型117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3">
    <w:name w:val="网格型215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4">
    <w:name w:val="网格型－朱11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5">
    <w:name w:val="网格型111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6">
    <w:name w:val="网格型211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7">
    <w:name w:val="网格型－朱2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8">
    <w:name w:val="网格型12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9">
    <w:name w:val="网格型224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0">
    <w:name w:val="网格型－朱3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1">
    <w:name w:val="网格型13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2">
    <w:name w:val="网格型233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3">
    <w:name w:val="网格型－朱43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44">
    <w:name w:val="网格型14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5">
    <w:name w:val="网格型243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6">
    <w:name w:val="网格型－朱123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7">
    <w:name w:val="网格型1123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8">
    <w:name w:val="网格型2123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9">
    <w:name w:val="网格型－朱53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0">
    <w:name w:val="网格型153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1">
    <w:name w:val="网格型253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2">
    <w:name w:val="网格型－朱63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3">
    <w:name w:val="网格型－朱73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4">
    <w:name w:val="浅色底纹113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655">
    <w:name w:val="网格型浅色13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656">
    <w:name w:val="网格型163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7">
    <w:name w:val="网格型4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8">
    <w:name w:val="网格型55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9">
    <w:name w:val="网格型52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0">
    <w:name w:val="网格型34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1">
    <w:name w:val="网格型3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2">
    <w:name w:val="网格型4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3">
    <w:name w:val="网格型514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4">
    <w:name w:val="表格式1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5">
    <w:name w:val="表格式2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6">
    <w:name w:val="网格型51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7">
    <w:name w:val="网格型6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8">
    <w:name w:val="网格型7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9">
    <w:name w:val="网格型8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0">
    <w:name w:val="网格型9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1">
    <w:name w:val="网格型10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2">
    <w:name w:val="表格式1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3">
    <w:name w:val="表格式2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4">
    <w:name w:val="网格型17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5">
    <w:name w:val="网格型6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6">
    <w:name w:val="网格型7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7">
    <w:name w:val="网格型8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8">
    <w:name w:val="网格型9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9">
    <w:name w:val="网格型10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0">
    <w:name w:val="网格型12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1">
    <w:name w:val="网格型13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2">
    <w:name w:val="网格型14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3">
    <w:name w:val="网格型2213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4">
    <w:name w:val="网格型5213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85">
    <w:name w:val="未处理的提及4"/>
    <w:semiHidden/>
    <w:qFormat/>
    <w:uiPriority w:val="99"/>
    <w:rPr>
      <w:color w:val="605E5C"/>
      <w:shd w:val="clear" w:color="auto" w:fill="E1DFDD"/>
    </w:rPr>
  </w:style>
  <w:style w:type="table" w:customStyle="1" w:styleId="3686">
    <w:name w:val="网格型－朱16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7">
    <w:name w:val="网格型1844"/>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8">
    <w:name w:val="浅色底纹15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689">
    <w:name w:val="网格型118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0">
    <w:name w:val="网格型294"/>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1">
    <w:name w:val="网格型－朱17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92">
    <w:name w:val="网格型119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3">
    <w:name w:val="网格型2164"/>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4">
    <w:name w:val="网格型－朱114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5">
    <w:name w:val="网格型111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6">
    <w:name w:val="网格型2114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7">
    <w:name w:val="网格型－朱24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8">
    <w:name w:val="网格型12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9">
    <w:name w:val="网格型225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0">
    <w:name w:val="网格型－朱34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1">
    <w:name w:val="网格型13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2">
    <w:name w:val="网格型234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3">
    <w:name w:val="网格型－朱444"/>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04">
    <w:name w:val="网格型145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5">
    <w:name w:val="网格型2444"/>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6">
    <w:name w:val="网格型－朱1244"/>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7">
    <w:name w:val="网格型11244"/>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8">
    <w:name w:val="网格型2124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9">
    <w:name w:val="网格型－朱544"/>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0">
    <w:name w:val="网格型1544"/>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1">
    <w:name w:val="网格型2544"/>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2">
    <w:name w:val="网格型－朱64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3">
    <w:name w:val="网格型－朱74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4">
    <w:name w:val="浅色底纹1145"/>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715">
    <w:name w:val="网格型浅色144"/>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16">
    <w:name w:val="网格型1644"/>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7">
    <w:name w:val="网格型4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8">
    <w:name w:val="网格型56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9">
    <w:name w:val="网格型52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0">
    <w:name w:val="网格型354"/>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1">
    <w:name w:val="网格型314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2">
    <w:name w:val="网格型70"/>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23">
    <w:name w:val="网格型80"/>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24">
    <w:name w:val="未处理的提及5"/>
    <w:unhideWhenUsed/>
    <w:qFormat/>
    <w:uiPriority w:val="99"/>
    <w:rPr>
      <w:color w:val="605E5C"/>
      <w:shd w:val="clear" w:color="auto" w:fill="E1DFDD"/>
    </w:rPr>
  </w:style>
  <w:style w:type="table" w:customStyle="1" w:styleId="3725">
    <w:name w:val="网格型9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6">
    <w:name w:val="网格型10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7">
    <w:name w:val="网格型17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8">
    <w:name w:val="网格型18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9">
    <w:name w:val="网格型19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0">
    <w:name w:val="网格型196"/>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1">
    <w:name w:val="网格型197"/>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2">
    <w:name w:val="FHDI中文报告表格样式6"/>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3733">
    <w:name w:val="网格型391"/>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34">
    <w:name w:val="网格型198"/>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5">
    <w:name w:val="网格型199"/>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6">
    <w:name w:val="网格型392"/>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37">
    <w:name w:val="网格型200"/>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8">
    <w:name w:val="网格型393"/>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39">
    <w:name w:val="网格型20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0">
    <w:name w:val="网格型1817"/>
    <w:basedOn w:val="59"/>
    <w:qFormat/>
    <w:uiPriority w:val="39"/>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1">
    <w:name w:val="浅色底纹127"/>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742">
    <w:name w:val="网格型110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3">
    <w:name w:val="网格型260"/>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4">
    <w:name w:val="网格型－朱13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45">
    <w:name w:val="网格型113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6">
    <w:name w:val="网格型2137"/>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7">
    <w:name w:val="网格型－朱111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8">
    <w:name w:val="网格型111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9">
    <w:name w:val="网格型2111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0">
    <w:name w:val="网格型－朱2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1">
    <w:name w:val="网格型122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2">
    <w:name w:val="网格型222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3">
    <w:name w:val="网格型－朱31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4">
    <w:name w:val="网格型13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5">
    <w:name w:val="网格型231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6">
    <w:name w:val="网格型－朱417"/>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57">
    <w:name w:val="网格型14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8">
    <w:name w:val="网格型2417"/>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9">
    <w:name w:val="网格型－朱1217"/>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0">
    <w:name w:val="网格型11218"/>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1">
    <w:name w:val="网格型2121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2">
    <w:name w:val="网格型－朱517"/>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3">
    <w:name w:val="网格型151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4">
    <w:name w:val="网格型2517"/>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5">
    <w:name w:val="网格型－朱61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6">
    <w:name w:val="网格型－朱71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7">
    <w:name w:val="浅色底纹1117"/>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768">
    <w:name w:val="网格型浅色117"/>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69">
    <w:name w:val="网格型1617"/>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0">
    <w:name w:val="网格型4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1">
    <w:name w:val="网格型5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2">
    <w:name w:val="网格型52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3">
    <w:name w:val="网格型327"/>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4">
    <w:name w:val="网格型3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5">
    <w:name w:val="网格型4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6">
    <w:name w:val="网格型51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7">
    <w:name w:val="表格式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8">
    <w:name w:val="表格式2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9">
    <w:name w:val="网格型51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0">
    <w:name w:val="网格型6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1">
    <w:name w:val="网格型7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2">
    <w:name w:val="网格型8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3">
    <w:name w:val="网格型9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4">
    <w:name w:val="网格型10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5">
    <w:name w:val="表格式1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6">
    <w:name w:val="表格式2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7">
    <w:name w:val="网格型17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8">
    <w:name w:val="网格型6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9">
    <w:name w:val="网格型7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0">
    <w:name w:val="网格型8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1">
    <w:name w:val="网格型9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2">
    <w:name w:val="网格型10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3">
    <w:name w:val="网格型12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4">
    <w:name w:val="网格型13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5">
    <w:name w:val="网格型14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6">
    <w:name w:val="网格型22117"/>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7">
    <w:name w:val="网格型5211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8">
    <w:name w:val="网格型208"/>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9">
    <w:name w:val="网格型1106"/>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0">
    <w:name w:val="网格型－朱5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1">
    <w:name w:val="网格型1818"/>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02">
    <w:name w:val="标题 8 Char2"/>
    <w:semiHidden/>
    <w:qFormat/>
    <w:uiPriority w:val="9"/>
    <w:rPr>
      <w:rFonts w:ascii="Calibri Light" w:hAnsi="Calibri Light" w:eastAsia="宋体" w:cs="Times New Roman"/>
      <w:kern w:val="0"/>
      <w:sz w:val="24"/>
      <w:szCs w:val="24"/>
    </w:rPr>
  </w:style>
  <w:style w:type="character" w:customStyle="1" w:styleId="3803">
    <w:name w:val="标题 9 Char2"/>
    <w:semiHidden/>
    <w:qFormat/>
    <w:uiPriority w:val="9"/>
    <w:rPr>
      <w:rFonts w:ascii="Calibri Light" w:hAnsi="Calibri Light" w:eastAsia="宋体" w:cs="Times New Roman"/>
      <w:kern w:val="0"/>
      <w:sz w:val="28"/>
      <w:szCs w:val="21"/>
    </w:rPr>
  </w:style>
  <w:style w:type="table" w:customStyle="1" w:styleId="3804">
    <w:name w:val="浅色底纹128"/>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05">
    <w:name w:val="网格型110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6">
    <w:name w:val="网格型266"/>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7">
    <w:name w:val="网格型－朱138"/>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08">
    <w:name w:val="网格型113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9">
    <w:name w:val="网格型2138"/>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0">
    <w:name w:val="网格型－朱112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1">
    <w:name w:val="网格型1112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2">
    <w:name w:val="网格型2111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3">
    <w:name w:val="网格型－朱21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4">
    <w:name w:val="网格型122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5">
    <w:name w:val="网格型222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6">
    <w:name w:val="网格型－朱3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7">
    <w:name w:val="网格型132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8">
    <w:name w:val="网格型231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9">
    <w:name w:val="网格型－朱418"/>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20">
    <w:name w:val="网格型1427"/>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1">
    <w:name w:val="网格型2418"/>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2">
    <w:name w:val="网格型－朱1218"/>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3">
    <w:name w:val="网格型11219"/>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4">
    <w:name w:val="网格型2121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5">
    <w:name w:val="网格型－朱518"/>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6">
    <w:name w:val="网格型151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7">
    <w:name w:val="网格型2518"/>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8">
    <w:name w:val="网格型－朱61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9">
    <w:name w:val="网格型－朱71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0">
    <w:name w:val="浅色底纹1118"/>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31">
    <w:name w:val="网格型浅色118"/>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832">
    <w:name w:val="网格型1618"/>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3">
    <w:name w:val="网格型4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4">
    <w:name w:val="网格型53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5">
    <w:name w:val="网格型52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6">
    <w:name w:val="网格型328"/>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7">
    <w:name w:val="网格型3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8">
    <w:name w:val="网格型4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9">
    <w:name w:val="网格型5127"/>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0">
    <w:name w:val="表格式1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1">
    <w:name w:val="表格式2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2">
    <w:name w:val="网格型51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3">
    <w:name w:val="网格型6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4">
    <w:name w:val="网格型7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5">
    <w:name w:val="网格型8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6">
    <w:name w:val="网格型9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7">
    <w:name w:val="网格型102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8">
    <w:name w:val="表格式1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9">
    <w:name w:val="表格式2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0">
    <w:name w:val="网格型17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1">
    <w:name w:val="网格型6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2">
    <w:name w:val="网格型7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3">
    <w:name w:val="网格型8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4">
    <w:name w:val="网格型9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5">
    <w:name w:val="网格型10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6">
    <w:name w:val="网格型12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7">
    <w:name w:val="网格型13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8">
    <w:name w:val="网格型14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9">
    <w:name w:val="网格型22118"/>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0">
    <w:name w:val="网格型52117"/>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1">
    <w:name w:val="FHDI中文报告表格样式7"/>
    <w:basedOn w:val="59"/>
    <w:qFormat/>
    <w:uiPriority w:val="0"/>
    <w:pPr>
      <w:snapToGrid w:val="0"/>
      <w:spacing w:beforeLines="20" w:afterLines="20"/>
      <w:jc w:val="both"/>
    </w:pPr>
    <w:rPr>
      <w:rFonts w:ascii="Arial" w:hAnsi="Arial"/>
      <w:sz w:val="24"/>
      <w:szCs w:val="24"/>
    </w:rPr>
    <w:tblPr>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
    <w:trPr>
      <w:jc w:val="center"/>
    </w:trPr>
    <w:tcPr>
      <w:vAlign w:val="center"/>
    </w:tcPr>
  </w:style>
  <w:style w:type="table" w:customStyle="1" w:styleId="3862">
    <w:name w:val="网格型19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3">
    <w:name w:val="网格型－朱8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4">
    <w:name w:val="网格型1819"/>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5">
    <w:name w:val="浅色底纹129"/>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66">
    <w:name w:val="网格型110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7">
    <w:name w:val="网格型267"/>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8">
    <w:name w:val="网格型－朱13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9">
    <w:name w:val="网格型113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0">
    <w:name w:val="网格型2139"/>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1">
    <w:name w:val="网格型－朱111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2">
    <w:name w:val="网格型111110"/>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3">
    <w:name w:val="网格型211110"/>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4">
    <w:name w:val="网格型－朱2110"/>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5">
    <w:name w:val="网格型122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6">
    <w:name w:val="网格型222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7">
    <w:name w:val="网格型－朱31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8">
    <w:name w:val="网格型132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9">
    <w:name w:val="网格型2319"/>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0">
    <w:name w:val="网格型－朱419"/>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81">
    <w:name w:val="网格型1428"/>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2">
    <w:name w:val="网格型2419"/>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3">
    <w:name w:val="网格型－朱1219"/>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4">
    <w:name w:val="网格型112110"/>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5">
    <w:name w:val="网格型21219"/>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6">
    <w:name w:val="网格型－朱519"/>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7">
    <w:name w:val="网格型151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8">
    <w:name w:val="网格型2519"/>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9">
    <w:name w:val="网格型－朱61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0">
    <w:name w:val="网格型－朱71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1">
    <w:name w:val="浅色底纹1119"/>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892">
    <w:name w:val="网格型浅色119"/>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893">
    <w:name w:val="网格型1619"/>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4">
    <w:name w:val="网格型4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5">
    <w:name w:val="网格型53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6">
    <w:name w:val="网格型52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7">
    <w:name w:val="网格型329"/>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8">
    <w:name w:val="网格型3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9">
    <w:name w:val="网格型4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0">
    <w:name w:val="网格型5128"/>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1">
    <w:name w:val="表格式1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2">
    <w:name w:val="表格式2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3">
    <w:name w:val="网格型51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4">
    <w:name w:val="网格型6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5">
    <w:name w:val="网格型7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6">
    <w:name w:val="网格型8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7">
    <w:name w:val="网格型9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8">
    <w:name w:val="网格型102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9">
    <w:name w:val="表格式1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0">
    <w:name w:val="表格式2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1">
    <w:name w:val="网格型17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2">
    <w:name w:val="网格型6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3">
    <w:name w:val="网格型7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4">
    <w:name w:val="网格型8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5">
    <w:name w:val="网格型9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6">
    <w:name w:val="网格型10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7">
    <w:name w:val="网格型121110"/>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8">
    <w:name w:val="网格型13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9">
    <w:name w:val="网格型14119"/>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0">
    <w:name w:val="网格型22119"/>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1">
    <w:name w:val="网格型52118"/>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2">
    <w:name w:val="网格型209"/>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3">
    <w:name w:val="网格型－朱9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4">
    <w:name w:val="网格型1826"/>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5">
    <w:name w:val="浅色底纹13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26">
    <w:name w:val="网格型11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7">
    <w:name w:val="网格型276"/>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8">
    <w:name w:val="网格型－朱14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9">
    <w:name w:val="网格型115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0">
    <w:name w:val="网格型2146"/>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1">
    <w:name w:val="网格型－朱11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2">
    <w:name w:val="网格型111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3">
    <w:name w:val="网格型211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4">
    <w:name w:val="网格型－朱2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5">
    <w:name w:val="网格型12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6">
    <w:name w:val="网格型223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7">
    <w:name w:val="网格型－朱3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8">
    <w:name w:val="网格型13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9">
    <w:name w:val="网格型232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0">
    <w:name w:val="网格型－朱42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41">
    <w:name w:val="网格型14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2">
    <w:name w:val="网格型2426"/>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3">
    <w:name w:val="网格型－朱122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4">
    <w:name w:val="网格型1122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5">
    <w:name w:val="网格型2122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6">
    <w:name w:val="网格型－朱52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7">
    <w:name w:val="网格型152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8">
    <w:name w:val="网格型252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9">
    <w:name w:val="网格型－朱62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0">
    <w:name w:val="网格型－朱72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1">
    <w:name w:val="浅色底纹112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52">
    <w:name w:val="网格型浅色126"/>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953">
    <w:name w:val="网格型162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4">
    <w:name w:val="网格型4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5">
    <w:name w:val="网格型5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6">
    <w:name w:val="网格型52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7">
    <w:name w:val="网格型33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8">
    <w:name w:val="网格型3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9">
    <w:name w:val="网格型4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0">
    <w:name w:val="网格型513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1">
    <w:name w:val="表格式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2">
    <w:name w:val="表格式2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3">
    <w:name w:val="网格型51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4">
    <w:name w:val="网格型6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5">
    <w:name w:val="网格型7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6">
    <w:name w:val="网格型8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7">
    <w:name w:val="网格型9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8">
    <w:name w:val="网格型10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9">
    <w:name w:val="表格式1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0">
    <w:name w:val="表格式2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1">
    <w:name w:val="网格型17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2">
    <w:name w:val="网格型6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3">
    <w:name w:val="网格型7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4">
    <w:name w:val="网格型8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5">
    <w:name w:val="网格型9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6">
    <w:name w:val="网格型10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7">
    <w:name w:val="网格型12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8">
    <w:name w:val="网格型13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9">
    <w:name w:val="网格型14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0">
    <w:name w:val="网格型2212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1">
    <w:name w:val="网格型5212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2">
    <w:name w:val="网格型－朱10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3">
    <w:name w:val="网格型1836"/>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4">
    <w:name w:val="浅色底纹14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85">
    <w:name w:val="网格型116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6">
    <w:name w:val="网格型286"/>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7">
    <w:name w:val="网格型－朱15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88">
    <w:name w:val="网格型117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9">
    <w:name w:val="网格型2156"/>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0">
    <w:name w:val="网格型－朱11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1">
    <w:name w:val="网格型111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2">
    <w:name w:val="网格型2113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3">
    <w:name w:val="网格型－朱2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4">
    <w:name w:val="网格型12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5">
    <w:name w:val="网格型224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6">
    <w:name w:val="网格型－朱3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7">
    <w:name w:val="网格型13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8">
    <w:name w:val="网格型233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9">
    <w:name w:val="网格型－朱436"/>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00">
    <w:name w:val="网格型144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1">
    <w:name w:val="网格型2436"/>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2">
    <w:name w:val="网格型－朱1236"/>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3">
    <w:name w:val="网格型11236"/>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4">
    <w:name w:val="网格型2123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5">
    <w:name w:val="网格型－朱536"/>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6">
    <w:name w:val="网格型1536"/>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7">
    <w:name w:val="网格型2536"/>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8">
    <w:name w:val="网格型－朱63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9">
    <w:name w:val="网格型－朱73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0">
    <w:name w:val="浅色底纹113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4011">
    <w:name w:val="网格型浅色136"/>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012">
    <w:name w:val="网格型163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3">
    <w:name w:val="网格型4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4">
    <w:name w:val="网格型55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5">
    <w:name w:val="网格型52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6">
    <w:name w:val="网格型346"/>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7">
    <w:name w:val="网格型3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8">
    <w:name w:val="网格型4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9">
    <w:name w:val="网格型5146"/>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0">
    <w:name w:val="表格式1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1">
    <w:name w:val="表格式2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2">
    <w:name w:val="网格型51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3">
    <w:name w:val="网格型6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4">
    <w:name w:val="网格型7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5">
    <w:name w:val="网格型8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6">
    <w:name w:val="网格型9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7">
    <w:name w:val="网格型104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8">
    <w:name w:val="表格式1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9">
    <w:name w:val="表格式2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0">
    <w:name w:val="网格型17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1">
    <w:name w:val="网格型6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2">
    <w:name w:val="网格型7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3">
    <w:name w:val="网格型8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4">
    <w:name w:val="网格型9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5">
    <w:name w:val="网格型10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6">
    <w:name w:val="网格型12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7">
    <w:name w:val="网格型13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8">
    <w:name w:val="网格型14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9">
    <w:name w:val="网格型22136"/>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0">
    <w:name w:val="网格型52136"/>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1">
    <w:name w:val="网格型－朱16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2">
    <w:name w:val="网格型1845"/>
    <w:basedOn w:val="59"/>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3">
    <w:name w:val="浅色底纹15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4044">
    <w:name w:val="网格型118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5">
    <w:name w:val="网格型295"/>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6">
    <w:name w:val="网格型－朱17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47">
    <w:name w:val="网格型119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8">
    <w:name w:val="网格型2165"/>
    <w:basedOn w:val="59"/>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9">
    <w:name w:val="网格型－朱114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0">
    <w:name w:val="网格型111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1">
    <w:name w:val="网格型2114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2">
    <w:name w:val="网格型－朱24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3">
    <w:name w:val="网格型12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4">
    <w:name w:val="网格型225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5">
    <w:name w:val="网格型－朱34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6">
    <w:name w:val="网格型13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7">
    <w:name w:val="网格型2345"/>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8">
    <w:name w:val="网格型－朱445"/>
    <w:basedOn w:val="5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59">
    <w:name w:val="网格型145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0">
    <w:name w:val="网格型2445"/>
    <w:basedOn w:val="59"/>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1">
    <w:name w:val="网格型－朱1245"/>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2">
    <w:name w:val="网格型11245"/>
    <w:basedOn w:val="5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3">
    <w:name w:val="网格型2124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4">
    <w:name w:val="网格型－朱545"/>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5">
    <w:name w:val="网格型1545"/>
    <w:basedOn w:val="5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6">
    <w:name w:val="网格型2545"/>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7">
    <w:name w:val="网格型－朱64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8">
    <w:name w:val="网格型－朱74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9">
    <w:name w:val="浅色底纹1146"/>
    <w:basedOn w:val="59"/>
    <w:qFormat/>
    <w:uiPriority w:val="60"/>
    <w:rPr>
      <w:rFonts w:ascii="等线" w:hAnsi="等线" w:eastAsia="等线"/>
      <w:color w:val="000000"/>
    </w:rPr>
    <w:tblPr>
      <w:tblBorders>
        <w:top w:val="single" w:color="000000" w:sz="8" w:space="0"/>
        <w:bottom w:val="single" w:color="000000" w:sz="8" w:space="0"/>
      </w:tblBorders>
    </w:tblPr>
    <w:tblStylePr w:type="fir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lastRow">
      <w:pPr>
        <w:spacing w:beforeLines="0" w:beforeAutospacing="0" w:afterLines="0" w:afterAutospacing="0" w:line="240" w:lineRule="auto"/>
      </w:pPr>
      <w:rPr>
        <w:b/>
        <w:bCs/>
      </w:r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4070">
    <w:name w:val="网格型浅色145"/>
    <w:basedOn w:val="59"/>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071">
    <w:name w:val="网格型1645"/>
    <w:basedOn w:val="59"/>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2">
    <w:name w:val="网格型45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3">
    <w:name w:val="网格型56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4">
    <w:name w:val="网格型525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5">
    <w:name w:val="网格型355"/>
    <w:basedOn w:val="59"/>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6">
    <w:name w:val="网格型3145"/>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7">
    <w:name w:val="网格型414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8">
    <w:name w:val="网格型5154"/>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9">
    <w:name w:val="表格式1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0">
    <w:name w:val="表格式2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1">
    <w:name w:val="网格型5114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2">
    <w:name w:val="网格型654"/>
    <w:basedOn w:val="5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8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084">
    <w:name w:val="正文文本首行缩进 2 字符1"/>
    <w:basedOn w:val="82"/>
    <w:link w:val="2"/>
    <w:semiHidden/>
    <w:qFormat/>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63068</Words>
  <Characters>65021</Characters>
  <Lines>495</Lines>
  <Paragraphs>139</Paragraphs>
  <TotalTime>178</TotalTime>
  <ScaleCrop>false</ScaleCrop>
  <LinksUpToDate>false</LinksUpToDate>
  <CharactersWithSpaces>65331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2023-11-15T14:13:00Z</dcterms:created>
  <dc:creator>欣 欣</dc:creator>
  <cp:lastModifiedBy>user</cp:lastModifiedBy>
  <cp:lastPrinted>2023-08-17T09:25:00Z</cp:lastPrinted>
  <dcterms:modified xsi:type="dcterms:W3CDTF">2026-02-12T15:27:55Z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01DE40A4A34D4C2A863E5D302D14B873_12</vt:lpwstr>
  </property>
</Properties>
</file>