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20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2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t>滕州市人民政府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2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t>2025年政府信息公开工作年度报告</w:t>
      </w:r>
    </w:p>
    <w:p>
      <w:pPr>
        <w:pStyle w:val="6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firstLine="640" w:firstLineChars="200"/>
        <w:jc w:val="both"/>
        <w:textAlignment w:val="auto"/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firstLine="640" w:firstLineChars="200"/>
        <w:jc w:val="both"/>
        <w:textAlignment w:val="auto"/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按照《中华人民共和国政府信息公开条例》和《国务院办公厅政府信息与政务公开办公室关于印发</w:t>
      </w:r>
      <w:r>
        <w:rPr>
          <w:rFonts w:hint="default" w:ascii="仿宋_GB2312" w:eastAsia="仿宋_GB2312" w:cs="Times New Roman"/>
          <w:kern w:val="2"/>
          <w:sz w:val="32"/>
          <w:szCs w:val="32"/>
          <w:highlight w:val="none"/>
          <w:lang w:val="en" w:eastAsia="zh-CN" w:bidi="ar-SA"/>
        </w:rPr>
        <w:t>&lt;</w:t>
      </w: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中华人民共和国政府信息公开工作年度报告格式</w:t>
      </w:r>
      <w:r>
        <w:rPr>
          <w:rFonts w:hint="default" w:ascii="仿宋_GB2312" w:eastAsia="仿宋_GB2312" w:cs="Times New Roman"/>
          <w:kern w:val="2"/>
          <w:sz w:val="32"/>
          <w:szCs w:val="32"/>
          <w:highlight w:val="none"/>
          <w:lang w:val="en" w:eastAsia="zh-CN" w:bidi="ar-SA"/>
        </w:rPr>
        <w:t>&gt;</w:t>
      </w: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的通知》（国办公开办函〔202</w:t>
      </w:r>
      <w:r>
        <w:rPr>
          <w:rFonts w:hint="default" w:ascii="仿宋_GB2312" w:eastAsia="仿宋_GB2312" w:cs="Times New Roman"/>
          <w:kern w:val="2"/>
          <w:sz w:val="32"/>
          <w:szCs w:val="32"/>
          <w:highlight w:val="none"/>
          <w:lang w:val="en" w:eastAsia="zh-CN" w:bidi="ar-SA"/>
        </w:rPr>
        <w:t>1</w:t>
      </w: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〕</w:t>
      </w:r>
      <w:r>
        <w:rPr>
          <w:rFonts w:hint="default" w:ascii="仿宋_GB2312" w:eastAsia="仿宋_GB2312" w:cs="Times New Roman"/>
          <w:kern w:val="2"/>
          <w:sz w:val="32"/>
          <w:szCs w:val="32"/>
          <w:highlight w:val="none"/>
          <w:lang w:val="en" w:eastAsia="zh-CN" w:bidi="ar-SA"/>
        </w:rPr>
        <w:t>30</w:t>
      </w: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号）以及有关文件要求，结合滕州市人民政府2025年度信息公开工作实际，编制了本报告。报告主要内容包括：总体情况、主动公开政府信息情况、收到和处理政府信息公开申请情况、政府信息公开行政复议、行政诉讼情况、存在的主要问题和改进情况及其他需要报告的事项。本报告所列数据的统计时限自2025年1月1日起至2025年12月31日止。本报告的电子版可在“中国滕州网”（http://www.tengzhou.gov.cn/）网站查询和下载。如对本报告有任何疑问，请与滕州市政府办公室政务公开办公室联系。（地址：山东省滕州市北辛中路政务中心 625 房间，联系电话：0632—5513369，电子邮箱：tzzwgk@zz.shandong.cn）。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/>
        <w:jc w:val="both"/>
        <w:textAlignment w:val="auto"/>
        <w:rPr>
          <w:rFonts w:hint="eastAsia" w:ascii="黑体" w:hAnsi="黑体" w:eastAsia="黑体" w:cs="黑体"/>
          <w:color w:val="333333"/>
          <w:sz w:val="32"/>
          <w:szCs w:val="32"/>
          <w:highlight w:val="none"/>
          <w:shd w:val="clear" w:color="auto" w:fill="FFFFFF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highlight w:val="none"/>
          <w:shd w:val="clear" w:color="auto" w:fill="FFFFFF"/>
        </w:rPr>
        <w:t>一、总体情况</w:t>
      </w:r>
    </w:p>
    <w:p>
      <w:pPr>
        <w:pStyle w:val="6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2025年，</w:t>
      </w:r>
      <w:r>
        <w:rPr>
          <w:rFonts w:hint="eastAsia" w:ascii="仿宋_GB2312" w:hAnsi="仿宋_GB2312" w:eastAsia="仿宋_GB2312" w:cs="仿宋_GB2312"/>
          <w:sz w:val="32"/>
          <w:szCs w:val="32"/>
        </w:rPr>
        <w:t>滕州市贯彻落实党中央、国务院和省、市关于政务公开工作的决策部署，紧紧围绕市委、市政府中心工作，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以高质量公开助推重点工作落实、全力提升依申请公开办理质效、深入推进政策公开与解读回应、全面深化政民互动与公众参与、持续提高公开平台建管水平、不断夯实政务公开工作基础，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积极开展落实省政府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“依申请公开质效提升年”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活动，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以高质量政务公开推动经济社会高质量发展。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right="0" w:rightChars="0" w:firstLine="640" w:firstLineChars="200"/>
        <w:jc w:val="left"/>
        <w:textAlignment w:val="auto"/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highlight w:val="none"/>
          <w:lang w:val="en-US" w:eastAsia="zh-CN" w:bidi="ar-SA"/>
        </w:rPr>
        <w:t>（一）主动公开情况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 w:ascii="仿宋_GB2312" w:hAnsi="Calibri" w:eastAsia="仿宋_GB2312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1.深化主动公开，夯实信息基础。</w:t>
      </w:r>
      <w:r>
        <w:rPr>
          <w:rFonts w:hint="default" w:ascii="仿宋_GB2312" w:hAnsi="Calibri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认真执行《</w:t>
      </w: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中华人民共和国</w:t>
      </w:r>
      <w:r>
        <w:rPr>
          <w:rFonts w:hint="default" w:ascii="仿宋_GB2312" w:hAnsi="Calibri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政府信息公开条例》相关规定，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全面落实政府信息公开保密审查制度，及时公开规范政策文件和政府信息。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2025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年</w:t>
      </w: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通过滕州市人民政府官网政务公开专栏发布规范性文件</w:t>
      </w:r>
      <w:r>
        <w:rPr>
          <w:rFonts w:hint="eastAsia" w:ascii="仿宋_GB2312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2件</w:t>
      </w:r>
      <w:r>
        <w:rPr>
          <w:rFonts w:hint="eastAsia" w:ascii="仿宋_GB2312" w:hAnsi="Calibri" w:eastAsia="仿宋_GB2312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，市政府</w:t>
      </w:r>
      <w:r>
        <w:rPr>
          <w:rFonts w:hint="eastAsia" w:ascii="仿宋_GB2312" w:eastAsia="仿宋_GB2312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、政府办公室</w:t>
      </w:r>
      <w:r>
        <w:rPr>
          <w:rFonts w:hint="eastAsia" w:ascii="仿宋_GB2312" w:hAnsi="Calibri" w:eastAsia="仿宋_GB2312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文件</w:t>
      </w:r>
      <w:r>
        <w:rPr>
          <w:rFonts w:hint="eastAsia" w:ascii="仿宋_GB2312" w:eastAsia="仿宋_GB2312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15件，部门镇街文件12件</w:t>
      </w:r>
      <w:r>
        <w:rPr>
          <w:rFonts w:hint="eastAsia" w:ascii="仿宋_GB2312" w:hAnsi="Calibri" w:eastAsia="仿宋_GB2312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。具体可参阅“</w:t>
      </w:r>
      <w:r>
        <w:rPr>
          <w:rFonts w:hint="eastAsia" w:ascii="仿宋_GB2312" w:eastAsia="仿宋_GB2312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滕州市政府文件集中发布平台</w:t>
      </w:r>
      <w:r>
        <w:rPr>
          <w:rFonts w:hint="eastAsia" w:ascii="仿宋_GB2312" w:hAnsi="Calibri" w:eastAsia="仿宋_GB2312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”</w:t>
      </w:r>
      <w:r>
        <w:rPr>
          <w:rFonts w:hint="eastAsia" w:ascii="仿宋_GB2312" w:eastAsia="仿宋_GB2312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。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http://www.tengzhou.gov.cn/zwgk/zwgkzt/zfwj/index.html</w:t>
      </w:r>
      <w:r>
        <w:rPr>
          <w:rFonts w:hint="eastAsia" w:ascii="仿宋_GB2312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ind w:left="0" w:leftChars="0" w:firstLine="640" w:firstLineChars="0"/>
        <w:textAlignment w:val="auto"/>
        <w:rPr>
          <w:rFonts w:hint="eastAsia" w:hAnsi="ÃƒÂ¥Ã‚Â¾Ã‚Â®ÃƒÂ¨Ã‚Â½Ã‚Â¯ÃƒÂ©Ã¢â" w:cs="仿宋_GB2312"/>
          <w:b w:val="0"/>
          <w:bCs w:val="0"/>
          <w:i w:val="0"/>
          <w:caps w:val="0"/>
          <w:color w:val="FF0000"/>
          <w:spacing w:val="0"/>
          <w:kern w:val="0"/>
          <w:sz w:val="32"/>
          <w:szCs w:val="32"/>
          <w:highlight w:val="yellow"/>
          <w:shd w:val="clear" w:color="auto" w:fill="auto"/>
          <w:lang w:val="en-US" w:eastAsia="zh-CN" w:bidi="ar"/>
        </w:rPr>
      </w:pPr>
      <w:r>
        <w:rPr>
          <w:rFonts w:hint="default" w:ascii="仿宋_GB2312" w:hAnsi="ÃƒÂ¥Ã‚Â¾Ã‚Â®ÃƒÂ¨Ã‚Â½Ã‚Â¯ÃƒÂ©Ã¢â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highlight w:val="none"/>
          <w:shd w:val="clear" w:color="auto" w:fill="FFFFFF"/>
          <w:lang w:val="en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74295</wp:posOffset>
            </wp:positionV>
            <wp:extent cx="5264785" cy="2768600"/>
            <wp:effectExtent l="0" t="0" r="8255" b="5080"/>
            <wp:wrapTopAndBottom/>
            <wp:docPr id="1" name="图片 11" descr="截图-www.tengzhou.gov.cn-2026.01.19-16_41_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截图-www.tengzhou.gov.cn-2026.01.19-16_41_0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Times New Roman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2025年，</w:t>
      </w:r>
      <w:r>
        <w:rPr>
          <w:rFonts w:hint="eastAsia" w:ascii="仿宋_GB2312" w:hAnsi="Calibri" w:eastAsia="仿宋_GB2312" w:cs="Times New Roman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发布政</w:t>
      </w:r>
      <w:r>
        <w:rPr>
          <w:rFonts w:hint="eastAsia" w:ascii="仿宋_GB2312" w:hAnsi="Calibri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府全体会议、常务会议</w:t>
      </w:r>
      <w:r>
        <w:rPr>
          <w:rFonts w:hint="eastAsia" w:ascii="仿宋_GB2312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、专题会议</w:t>
      </w:r>
      <w:r>
        <w:rPr>
          <w:rFonts w:hint="eastAsia" w:ascii="仿宋_GB2312" w:hAnsi="Calibri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信息</w:t>
      </w:r>
      <w:r>
        <w:rPr>
          <w:rFonts w:hint="eastAsia" w:asci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19</w:t>
      </w:r>
      <w:r>
        <w:rPr>
          <w:rFonts w:hint="eastAsia" w:ascii="仿宋_GB2312" w:hAnsi="ÃƒÂ¥Ã‚Â¾Ã‚Â®ÃƒÂ¨Ã‚Â½Ã‚Â¯ÃƒÂ©Ã¢â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次</w:t>
      </w:r>
      <w:r>
        <w:rPr>
          <w:rFonts w:hint="eastAsia" w:ascii="仿宋_GB2312" w:hAnsi="Calibri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，</w:t>
      </w:r>
      <w:r>
        <w:rPr>
          <w:rFonts w:hint="eastAsia" w:ascii="仿宋_GB2312" w:hAnsi="ÃƒÂ¥Ã‚Â¾Ã‚Â®ÃƒÂ¨Ã‚Â½Ã‚Â¯ÃƒÂ©Ã¢â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其中会议图解19篇，音频解读19篇，媒体报道19篇，议题解读5篇，媒体解读2篇。</w:t>
      </w:r>
    </w:p>
    <w:p>
      <w:pPr>
        <w:ind w:firstLine="64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222pt;width:387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xcel.Chart.8" ShapeID="_x0000_i1025" DrawAspect="Content" ObjectID="_1468075725" r:id="rId7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ÃƒÂ¥Ã‚Â¾Ã‚Â®ÃƒÂ¨Ã‚Â½Ã‚Â¯ÃƒÂ©Ã¢â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</w:pPr>
      <w:r>
        <w:rPr>
          <w:rFonts w:hint="eastAsia" w:ascii="仿宋_GB2312" w:hAnsi="ÃƒÂ¥Ã‚Â¾Ã‚Â®ÃƒÂ¨Ã‚Â½Ã‚Â¯ÃƒÂ©Ã¢â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多形式、多角度解读政策文件</w:t>
      </w:r>
      <w:r>
        <w:rPr>
          <w:rFonts w:hint="eastAsia" w:asci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28</w:t>
      </w:r>
      <w:r>
        <w:rPr>
          <w:rFonts w:hint="eastAsia" w:ascii="仿宋_GB2312" w:hAnsi="ÃƒÂ¥Ã‚Â¾Ã‚Â®ÃƒÂ¨Ã‚Â½Ã‚Â¯ÃƒÂ©Ã¢â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篇，其中文字解读、简明问答21篇，主要负责人解读</w:t>
      </w:r>
      <w:r>
        <w:rPr>
          <w:rFonts w:hint="eastAsia" w:asci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3</w:t>
      </w:r>
      <w:r>
        <w:rPr>
          <w:rFonts w:hint="eastAsia" w:ascii="仿宋_GB2312" w:hAnsi="ÃƒÂ¥Ã‚Â¾Ã‚Â®ÃƒÂ¨Ã‚Â½Ã‚Â¯ÃƒÂ©Ã¢â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篇，专家解读2篇，媒体解读5篇，新闻发布会</w:t>
      </w:r>
      <w:r>
        <w:rPr>
          <w:rFonts w:hint="eastAsia" w:asci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6</w:t>
      </w:r>
      <w:r>
        <w:rPr>
          <w:rFonts w:hint="eastAsia" w:ascii="仿宋_GB2312" w:hAnsi="ÃƒÂ¥Ã‚Â¾Ã‚Â®ÃƒÂ¨Ã‚Â½Ã‚Â¯ÃƒÂ©Ã¢â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篇，图文解读</w:t>
      </w:r>
      <w:r>
        <w:rPr>
          <w:rFonts w:hint="eastAsia" w:ascii="仿宋_GB2312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6</w:t>
      </w:r>
      <w:r>
        <w:rPr>
          <w:rFonts w:hint="eastAsia" w:ascii="仿宋_GB2312" w:hAnsi="ÃƒÂ¥Ã‚Â¾Ã‚Â®ÃƒÂ¨Ã‚Â½Ã‚Â¯ÃƒÂ©Ã¢â" w:eastAsia="仿宋_GB2312" w:cs="仿宋_GB2312"/>
          <w:b w:val="0"/>
          <w:bCs w:val="0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color="auto" w:fill="auto"/>
          <w:lang w:val="en-US" w:eastAsia="zh-CN" w:bidi="ar"/>
        </w:rPr>
        <w:t>篇，视频解读2篇。</w:t>
      </w:r>
    </w:p>
    <w:p>
      <w:pPr>
        <w:pStyle w:val="2"/>
        <w:jc w:val="center"/>
        <w:rPr>
          <w:rFonts w:hint="eastAsia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>政策文件解读形式占比</w:t>
      </w:r>
    </w:p>
    <w:p>
      <w:pPr>
        <w:pStyle w:val="2"/>
        <w:spacing w:line="24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4900" cy="2476500"/>
            <wp:effectExtent l="9525" t="9525" r="9525" b="9525"/>
            <wp:docPr id="3" name="图片 10" descr="图片1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图片1(1)"/>
                    <pic:cNvPicPr>
                      <a:picLocks noChangeAspect="true"/>
                    </pic:cNvPicPr>
                  </pic:nvPicPr>
                  <pic:blipFill>
                    <a:blip r:embed="rId9"/>
                    <a:srcRect t="1216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643"/>
        <w:jc w:val="both"/>
        <w:textAlignment w:val="auto"/>
        <w:rPr>
          <w:rFonts w:hint="default" w:ascii="仿宋_GB2312" w:hAnsi="Calibri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2.</w:t>
      </w:r>
      <w:r>
        <w:rPr>
          <w:rFonts w:hint="eastAsia" w:ascii="仿宋_GB2312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扩宽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参与</w:t>
      </w:r>
      <w:r>
        <w:rPr>
          <w:rFonts w:hint="eastAsia" w:ascii="仿宋_GB2312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渠道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eastAsia" w:ascii="仿宋_GB2312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构建透明政府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。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2025年，面向社会广泛开展重大行政决策意见征集工作，归集展示决策草案、草案解读、意见征集采纳情况，对于群众提出的意见建议严谨</w:t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2188845</wp:posOffset>
            </wp:positionV>
            <wp:extent cx="5226685" cy="3738880"/>
            <wp:effectExtent l="0" t="0" r="635" b="10160"/>
            <wp:wrapTopAndBottom/>
            <wp:docPr id="2" name="图片 13" descr="7e89dbba-6924-45d2-a97a-1bd5e9c6e38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7e89dbba-6924-45d2-a97a-1bd5e9c6e38d"/>
                    <pic:cNvPicPr>
                      <a:picLocks noChangeAspect="true"/>
                    </pic:cNvPicPr>
                  </pic:nvPicPr>
                  <pic:blipFill>
                    <a:blip r:embed="rId10"/>
                    <a:srcRect b="451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评估，加强反馈；</w:t>
      </w:r>
      <w:r>
        <w:rPr>
          <w:rFonts w:hint="default" w:ascii="仿宋_GB2312" w:hAnsi="微软雅黑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积极推进行政权力全过程公开，邀请市民代表和利益相关方列席政府常务会议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仿宋_GB2312" w:hAnsi="微软雅黑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场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，持续开展“政府开放日活动”，全年共举办活动34场次，广泛邀请企业代表、普通群众以及社会各界代表走进政府机关，实地了解政府部门的机构职能和工作流程。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right="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right="0" w:firstLine="642" w:firstLineChars="200"/>
        <w:jc w:val="both"/>
        <w:textAlignment w:val="auto"/>
        <w:rPr>
          <w:rFonts w:hint="default" w:ascii="仿宋_GB2312" w:hAnsi="ÃƒÂ¥Ã‚Â¾Ã‚Â®ÃƒÂ¨Ã‚Â½Ã‚Â¯ÃƒÂ©Ã¢â" w:eastAsia="仿宋_GB2312" w:cs="仿宋_GB2312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_GB2312" w:hAnsi="Calibri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3.</w:t>
      </w:r>
      <w:r>
        <w:rPr>
          <w:rFonts w:hint="eastAsia" w:ascii="仿宋_GB2312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聚焦核心任务，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highlight w:val="none"/>
          <w:lang w:val="en-US" w:eastAsia="zh-CN" w:bidi="ar-SA"/>
        </w:rPr>
        <w:t>保障信息质量。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2025年在滕州市人民政府官方网站政府信息公开页面发布政府信息7630条。其中，发布规划计划89条；本级政府及部门单位财政预决算信息256条；行政事业性收费、政府性基金目录信息50条；统计数据、统计分析及解读信息14条；人事信息28条。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Style w:val="9"/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 </w:t>
      </w: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（二）依申请公开情况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2025年，共办理政府信息公开申请482件（含上年结转政府信息公开申请7件），新收政府信息公开475件，较去年增加了32.3%。从申请内容看，主要涉及房屋拆迁、土地征收等方面。从申请答复看，“予以公开”166件；“部分公开”78件；“不予公开”38件；“无法提供”102件；“不予处理”20件；“其他处理”41件；转下年度办理37件。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仿宋_GB2312" w:hAnsi="宋体" w:eastAsia="仿宋_GB2312" w:cs="仿宋_GB2312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838065" cy="2834640"/>
            <wp:effectExtent l="0" t="0" r="8255" b="0"/>
            <wp:docPr id="5" name="图片 22" descr="4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44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881880" cy="2751455"/>
            <wp:effectExtent l="0" t="0" r="13970" b="10795"/>
            <wp:docPr id="4" name="图片 21" descr="3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33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全市所有部门单位和镇街因信息公开被行政复议65次，其中结果维持26次，结果纠正14次，其他结果14次，尚未审结11次；行政诉讼5件，结果维持1件，其他结果1件，尚未审结3件。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right="0" w:rightChars="0" w:firstLine="640" w:firstLineChars="200"/>
        <w:jc w:val="both"/>
        <w:textAlignment w:val="auto"/>
        <w:rPr>
          <w:rFonts w:hint="eastAsia" w:ascii="楷体" w:hAnsi="楷体" w:eastAsia="楷体" w:cs="楷体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highlight w:val="none"/>
          <w:lang w:val="en-US" w:eastAsia="zh-CN" w:bidi="ar-SA"/>
        </w:rPr>
        <w:t>（三）政府信息管理情况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宋体" w:eastAsia="仿宋_GB2312" w:cs="仿宋_GB2312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一是</w:t>
      </w:r>
      <w:r>
        <w:rPr>
          <w:rFonts w:hint="eastAsia" w:ascii="仿宋_GB2312" w:hAnsi="宋体" w:eastAsia="仿宋_GB2312" w:cs="仿宋_GB2312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有效统筹政务公开与安全保密。动态更新主动公开事项目录，推动法定公开事项应公开尽公开，其他事项审慎公开。严格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落实信息公开保密审查制度，坚持“先审查、后公开”和“一事一审”原则，完善公文公开属性源头认定机制，不断提升网站公开信息的质量和时效。2025年未发生因政府信息公开导致的涉密文件泄露事件。</w:t>
      </w:r>
      <w:r>
        <w:rPr>
          <w:rFonts w:hint="eastAsia" w:ascii="仿宋_GB2312" w:hAnsi="宋体" w:eastAsia="仿宋_GB2312" w:cs="仿宋_GB2312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二是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规范实施文件库归集管理。结合市政府规章以及行政规范性文件的定期清理工作，实现与省文件库实时同步更新，确保文件库及时反映政策调整和变化，为公众提供最新、最准确的信息。</w:t>
      </w:r>
      <w:r>
        <w:rPr>
          <w:rFonts w:hint="eastAsia" w:ascii="仿宋_GB2312" w:hAnsi="宋体" w:eastAsia="仿宋_GB2312" w:cs="仿宋_GB2312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三是</w:t>
      </w:r>
      <w:r>
        <w:rPr>
          <w:rFonts w:hint="eastAsia" w:ascii="仿宋_GB2312" w:hAnsi="宋体" w:eastAsia="仿宋_GB2312" w:cs="仿宋_GB2312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扎实推进历史沿革文件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归集管理，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将20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16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年至今的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历史沿革政策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文件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集中上传至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历史沿革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文件库，确保历史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政策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信息可追溯、可查询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实现更加便捷、人性化的检索服务。</w:t>
      </w:r>
      <w:r>
        <w:rPr>
          <w:rFonts w:hint="eastAsia" w:ascii="仿宋_GB2312" w:hAnsi="宋体" w:eastAsia="仿宋_GB2312" w:cs="仿宋_GB2312"/>
          <w:b/>
          <w:bCs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四</w:t>
      </w:r>
      <w:r>
        <w:rPr>
          <w:rFonts w:hint="eastAsia" w:ascii="仿宋_GB2312" w:hAnsi="宋体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是</w:t>
      </w:r>
      <w:r>
        <w:rPr>
          <w:rFonts w:hint="eastAsia" w:ascii="仿宋_GB2312" w:hAnsi="Arial" w:eastAsia="仿宋_GB2312" w:cs="仿宋_GB2312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持续发挥政府公报功能。编制印发政府公报</w:t>
      </w:r>
      <w:r>
        <w:rPr>
          <w:rFonts w:hint="eastAsia" w:ascii="仿宋_GB2312" w:hAnsi="Arial" w:eastAsia="仿宋_GB2312" w:cs="仿宋_GB2312"/>
          <w:i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4</w:t>
      </w:r>
      <w:r>
        <w:rPr>
          <w:rFonts w:hint="eastAsia" w:ascii="仿宋_GB2312" w:hAnsi="Arial" w:eastAsia="仿宋_GB2312" w:cs="仿宋_GB2312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期</w:t>
      </w:r>
      <w:r>
        <w:rPr>
          <w:rFonts w:hint="eastAsia" w:ascii="仿宋_GB2312" w:hAnsi="Arial" w:eastAsia="仿宋_GB2312" w:cs="仿宋_GB2312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除在政府网站公报专题页面发布外，同步向各单位政务公开体验区、档案馆和图书馆政府信息公开查阅中心等场所分发纸质版本，供公众免费查阅，切实提升政策信息的获取边力度。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right="0" w:rightChars="0" w:firstLine="640" w:firstLineChars="200"/>
        <w:jc w:val="both"/>
        <w:textAlignment w:val="auto"/>
        <w:rPr>
          <w:rFonts w:hint="eastAsia" w:ascii="仿宋_GB2312" w:hAnsi="宋体" w:eastAsia="仿宋_GB2312" w:cs="仿宋_GB2312"/>
          <w:b/>
          <w:bCs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2"/>
          <w:sz w:val="32"/>
          <w:szCs w:val="32"/>
          <w:highlight w:val="none"/>
          <w:lang w:val="en-US" w:eastAsia="zh-CN" w:bidi="ar-SA"/>
        </w:rPr>
        <w:t>（四）平台建设情况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一是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发挥门户网站“主阵地”作用。坚持以提升用户体验为导向，持续优化提升市政府网站功能和栏目设置，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加强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重点领域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18个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专题专栏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建设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维护，对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政府开放日、重大建设项目、重大决策预公开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等专题进行梳理优化，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主动回应群众关切。</w:t>
      </w:r>
      <w:r>
        <w:rPr>
          <w:rFonts w:hint="eastAsia" w:ascii="仿宋_GB2312" w:hAnsi="宋体" w:eastAsia="仿宋_GB2312" w:cs="仿宋_GB2312"/>
          <w:b/>
          <w:bCs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二是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保障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网站和新媒体运行质量。建立健全常态化监测评估机制，对政府网站和政务新媒体实施精细化管理，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定期组织第三方检测普查，全年共完成政府网站检测普查</w:t>
      </w:r>
      <w:r>
        <w:rPr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4次，新媒体检测普查4次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督促各责任单位及时转载更新内容，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确保政务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信息发布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及时、服务可用、互动有效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三是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规范线下政务公开专区建设。2025年新建红荷湿地、贵诚购物中心、人民医院三处政务公开体验区，推动专区服务向旅游景区、商超、医院等场所延伸。组织开展专区督导检查3次，指导完善服务规范、管理制度和运行机制，优化政府信息查询、公开申请、办事咨询等功能，切实提升专区服务实效。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kern w:val="2"/>
          <w:sz w:val="32"/>
          <w:szCs w:val="32"/>
          <w:highlight w:val="none"/>
          <w:lang w:val="en-US" w:eastAsia="zh-CN" w:bidi="ar-SA"/>
        </w:rPr>
        <w:t>（五）监督保障情况　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/>
        </w:rPr>
      </w:pPr>
      <w:r>
        <w:rPr>
          <w:rFonts w:ascii="仿宋_GB2312" w:hAnsi="宋体" w:eastAsia="仿宋_GB2312" w:cs="仿宋_GB2312"/>
          <w:b/>
          <w:bCs/>
          <w:i w:val="0"/>
          <w:caps w:val="0"/>
          <w:color w:val="auto"/>
          <w:spacing w:val="0"/>
          <w:kern w:val="0"/>
          <w:sz w:val="32"/>
          <w:szCs w:val="32"/>
          <w:highlight w:val="none"/>
          <w:lang w:val="en-US" w:eastAsia="zh-CN" w:bidi="ar"/>
        </w:rPr>
        <w:t>一是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强化组织领导，凝聚攻坚克难合力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。统筹协调全市政务公开工作，主动适应信息化发展要求，加强顶层设计和制度体系建设，及时规范政务公开工作流程。明确各部门、各单位在政务公开工作中的职责分工，确保工作衔接紧密、责任落实到位。</w:t>
      </w:r>
      <w:r>
        <w:rPr>
          <w:rFonts w:hint="eastAsia" w:ascii="仿宋_GB2312" w:hAnsi="宋体" w:eastAsia="仿宋_GB2312" w:cs="仿宋_GB2312"/>
          <w:b/>
          <w:bCs/>
          <w:i w:val="0"/>
          <w:caps w:val="0"/>
          <w:color w:val="auto"/>
          <w:spacing w:val="0"/>
          <w:kern w:val="0"/>
          <w:sz w:val="32"/>
          <w:szCs w:val="32"/>
          <w:highlight w:val="none"/>
          <w:lang w:val="en-US" w:eastAsia="zh-CN" w:bidi="ar"/>
        </w:rPr>
        <w:t>二是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健全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监督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机制，提供规范运行保障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进一步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落实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政务公开专项督查、专人日常监测、问题整改一体化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推进机制，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持续提升政务公开工作质效。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同时，加强对信息时效性、规范性、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内容准确性和链接可用性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等关键要素的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常态化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检查。针对不同类型的信息，制定详细的发布标准和审核流程，确保信息内容准确、完整、规范，切实提升</w:t>
      </w:r>
      <w:r>
        <w:rPr>
          <w:rFonts w:hint="eastAsia" w:ascii="仿宋_GB2312" w:hAnsi="Times New Roman" w:eastAsia="仿宋_GB2312" w:cs="仿宋_GB2312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政务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信息发布质量。</w:t>
      </w:r>
      <w:r>
        <w:rPr>
          <w:rFonts w:hint="eastAsia" w:ascii="仿宋_GB2312" w:hAnsi="宋体" w:eastAsia="仿宋_GB2312" w:cs="仿宋_GB2312"/>
          <w:b/>
          <w:bCs/>
          <w:i w:val="0"/>
          <w:caps w:val="0"/>
          <w:color w:val="auto"/>
          <w:spacing w:val="0"/>
          <w:kern w:val="0"/>
          <w:sz w:val="32"/>
          <w:szCs w:val="32"/>
          <w:highlight w:val="none"/>
          <w:lang w:val="en-US" w:eastAsia="zh-CN" w:bidi="ar"/>
        </w:rPr>
        <w:t>三是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锤炼骨干队伍，激发干事创业动能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通过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专题培训、召开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工作推进会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调度会等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多种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形式，</w:t>
      </w:r>
      <w:r>
        <w:rPr>
          <w:rFonts w:hint="eastAsia" w:ascii="仿宋_GB2312" w:hAnsi="Times New Roman" w:eastAsia="仿宋_GB2312" w:cs="仿宋_GB2312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搭建常态化学习交流平台。一方面，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邀请业内专家及法律顾问开展针对性培训，着力增强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政策解读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与依申请公开工作办理质效；另一方面，强化跨部门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工作交流与沟通，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不断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推动政务公开工作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提质增效、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发展。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Autospacing="0" w:afterAutospacing="0" w:line="600" w:lineRule="exact"/>
        <w:ind w:firstLine="640" w:firstLineChars="200"/>
        <w:jc w:val="both"/>
        <w:textAlignment w:val="auto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二、主动公开政府信息情况</w:t>
      </w:r>
    </w:p>
    <w:tbl>
      <w:tblPr>
        <w:tblStyle w:val="7"/>
        <w:tblW w:w="882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2206"/>
        <w:gridCol w:w="2206"/>
        <w:gridCol w:w="22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第二十条第（一）项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本年制发件数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本年废止件数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现行有效件数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规章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rPr>
          <w:trHeight w:val="65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行政规范性文件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 xml:space="preserve">2 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Calibri"/>
                <w:color w:val="000000"/>
                <w:kern w:val="0"/>
                <w:szCs w:val="21"/>
                <w:lang w:val="en-US" w:eastAsia="zh-CN"/>
              </w:rPr>
              <w:t>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第二十条第（五）项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行政许可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Calibri"/>
                <w:color w:val="000000"/>
                <w:kern w:val="0"/>
                <w:szCs w:val="21"/>
                <w:lang w:val="en-US" w:eastAsia="zh-CN"/>
              </w:rPr>
              <w:t xml:space="preserve">104530 </w:t>
            </w:r>
          </w:p>
        </w:tc>
      </w:tr>
      <w:tr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第二十条第（六）项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行政处罚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 xml:space="preserve">121540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行政强制</w:t>
            </w:r>
          </w:p>
        </w:tc>
        <w:tc>
          <w:tcPr>
            <w:tcW w:w="66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 xml:space="preserve">13633 </w:t>
            </w:r>
          </w:p>
        </w:tc>
      </w:tr>
      <w:tr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第二十条第（八）项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行政事业性收费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Calibri"/>
                <w:color w:val="000000"/>
                <w:kern w:val="0"/>
                <w:szCs w:val="21"/>
                <w:lang w:val="en-US" w:eastAsia="zh-CN"/>
              </w:rPr>
              <w:t xml:space="preserve">787.621 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both"/>
        <w:textAlignment w:val="auto"/>
        <w:rPr>
          <w:rFonts w:hint="eastAsia" w:ascii="黑体" w:hAnsi="黑体" w:eastAsia="黑体" w:cs="黑体"/>
          <w:b w:val="0"/>
          <w:bCs/>
          <w:color w:val="auto"/>
          <w:sz w:val="40"/>
          <w:szCs w:val="40"/>
          <w:highlight w:val="yellow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Style w:val="7"/>
        <w:tblW w:w="99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1701"/>
        <w:gridCol w:w="2976"/>
        <w:gridCol w:w="829"/>
        <w:gridCol w:w="567"/>
        <w:gridCol w:w="567"/>
        <w:gridCol w:w="731"/>
        <w:gridCol w:w="708"/>
        <w:gridCol w:w="567"/>
        <w:gridCol w:w="85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093" w:type="dxa"/>
            <w:gridSpan w:val="3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楷体_GB2312" w:hAnsi="黑体" w:eastAsia="楷体_GB2312"/>
                <w:color w:val="auto"/>
                <w:kern w:val="0"/>
                <w:szCs w:val="21"/>
              </w:rPr>
            </w:pPr>
            <w:r>
              <w:rPr>
                <w:rFonts w:hint="eastAsia" w:ascii="楷体_GB2312" w:hAnsi="黑体" w:eastAsia="楷体_GB2312"/>
                <w:color w:val="auto"/>
                <w:kern w:val="0"/>
                <w:szCs w:val="21"/>
              </w:rPr>
              <w:t>（本列数据的勾稽关系为：第一项加第二项之和，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Times New Roman" w:eastAsia="仿宋_GB2312"/>
                <w:color w:val="auto"/>
                <w:szCs w:val="21"/>
              </w:rPr>
            </w:pPr>
            <w:r>
              <w:rPr>
                <w:rFonts w:hint="eastAsia" w:ascii="楷体_GB2312" w:hAnsi="黑体" w:eastAsia="楷体_GB2312"/>
                <w:color w:val="auto"/>
                <w:kern w:val="0"/>
                <w:szCs w:val="21"/>
              </w:rPr>
              <w:t>等于第三项加第四项之和）</w:t>
            </w:r>
          </w:p>
        </w:tc>
        <w:tc>
          <w:tcPr>
            <w:tcW w:w="4820" w:type="dxa"/>
            <w:gridSpan w:val="7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5093" w:type="dxa"/>
            <w:gridSpan w:val="3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Times New Roman" w:eastAsia="仿宋_GB2312"/>
                <w:color w:val="auto"/>
                <w:szCs w:val="21"/>
              </w:rPr>
            </w:pPr>
          </w:p>
        </w:tc>
        <w:tc>
          <w:tcPr>
            <w:tcW w:w="829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自然人</w:t>
            </w:r>
          </w:p>
        </w:tc>
        <w:tc>
          <w:tcPr>
            <w:tcW w:w="3140" w:type="dxa"/>
            <w:gridSpan w:val="5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法人或其他组织</w:t>
            </w:r>
          </w:p>
        </w:tc>
        <w:tc>
          <w:tcPr>
            <w:tcW w:w="851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总计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93" w:type="dxa"/>
            <w:gridSpan w:val="3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Times New Roman" w:eastAsia="仿宋_GB2312"/>
                <w:color w:val="auto"/>
                <w:szCs w:val="21"/>
              </w:rPr>
            </w:pPr>
          </w:p>
        </w:tc>
        <w:tc>
          <w:tcPr>
            <w:tcW w:w="829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6" w:leftChars="-51" w:right="-107" w:rightChars="-51" w:hanging="1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商业企业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7" w:leftChars="-51" w:right="-107" w:rightChars="-51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科研机构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7" w:leftChars="-51" w:right="-107" w:rightChars="-51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社会公益组织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6" w:leftChars="-51" w:right="-107" w:rightChars="-51" w:hanging="1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法律服务机构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63" w:leftChars="-30" w:right="-134" w:rightChars="-64"/>
              <w:jc w:val="center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其他</w:t>
            </w:r>
          </w:p>
        </w:tc>
        <w:tc>
          <w:tcPr>
            <w:tcW w:w="85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Times New Roman" w:eastAsia="仿宋_GB2312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trHeight w:val="831" w:hRule="atLeast"/>
          <w:jc w:val="center"/>
        </w:trPr>
        <w:tc>
          <w:tcPr>
            <w:tcW w:w="5093" w:type="dxa"/>
            <w:gridSpan w:val="3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一、</w:t>
            </w:r>
            <w:bookmarkStart w:id="0" w:name="_Hlk66973412"/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本年新收政府信息公开申请数量</w:t>
            </w:r>
            <w:bookmarkEnd w:id="0"/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468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475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  <w:jc w:val="center"/>
        </w:trPr>
        <w:tc>
          <w:tcPr>
            <w:tcW w:w="5093" w:type="dxa"/>
            <w:gridSpan w:val="3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二、上年结转政府信息公开申请数量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jc w:val="center"/>
        </w:trPr>
        <w:tc>
          <w:tcPr>
            <w:tcW w:w="416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三、本年度办理结果</w:t>
            </w:r>
          </w:p>
        </w:tc>
        <w:tc>
          <w:tcPr>
            <w:tcW w:w="4677" w:type="dxa"/>
            <w:gridSpan w:val="2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（一）予以公开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163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166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4677" w:type="dxa"/>
            <w:gridSpan w:val="2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（二）部分公开（</w:t>
            </w:r>
            <w:bookmarkStart w:id="1" w:name="_Hlk66973981"/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区分处理的，只计这一情形，不计其他情形</w:t>
            </w:r>
            <w:bookmarkEnd w:id="1"/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）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77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78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7" w:leftChars="-51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（三）不予公开</w:t>
            </w: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1.属于国家秘密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2.</w:t>
            </w:r>
            <w:bookmarkStart w:id="2" w:name="_Hlk66974104"/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其他法律行政法规禁止公开</w:t>
            </w:r>
            <w:bookmarkEnd w:id="2"/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3.危及“三安全一稳定”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4.</w:t>
            </w:r>
            <w:bookmarkStart w:id="3" w:name="_Hlk66974290"/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保护第三方合法权益</w:t>
            </w:r>
            <w:bookmarkEnd w:id="3"/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5.属于三类内部事务信息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6.</w:t>
            </w:r>
            <w:bookmarkStart w:id="4" w:name="_Hlk66974555"/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属于四类过程性信息</w:t>
            </w:r>
            <w:bookmarkEnd w:id="4"/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7.属于行政执法案卷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8.</w:t>
            </w:r>
            <w:bookmarkStart w:id="5" w:name="_Hlk66975211"/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属于行政查询事项</w:t>
            </w:r>
            <w:bookmarkEnd w:id="5"/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7" w:leftChars="-51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（四）无法提供</w:t>
            </w: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1.本机关不掌握相关政府信息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95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7" w:leftChars="-51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2.</w:t>
            </w:r>
            <w:bookmarkStart w:id="6" w:name="_Hlk66975392"/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没有现成信息需要另行制作</w:t>
            </w:r>
            <w:bookmarkEnd w:id="6"/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7" w:leftChars="-51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3.</w:t>
            </w:r>
            <w:bookmarkStart w:id="7" w:name="_Hlk66975466"/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补正后申请内容仍不明确</w:t>
            </w:r>
            <w:bookmarkEnd w:id="7"/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7" w:leftChars="-51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（五）不予处理</w:t>
            </w: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1.</w:t>
            </w:r>
            <w:bookmarkStart w:id="8" w:name="_Hlk66975537"/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信访举报投诉类申请</w:t>
            </w:r>
            <w:bookmarkEnd w:id="8"/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2.重复申请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3.要求提供公开出版物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exac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4.无正当理由大量反复申请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2976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5.要求行政机关确认或重新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szCs w:val="21"/>
              </w:rPr>
            </w:pPr>
            <w:r>
              <w:rPr>
                <w:rFonts w:hint="eastAsia" w:ascii="仿宋_GB2312" w:hAnsi="黑体" w:eastAsia="仿宋_GB2312"/>
                <w:color w:val="auto"/>
                <w:kern w:val="0"/>
                <w:szCs w:val="21"/>
              </w:rPr>
              <w:t>出具已获取信息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（六）其他处理</w:t>
            </w:r>
          </w:p>
        </w:tc>
        <w:tc>
          <w:tcPr>
            <w:tcW w:w="29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楷体" w:eastAsia="仿宋_GB2312"/>
                <w:color w:val="auto"/>
              </w:rPr>
            </w:pPr>
            <w:r>
              <w:rPr>
                <w:rFonts w:hint="eastAsia" w:ascii="仿宋_GB2312" w:hAnsi="楷体" w:eastAsia="仿宋_GB2312"/>
                <w:color w:val="auto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kern w:val="0"/>
                <w:szCs w:val="21"/>
              </w:rPr>
            </w:pPr>
          </w:p>
        </w:tc>
        <w:tc>
          <w:tcPr>
            <w:tcW w:w="29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楷体" w:eastAsia="仿宋_GB2312"/>
                <w:color w:val="auto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170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kern w:val="0"/>
                <w:szCs w:val="21"/>
              </w:rPr>
            </w:pPr>
          </w:p>
        </w:tc>
        <w:tc>
          <w:tcPr>
            <w:tcW w:w="29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黑体" w:eastAsia="仿宋_GB2312"/>
                <w:color w:val="auto"/>
                <w:kern w:val="0"/>
                <w:szCs w:val="21"/>
              </w:rPr>
            </w:pPr>
            <w:r>
              <w:rPr>
                <w:rFonts w:hint="eastAsia" w:ascii="仿宋_GB2312" w:hAnsi="楷体" w:eastAsia="仿宋_GB2312"/>
                <w:color w:val="auto"/>
              </w:rPr>
              <w:t>3.其他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33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33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416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szCs w:val="21"/>
              </w:rPr>
            </w:pPr>
          </w:p>
        </w:tc>
        <w:tc>
          <w:tcPr>
            <w:tcW w:w="4677" w:type="dxa"/>
            <w:gridSpan w:val="2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（七）总计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438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  <w:t>445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5093" w:type="dxa"/>
            <w:gridSpan w:val="3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黑体" w:hAnsi="黑体" w:eastAsia="黑体"/>
                <w:color w:val="auto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kern w:val="0"/>
                <w:szCs w:val="21"/>
              </w:rPr>
              <w:t>四、结转下年度继续办理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37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37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Autospacing="0" w:afterAutospacing="0" w:line="600" w:lineRule="exact"/>
        <w:jc w:val="both"/>
        <w:textAlignment w:val="auto"/>
        <w:rPr>
          <w:rFonts w:ascii="宋体" w:hAnsi="宋体" w:eastAsia="宋体" w:cs="宋体"/>
          <w:color w:val="auto"/>
        </w:rPr>
      </w:pPr>
      <w:r>
        <w:rPr>
          <w:rFonts w:hint="eastAsia" w:ascii="黑体" w:hAnsi="黑体" w:eastAsia="黑体" w:cs="宋体"/>
          <w:color w:val="auto"/>
          <w:sz w:val="32"/>
          <w:szCs w:val="32"/>
          <w:shd w:val="clear" w:color="auto" w:fill="FFFFFF"/>
        </w:rPr>
        <w:t>四、政府信息公开行政复议、行政诉讼情况</w:t>
      </w:r>
    </w:p>
    <w:tbl>
      <w:tblPr>
        <w:tblStyle w:val="7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49" w:leftChars="-71" w:right="-170" w:rightChars="-81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49" w:leftChars="-71" w:right="-170" w:rightChars="-81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43" w:leftChars="-21" w:right="-132" w:rightChars="-63" w:hanging="1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82" w:leftChars="-39" w:right="-97" w:rightChars="-46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18" w:leftChars="-56" w:right="-118" w:rightChars="-56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18" w:leftChars="-56" w:right="-118" w:rightChars="-56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黑体" w:hAnsi="黑体" w:eastAsia="黑体"/>
              </w:rPr>
            </w:pPr>
            <w:bookmarkStart w:id="9" w:name="_Hlk67039688"/>
            <w:r>
              <w:rPr>
                <w:rFonts w:ascii="黑体" w:hAnsi="黑体" w:eastAsia="黑体"/>
                <w:kern w:val="0"/>
                <w:sz w:val="20"/>
                <w:szCs w:val="20"/>
              </w:rPr>
              <w:t>复议后起诉</w:t>
            </w:r>
            <w:bookmarkEnd w:id="9"/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黑体" w:hAnsi="黑体" w:eastAsia="黑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26" w:rightChars="-60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86" w:leftChars="-41" w:right="-88" w:rightChars="-42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26" w:leftChars="-60" w:right="-136" w:rightChars="-65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26" w:leftChars="-60" w:right="-136" w:rightChars="-65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64" w:leftChars="-78" w:right="-153" w:rightChars="-73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64" w:leftChars="-78" w:right="-153" w:rightChars="-73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99" w:leftChars="-47" w:right="-78" w:rightChars="-37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36" w:leftChars="-65" w:right="-124" w:rightChars="-59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36" w:leftChars="-65" w:right="-124" w:rightChars="-59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73" w:leftChars="-83" w:right="-134" w:rightChars="-64" w:hanging="1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73" w:leftChars="-83" w:right="-134" w:rightChars="-64" w:hanging="1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67" w:leftChars="-33" w:right="-105" w:rightChars="-50" w:hanging="2" w:hangingChars="1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 xml:space="preserve"> 26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65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Cs w:val="21"/>
                <w:lang w:val="en-US" w:eastAsia="zh-CN"/>
              </w:rPr>
              <w:t>5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Autospacing="0" w:afterAutospacing="0" w:line="600" w:lineRule="exact"/>
        <w:jc w:val="both"/>
        <w:textAlignment w:val="auto"/>
        <w:rPr>
          <w:rFonts w:hint="eastAsia" w:ascii="黑体" w:hAnsi="黑体" w:eastAsia="黑体" w:cs="宋体"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宋体"/>
          <w:color w:val="auto"/>
          <w:sz w:val="32"/>
          <w:szCs w:val="32"/>
          <w:shd w:val="clear" w:color="auto" w:fill="FFFFFF"/>
          <w:lang w:val="en-US" w:eastAsia="zh-CN"/>
        </w:rPr>
        <w:t>五、</w:t>
      </w:r>
      <w:r>
        <w:rPr>
          <w:rFonts w:hint="eastAsia" w:ascii="黑体" w:hAnsi="黑体" w:eastAsia="黑体" w:cs="宋体"/>
          <w:color w:val="auto"/>
          <w:sz w:val="32"/>
          <w:szCs w:val="32"/>
          <w:shd w:val="clear" w:color="auto" w:fill="FFFFFF"/>
        </w:rPr>
        <w:t>存在的主要问题及改进情况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主要问题：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一是</w:t>
      </w:r>
      <w:r>
        <w:rPr>
          <w:rFonts w:hint="eastAsia" w:ascii="仿宋_GB2312" w:hAnsi="微软雅黑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对已公开政府信息的动态管理有待加强，个别信息未能根据政策调整等情况及时更新，存在更新滞后、信息过时带来的安全风险等问题。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二是</w:t>
      </w:r>
      <w:r>
        <w:rPr>
          <w:rFonts w:hint="eastAsia" w:ascii="仿宋_GB2312" w:hAnsi="微软雅黑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依申请公开办理规范化程度参差不齐，部分单位对依申请公开工作重视不足，不同部门、镇街在受理流程、办理标准和答复质量上差异较大。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三是</w:t>
      </w:r>
      <w:r>
        <w:rPr>
          <w:rFonts w:hint="eastAsia" w:ascii="仿宋_GB2312" w:hAnsi="微软雅黑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人员配备与能力建设存在短板，部分单位因业务人员流动，工作衔接不到位，导致业务接续不畅，队伍业务能力呈碎片化状态，制约了工作质量的提升与服务效能的优化。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  <w:lang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改进情况：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一是</w:t>
      </w:r>
      <w:r>
        <w:rPr>
          <w:rFonts w:hint="eastAsia" w:ascii="仿宋_GB2312" w:hAnsi="微软雅黑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优化政府信息动态管理，明确不同类型信息在政府网站、政务新媒体等渠道公开的时限，加强对已公开信息安全风险监测，有效识别并妥善处理敏感信息，确保公开信息准确、安全、有效。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二是</w:t>
      </w:r>
      <w:r>
        <w:rPr>
          <w:rFonts w:hint="eastAsia" w:ascii="仿宋_GB2312" w:hAnsi="微软雅黑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规范依申请公开工作。坚持依法办理、规范答复，组织工作人员学习依申请公开典型案例和规范答复流程，提高全市依申请公开案件办理水平。针对社会民生高频申请事项，协调组织相关部门会商研究，形成相对统一的答复标准，保障群众获取政府信息的权利。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三是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健全政务公开长效推进机制，</w:t>
      </w:r>
      <w:r>
        <w:rPr>
          <w:rFonts w:hint="eastAsia" w:ascii="仿宋_GB2312" w:hAnsi="微软雅黑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常态化组织开展调研、座谈会、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集中办公</w:t>
      </w:r>
      <w:r>
        <w:rPr>
          <w:rFonts w:hint="eastAsia" w:ascii="仿宋_GB2312" w:hAnsi="微软雅黑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等形式多样的交流培训活动，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全面提高新上岗人员责任意识和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履职能力，推动</w:t>
      </w:r>
      <w:r>
        <w:rPr>
          <w:rFonts w:hint="eastAsia" w:ascii="仿宋_GB2312" w:hAnsi="微软雅黑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全市政府信息公开工作整水平稳步提升。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</w:rPr>
        <w:t>六、其他需要报告的事项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default" w:ascii="仿宋_GB2312" w:eastAsia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收取信息处理费情况方面。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CN"/>
        </w:rPr>
        <w:t>2025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年度，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CN"/>
        </w:rPr>
        <w:t>滕州市政府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未收取信息处理费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CN"/>
        </w:rPr>
        <w:t>。所属部门单位共收取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信息处理费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450元。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落实上级年度政务公开工作要点情况。进一步完善政务公开制度机制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，围绕重要决策部署、夯实政务公开基础、重点领域信息公开、提高政策公开质量等方面深化公开，对政府网站栏目设置进行优化调整，确保上级各项工作任务落实到位。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eastAsia="仿宋_GB2312"/>
          <w:strike/>
          <w:dstrike w:val="0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人大代表建议和政协提案办理情况方面。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2025</w:t>
      </w:r>
      <w:r>
        <w:rPr>
          <w:rFonts w:hint="eastAsia" w:ascii="仿宋_GB2312" w:eastAsia="仿宋_GB2312"/>
          <w:color w:val="auto"/>
          <w:sz w:val="32"/>
          <w:szCs w:val="32"/>
        </w:rPr>
        <w:t>年，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人民政府承办</w:t>
      </w:r>
      <w:r>
        <w:rPr>
          <w:rFonts w:hint="eastAsia" w:ascii="仿宋_GB2312" w:eastAsia="仿宋_GB2312"/>
          <w:color w:val="auto"/>
          <w:sz w:val="32"/>
          <w:szCs w:val="32"/>
        </w:rPr>
        <w:t>人大代表建议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103件，承办</w:t>
      </w:r>
      <w:r>
        <w:rPr>
          <w:rFonts w:hint="eastAsia" w:ascii="仿宋_GB2312" w:eastAsia="仿宋_GB2312"/>
          <w:color w:val="auto"/>
          <w:sz w:val="32"/>
          <w:szCs w:val="32"/>
        </w:rPr>
        <w:t>政协提案</w:t>
      </w:r>
      <w:r>
        <w:rPr>
          <w:rFonts w:hint="eastAsia" w:ascii="仿宋_GB2312" w:hAnsi="Times New Roman" w:eastAsia="仿宋_GB2312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309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件，已全部办结，并根据情况向社会公布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仿宋_GB2312" w:eastAsia="仿宋_GB2312"/>
          <w:color w:val="auto"/>
          <w:sz w:val="32"/>
          <w:szCs w:val="32"/>
          <w:highlight w:val="none"/>
        </w:rPr>
        <w:t>开展政务公开创新方面。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一是</w:t>
      </w:r>
      <w:r>
        <w:rPr>
          <w:rFonts w:hint="eastAsia" w:hAnsi="仿宋_GB2312" w:cs="仿宋_GB2312"/>
          <w:sz w:val="32"/>
          <w:szCs w:val="32"/>
          <w:lang w:val="en-US" w:eastAsia="zh-CN"/>
        </w:rPr>
        <w:t>拓宽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公众参与渠道</w:t>
      </w:r>
      <w:r>
        <w:rPr>
          <w:rFonts w:hint="eastAsia" w:hAnsi="仿宋_GB2312" w:cs="仿宋_GB2312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加强</w:t>
      </w:r>
      <w:r>
        <w:rPr>
          <w:rFonts w:hint="eastAsia" w:hAnsi="仿宋_GB2312" w:cs="仿宋_GB2312"/>
          <w:sz w:val="32"/>
          <w:szCs w:val="32"/>
          <w:lang w:val="en-US" w:eastAsia="zh-CN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重要政策、重大决策</w:t>
      </w:r>
      <w:r>
        <w:rPr>
          <w:rFonts w:hint="eastAsia" w:hAnsi="仿宋_GB2312" w:cs="仿宋_GB2312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重点领域信息的宣传推送</w:t>
      </w:r>
      <w:r>
        <w:rPr>
          <w:rFonts w:hint="eastAsia" w:hAnsi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解读，推动政务公开向基层延伸，增进政民互动和公众参与，打通</w:t>
      </w:r>
      <w:r>
        <w:rPr>
          <w:rFonts w:hint="eastAsia" w:hAnsi="仿宋_GB2312" w:cs="仿宋_GB2312"/>
          <w:sz w:val="32"/>
          <w:szCs w:val="32"/>
          <w:lang w:val="en-US" w:eastAsia="zh-CN"/>
        </w:rPr>
        <w:t>政策落地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“最后一公里”。2025年</w:t>
      </w:r>
      <w:r>
        <w:rPr>
          <w:rFonts w:hint="eastAsia" w:hAnsi="仿宋_GB2312" w:cs="仿宋_GB2312"/>
          <w:sz w:val="32"/>
          <w:szCs w:val="32"/>
          <w:lang w:val="en-US" w:eastAsia="zh-CN"/>
        </w:rPr>
        <w:t>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组织开展“政府开放日”系列活动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34场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eastAsia" w:hAnsi="仿宋_GB2312" w:cs="仿宋_GB2312"/>
          <w:sz w:val="32"/>
          <w:szCs w:val="32"/>
          <w:lang w:val="en-US" w:eastAsia="zh-CN"/>
        </w:rPr>
        <w:t>有效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搭建政府与群众之间的沟通桥梁，增强政府公信力、凝聚力和执行力。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拓展专区</w:t>
      </w:r>
      <w:r>
        <w:rPr>
          <w:rFonts w:hint="eastAsia" w:hAnsi="仿宋_GB2312" w:cs="仿宋_GB2312"/>
          <w:sz w:val="32"/>
          <w:szCs w:val="32"/>
          <w:lang w:val="en-US" w:eastAsia="zh-CN"/>
        </w:rPr>
        <w:t>服务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阵地</w:t>
      </w:r>
      <w:r>
        <w:rPr>
          <w:rFonts w:hint="eastAsia" w:hAnsi="仿宋_GB2312" w:cs="仿宋_GB2312"/>
          <w:sz w:val="32"/>
          <w:szCs w:val="32"/>
          <w:lang w:val="en-US" w:eastAsia="zh-CN"/>
        </w:rPr>
        <w:t>建设。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在原有政务公开专区基础上</w:t>
      </w:r>
      <w:r>
        <w:rPr>
          <w:rFonts w:hint="eastAsia" w:hAnsi="仿宋_GB2312" w:cs="仿宋_GB2312"/>
          <w:sz w:val="32"/>
          <w:szCs w:val="32"/>
          <w:lang w:val="en-US" w:eastAsia="zh-CN"/>
        </w:rPr>
        <w:t>，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新建红荷湿地、贵诚购物中心、人民医院三处政务公开体验区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配备自助查询终端、政策宣传资料架</w:t>
      </w:r>
      <w:r>
        <w:rPr>
          <w:rFonts w:hint="eastAsia" w:hAnsi="仿宋_GB2312" w:cs="仿宋_GB2312"/>
          <w:sz w:val="32"/>
          <w:szCs w:val="32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咨询引导服务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，</w:t>
      </w:r>
      <w:r>
        <w:rPr>
          <w:rFonts w:hint="eastAsia" w:hAnsi="仿宋_GB2312" w:cs="仿宋_GB2312"/>
          <w:sz w:val="32"/>
          <w:szCs w:val="32"/>
          <w:lang w:val="en-US" w:eastAsia="zh-CN"/>
        </w:rPr>
        <w:t>推动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政务公开向群众身边延伸，</w:t>
      </w:r>
      <w:r>
        <w:rPr>
          <w:rFonts w:hint="eastAsia" w:hAnsi="仿宋_GB2312" w:cs="仿宋_GB2312"/>
          <w:sz w:val="32"/>
          <w:szCs w:val="32"/>
          <w:lang w:val="en-US" w:eastAsia="zh-CN"/>
        </w:rPr>
        <w:t>切实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提升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专区使用实效</w:t>
      </w:r>
      <w:r>
        <w:rPr>
          <w:rFonts w:hint="eastAsia" w:hAnsi="宋体" w:cs="仿宋_GB2312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"/>
        </w:rPr>
        <w:t>与服务的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便捷性</w:t>
      </w:r>
      <w:r>
        <w:rPr>
          <w:rFonts w:hint="eastAsia" w:hAnsi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可及性。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优化政策</w:t>
      </w:r>
      <w:r>
        <w:rPr>
          <w:rFonts w:hint="eastAsia" w:hAnsi="仿宋_GB2312" w:cs="仿宋_GB2312"/>
          <w:sz w:val="32"/>
          <w:szCs w:val="32"/>
          <w:lang w:val="en-US" w:eastAsia="zh-CN"/>
        </w:rPr>
        <w:t>集成服务。</w:t>
      </w:r>
      <w:r>
        <w:rPr>
          <w:rFonts w:hint="eastAsia" w:hAnsi="仿宋_GB2312" w:cs="仿宋_GB2312"/>
          <w:sz w:val="32"/>
          <w:szCs w:val="32"/>
          <w:u w:val="none"/>
          <w:lang w:val="en-US" w:eastAsia="zh-CN"/>
        </w:rPr>
        <w:t>设置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“政策文件历史沿革”版块，系统梳理</w:t>
      </w:r>
      <w:r>
        <w:rPr>
          <w:rFonts w:hint="eastAsia" w:hAnsi="仿宋_GB2312" w:cs="仿宋_GB2312"/>
          <w:sz w:val="32"/>
          <w:szCs w:val="32"/>
          <w:u w:val="none"/>
          <w:lang w:val="en-US"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关联展示不同时期、不同部门的政策文件，实现政策演变脉络可视化。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同时，</w:t>
      </w:r>
      <w:r>
        <w:rPr>
          <w:rFonts w:hint="eastAsia" w:hAnsi="仿宋_GB2312" w:cs="仿宋_GB2312"/>
          <w:sz w:val="32"/>
          <w:szCs w:val="32"/>
          <w:lang w:val="en-US" w:eastAsia="zh-CN"/>
        </w:rPr>
        <w:t>聚焦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滕州特色产业，打造“机床产业政策”专题页面，集中发布产业扶持政策、申报指南、典型案例等内容，为企业提供“一站式”政策服务，显著提升</w:t>
      </w:r>
      <w:r>
        <w:rPr>
          <w:rFonts w:hint="eastAsia" w:hAnsi="仿宋_GB2312" w:cs="仿宋_GB2312"/>
          <w:sz w:val="32"/>
          <w:szCs w:val="32"/>
          <w:lang w:val="en-US" w:eastAsia="zh-CN"/>
        </w:rPr>
        <w:t>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政务公开工作的覆盖面、精准度和</w:t>
      </w:r>
      <w:r>
        <w:rPr>
          <w:rFonts w:hint="eastAsia" w:hAnsi="仿宋_GB2312" w:cs="仿宋_GB2312"/>
          <w:sz w:val="32"/>
          <w:szCs w:val="32"/>
          <w:lang w:val="en-US" w:eastAsia="zh-CN"/>
        </w:rPr>
        <w:t>服务效能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420" w:firstLineChars="200"/>
        <w:textAlignment w:val="auto"/>
      </w:pPr>
      <w:bookmarkStart w:id="10" w:name="_GoBack"/>
      <w:bookmarkEnd w:id="10"/>
    </w:p>
    <w:sectPr>
      <w:headerReference r:id="rId3" w:type="default"/>
      <w:footerReference r:id="rId4" w:type="default"/>
      <w:pgSz w:w="11906" w:h="16838"/>
      <w:pgMar w:top="1383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ÃƒÂ¥Ã‚Â¾Ã‚Â®ÃƒÂ¨Ã‚Â½Ã‚Â¯ÃƒÂ©Ã¢â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新宋体" w:hAnsi="新宋体" w:eastAsia="新宋体" w:cs="新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AAV+qMGwIAACc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新宋体" w:hAnsi="新宋体" w:eastAsia="新宋体" w:cs="新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新宋体" w:hAnsi="新宋体" w:eastAsia="新宋体" w:cs="新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新宋体" w:hAnsi="新宋体" w:eastAsia="新宋体" w:cs="新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新宋体" w:hAnsi="新宋体" w:eastAsia="新宋体" w:cs="新宋体"/>
                        <w:sz w:val="24"/>
                        <w:szCs w:val="24"/>
                      </w:rPr>
                      <w:t>14</w:t>
                    </w:r>
                    <w:r>
                      <w:rPr>
                        <w:rFonts w:hint="eastAsia" w:ascii="新宋体" w:hAnsi="新宋体" w:eastAsia="新宋体" w:cs="新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ED8DBB"/>
    <w:rsid w:val="03430C16"/>
    <w:rsid w:val="172D0395"/>
    <w:rsid w:val="1FF54462"/>
    <w:rsid w:val="27B3D438"/>
    <w:rsid w:val="2CF791A2"/>
    <w:rsid w:val="339A947C"/>
    <w:rsid w:val="347A69B9"/>
    <w:rsid w:val="34FC97E0"/>
    <w:rsid w:val="35AE3A85"/>
    <w:rsid w:val="373F592F"/>
    <w:rsid w:val="3B73D252"/>
    <w:rsid w:val="3BB5373E"/>
    <w:rsid w:val="3E5FC90D"/>
    <w:rsid w:val="3F4B65A1"/>
    <w:rsid w:val="3F778ADE"/>
    <w:rsid w:val="3FEF5425"/>
    <w:rsid w:val="469F27B1"/>
    <w:rsid w:val="4BBF9D66"/>
    <w:rsid w:val="4FFEE90A"/>
    <w:rsid w:val="562B5EAA"/>
    <w:rsid w:val="57ED8DBB"/>
    <w:rsid w:val="57EFDDAE"/>
    <w:rsid w:val="5BFF3A52"/>
    <w:rsid w:val="5DFBF49B"/>
    <w:rsid w:val="5FFD87DA"/>
    <w:rsid w:val="61DFCEB9"/>
    <w:rsid w:val="64FF49C6"/>
    <w:rsid w:val="67DEA829"/>
    <w:rsid w:val="69D4AFA5"/>
    <w:rsid w:val="6A6FBC9D"/>
    <w:rsid w:val="6CFF679E"/>
    <w:rsid w:val="6DBFF53D"/>
    <w:rsid w:val="6EBA88D7"/>
    <w:rsid w:val="6F674661"/>
    <w:rsid w:val="6F73A8E1"/>
    <w:rsid w:val="6F7F6524"/>
    <w:rsid w:val="6FEF8C46"/>
    <w:rsid w:val="6FFAD4AA"/>
    <w:rsid w:val="6FFC4902"/>
    <w:rsid w:val="73F7D583"/>
    <w:rsid w:val="7430191F"/>
    <w:rsid w:val="75017085"/>
    <w:rsid w:val="77CE7CDB"/>
    <w:rsid w:val="77F7C580"/>
    <w:rsid w:val="7ABFB14C"/>
    <w:rsid w:val="7BCF9DE0"/>
    <w:rsid w:val="7C6F9F03"/>
    <w:rsid w:val="7C7F48A2"/>
    <w:rsid w:val="7D6763F5"/>
    <w:rsid w:val="7DBE6978"/>
    <w:rsid w:val="7E6F0AFF"/>
    <w:rsid w:val="7EDEFB98"/>
    <w:rsid w:val="7EF40D4C"/>
    <w:rsid w:val="7F6F4FA1"/>
    <w:rsid w:val="7F7DDE79"/>
    <w:rsid w:val="7F7F9D57"/>
    <w:rsid w:val="7FB95FB7"/>
    <w:rsid w:val="7FBB7F49"/>
    <w:rsid w:val="7FD3928D"/>
    <w:rsid w:val="7FE77626"/>
    <w:rsid w:val="7FF76D06"/>
    <w:rsid w:val="7FF7AA2D"/>
    <w:rsid w:val="7FFF352A"/>
    <w:rsid w:val="7FFFEF82"/>
    <w:rsid w:val="93F3C9D5"/>
    <w:rsid w:val="9ABF895D"/>
    <w:rsid w:val="9FFA4D16"/>
    <w:rsid w:val="A3FF992D"/>
    <w:rsid w:val="AAAD1B5C"/>
    <w:rsid w:val="B2FFC020"/>
    <w:rsid w:val="B5FF5430"/>
    <w:rsid w:val="B9CCA004"/>
    <w:rsid w:val="BD9FFCDB"/>
    <w:rsid w:val="BF4F071F"/>
    <w:rsid w:val="BFEC418C"/>
    <w:rsid w:val="BFFF4F93"/>
    <w:rsid w:val="C3DFD601"/>
    <w:rsid w:val="CBFD6531"/>
    <w:rsid w:val="CEAD667F"/>
    <w:rsid w:val="CFDFBC37"/>
    <w:rsid w:val="DF5AFFAE"/>
    <w:rsid w:val="DF7F96A0"/>
    <w:rsid w:val="DF7F9F49"/>
    <w:rsid w:val="DFDF8C58"/>
    <w:rsid w:val="DFF6A95B"/>
    <w:rsid w:val="DFFF0E33"/>
    <w:rsid w:val="E4791CB6"/>
    <w:rsid w:val="E79F856A"/>
    <w:rsid w:val="E7FBC94E"/>
    <w:rsid w:val="E7FF6469"/>
    <w:rsid w:val="EBBCB82C"/>
    <w:rsid w:val="EBEE18DE"/>
    <w:rsid w:val="ECE522B3"/>
    <w:rsid w:val="EDFFBA26"/>
    <w:rsid w:val="EF7E682A"/>
    <w:rsid w:val="EFDD8FE8"/>
    <w:rsid w:val="EFF66757"/>
    <w:rsid w:val="EFF7D90F"/>
    <w:rsid w:val="F5FD0429"/>
    <w:rsid w:val="F63DB70B"/>
    <w:rsid w:val="F6E75CF1"/>
    <w:rsid w:val="F71FBC8D"/>
    <w:rsid w:val="F76FC055"/>
    <w:rsid w:val="F7A7E092"/>
    <w:rsid w:val="F7BEC419"/>
    <w:rsid w:val="F7DEB472"/>
    <w:rsid w:val="F7EFDE08"/>
    <w:rsid w:val="F7F7846F"/>
    <w:rsid w:val="F7FD0DA1"/>
    <w:rsid w:val="F8B3E1D8"/>
    <w:rsid w:val="F9FA1C7F"/>
    <w:rsid w:val="FAA5554F"/>
    <w:rsid w:val="FB3EF25B"/>
    <w:rsid w:val="FB41CFD6"/>
    <w:rsid w:val="FBD5A004"/>
    <w:rsid w:val="FBFD4A4A"/>
    <w:rsid w:val="FD576F56"/>
    <w:rsid w:val="FD5FB7C6"/>
    <w:rsid w:val="FD7F1921"/>
    <w:rsid w:val="FDBF71CD"/>
    <w:rsid w:val="FDC7230C"/>
    <w:rsid w:val="FF1F0142"/>
    <w:rsid w:val="FF1F75E4"/>
    <w:rsid w:val="FF3F1282"/>
    <w:rsid w:val="FF57703D"/>
    <w:rsid w:val="FF7B6B68"/>
    <w:rsid w:val="FF7D4E84"/>
    <w:rsid w:val="FF7EC318"/>
    <w:rsid w:val="FF7FAD17"/>
    <w:rsid w:val="FFBF2B3E"/>
    <w:rsid w:val="FFC72DFC"/>
    <w:rsid w:val="FFFFD111"/>
    <w:rsid w:val="FFFFD4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spacing w:line="660" w:lineRule="exact"/>
      <w:ind w:firstLine="705"/>
    </w:pPr>
    <w:rPr>
      <w:rFonts w:ascii="仿宋_GB2312" w:eastAsia="仿宋_GB2312"/>
      <w:color w:val="000000"/>
      <w:sz w:val="36"/>
      <w:szCs w:val="36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正文格式"/>
    <w:basedOn w:val="1"/>
    <w:qFormat/>
    <w:uiPriority w:val="0"/>
    <w:pPr>
      <w:widowControl/>
      <w:adjustRightInd w:val="0"/>
      <w:snapToGrid w:val="0"/>
      <w:spacing w:line="400" w:lineRule="atLeast"/>
      <w:ind w:firstLine="482"/>
      <w:textAlignment w:val="baseline"/>
    </w:pPr>
    <w:rPr>
      <w:rFonts w:ascii="Times New Roman" w:hAnsi="Times New Roman" w:eastAsia="宋体"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emf"/><Relationship Id="rId7" Type="http://schemas.openxmlformats.org/officeDocument/2006/relationships/oleObject" Target="embeddings/oleObject1.bin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2730</Words>
  <Characters>2901</Characters>
  <Lines>0</Lines>
  <Paragraphs>0</Paragraphs>
  <TotalTime>2</TotalTime>
  <ScaleCrop>false</ScaleCrop>
  <LinksUpToDate>false</LinksUpToDate>
  <CharactersWithSpaces>2909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2026-01-21T07:58:00Z</dcterms:created>
  <dc:creator>user</dc:creator>
  <cp:lastModifiedBy>user</cp:lastModifiedBy>
  <dcterms:modified xsi:type="dcterms:W3CDTF">2026-02-09T08:59:09Z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KSOTemplateDocerSaveRecord">
    <vt:lpwstr>eyJoZGlkIjoiNDQxNDc0NjVkYTc3YmU3ZTg1OGEzMDcxZDFlNTI5MTUiLCJ1c2VySWQiOiIzODk5NzMxNzMifQ==</vt:lpwstr>
  </property>
  <property fmtid="{D5CDD505-2E9C-101B-9397-08002B2CF9AE}" pid="4" name="ICV">
    <vt:lpwstr>C4B6AB374E344DF98EB18F9DDE4EDDDC_13</vt:lpwstr>
  </property>
</Properties>
</file>