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BC266">
      <w:pPr>
        <w:pStyle w:val="4"/>
        <w:keepNext w:val="0"/>
        <w:keepLines w:val="0"/>
        <w:widowControl/>
        <w:suppressLineNumbers w:val="0"/>
        <w:spacing w:before="0" w:beforeAutospacing="0" w:after="0" w:afterAutospacing="0" w:line="560" w:lineRule="atLeast"/>
        <w:jc w:val="center"/>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sz w:val="32"/>
          <w:szCs w:val="32"/>
        </w:rPr>
        <w:t>滕州市羊庄镇人民政府202</w:t>
      </w:r>
      <w:r>
        <w:rPr>
          <w:rFonts w:hint="eastAsia" w:ascii="黑体" w:hAnsi="黑体" w:eastAsia="黑体" w:cs="黑体"/>
          <w:i w:val="0"/>
          <w:iCs w:val="0"/>
          <w:caps w:val="0"/>
          <w:color w:val="000000"/>
          <w:spacing w:val="0"/>
          <w:sz w:val="32"/>
          <w:szCs w:val="32"/>
          <w:lang w:val="en-US" w:eastAsia="zh-CN"/>
        </w:rPr>
        <w:t>5</w:t>
      </w:r>
      <w:r>
        <w:rPr>
          <w:rFonts w:hint="eastAsia" w:ascii="黑体" w:hAnsi="黑体" w:eastAsia="黑体" w:cs="黑体"/>
          <w:i w:val="0"/>
          <w:iCs w:val="0"/>
          <w:caps w:val="0"/>
          <w:color w:val="000000"/>
          <w:spacing w:val="0"/>
          <w:sz w:val="32"/>
          <w:szCs w:val="32"/>
        </w:rPr>
        <w:t>年政府信息公开工作年度报告</w:t>
      </w:r>
    </w:p>
    <w:p w14:paraId="0A0C8D9C">
      <w:pPr>
        <w:pStyle w:val="4"/>
        <w:keepNext w:val="0"/>
        <w:keepLines w:val="0"/>
        <w:widowControl/>
        <w:suppressLineNumbers w:val="0"/>
        <w:spacing w:before="0" w:beforeAutospacing="0" w:after="0" w:afterAutospacing="0" w:line="560" w:lineRule="atLeast"/>
        <w:ind w:left="0" w:firstLine="640"/>
        <w:rPr>
          <w:rFonts w:ascii="sans-serif" w:hAnsi="sans-serif" w:eastAsia="sans-serif" w:cs="sans-serif"/>
          <w:i w:val="0"/>
          <w:iCs w:val="0"/>
          <w:caps w:val="0"/>
          <w:color w:val="000000"/>
          <w:spacing w:val="0"/>
          <w:sz w:val="27"/>
          <w:szCs w:val="27"/>
        </w:rPr>
      </w:pPr>
      <w:r>
        <w:rPr>
          <w:rFonts w:ascii="仿宋_GB2312" w:hAnsi="sans-serif" w:eastAsia="仿宋_GB2312" w:cs="仿宋_GB2312"/>
          <w:i w:val="0"/>
          <w:iCs w:val="0"/>
          <w:caps w:val="0"/>
          <w:color w:val="000000"/>
          <w:spacing w:val="0"/>
          <w:sz w:val="32"/>
          <w:szCs w:val="32"/>
        </w:rPr>
        <w:t>根据《中华人民共和国政府信息公开条例》和省政府办公厅、枣庄市政府办公室、滕州市政府办公室通知以及有关文件要求，结合滕州市羊庄镇人民政府202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度信息公开工作实际，编制了本报告。报告主要内容包括：主动公开政府信息情况、依申请公开政府信息情况、政府信息管理情况、公开平台建设情况、监督保障情况、政府信息公开工作存在的主要问题及改进情况等。现向社会公开滕州市羊庄镇人民政府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年政府信息公开工作年度报告。本报告所列数据的统计时限自202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年1月1日起至202</w:t>
      </w:r>
      <w:r>
        <w:rPr>
          <w:rFonts w:hint="eastAsia" w:ascii="仿宋_GB2312" w:hAnsi="sans-serif" w:eastAsia="仿宋_GB2312" w:cs="仿宋_GB2312"/>
          <w:i w:val="0"/>
          <w:iCs w:val="0"/>
          <w:caps w:val="0"/>
          <w:color w:val="000000"/>
          <w:spacing w:val="0"/>
          <w:sz w:val="32"/>
          <w:szCs w:val="32"/>
          <w:lang w:val="en-US" w:eastAsia="zh-CN"/>
        </w:rPr>
        <w:t>5</w:t>
      </w:r>
      <w:r>
        <w:rPr>
          <w:rFonts w:ascii="仿宋_GB2312" w:hAnsi="sans-serif" w:eastAsia="仿宋_GB2312" w:cs="仿宋_GB2312"/>
          <w:i w:val="0"/>
          <w:iCs w:val="0"/>
          <w:caps w:val="0"/>
          <w:color w:val="000000"/>
          <w:spacing w:val="0"/>
          <w:sz w:val="32"/>
          <w:szCs w:val="32"/>
        </w:rPr>
        <w:t>年12月31日止。</w:t>
      </w:r>
    </w:p>
    <w:p w14:paraId="4A628056">
      <w:pPr>
        <w:pStyle w:val="4"/>
        <w:keepNext w:val="0"/>
        <w:keepLines w:val="0"/>
        <w:widowControl/>
        <w:suppressLineNumbers w:val="0"/>
        <w:spacing w:before="0" w:beforeAutospacing="0" w:after="0" w:afterAutospacing="0" w:line="315" w:lineRule="atLeast"/>
        <w:ind w:left="0" w:firstLine="0"/>
        <w:jc w:val="center"/>
        <w:rPr>
          <w:rFonts w:hint="default" w:ascii="sans-serif" w:hAnsi="sans-serif" w:eastAsia="sans-serif" w:cs="sans-serif"/>
          <w:i w:val="0"/>
          <w:iCs w:val="0"/>
          <w:caps w:val="0"/>
          <w:color w:val="000000"/>
          <w:spacing w:val="0"/>
          <w:sz w:val="32"/>
          <w:szCs w:val="32"/>
        </w:rPr>
      </w:pPr>
      <w:r>
        <w:rPr>
          <w:rFonts w:hint="default" w:ascii="sans-serif" w:hAnsi="sans-serif" w:eastAsia="sans-serif" w:cs="sans-serif"/>
          <w:i w:val="0"/>
          <w:iCs w:val="0"/>
          <w:caps w:val="0"/>
          <w:color w:val="000000"/>
          <w:spacing w:val="0"/>
          <w:sz w:val="32"/>
          <w:szCs w:val="32"/>
        </w:rPr>
        <w:drawing>
          <wp:inline distT="0" distB="0" distL="114300" distR="114300">
            <wp:extent cx="5267325" cy="2400300"/>
            <wp:effectExtent l="0" t="0" r="952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5267325" cy="2400300"/>
                    </a:xfrm>
                    <a:prstGeom prst="rect">
                      <a:avLst/>
                    </a:prstGeom>
                    <a:noFill/>
                    <a:ln w="9525">
                      <a:noFill/>
                    </a:ln>
                  </pic:spPr>
                </pic:pic>
              </a:graphicData>
            </a:graphic>
          </wp:inline>
        </w:drawing>
      </w:r>
    </w:p>
    <w:p w14:paraId="665E33D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ascii="黑体" w:hAnsi="宋体" w:eastAsia="黑体" w:cs="黑体"/>
          <w:i w:val="0"/>
          <w:iCs w:val="0"/>
          <w:caps w:val="0"/>
          <w:color w:val="000000"/>
          <w:spacing w:val="0"/>
          <w:sz w:val="32"/>
          <w:szCs w:val="32"/>
        </w:rPr>
        <w:t>一、总体情况</w:t>
      </w:r>
    </w:p>
    <w:p w14:paraId="045E2793">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年以来，羊庄镇认真践行习近平新时代中国特色社会主义思想，深入学习贯彻党的二十大</w:t>
      </w:r>
      <w:bookmarkStart w:id="0" w:name="_GoBack"/>
      <w:bookmarkEnd w:id="0"/>
      <w:r>
        <w:rPr>
          <w:rFonts w:hint="default" w:ascii="仿宋_GB2312" w:hAnsi="sans-serif" w:eastAsia="仿宋_GB2312" w:cs="仿宋_GB2312"/>
          <w:i w:val="0"/>
          <w:iCs w:val="0"/>
          <w:caps w:val="0"/>
          <w:color w:val="000000"/>
          <w:spacing w:val="0"/>
          <w:sz w:val="32"/>
          <w:szCs w:val="32"/>
        </w:rPr>
        <w:t>和二十届二中、三中</w:t>
      </w:r>
      <w:r>
        <w:rPr>
          <w:rFonts w:hint="eastAsia" w:ascii="仿宋_GB2312" w:hAnsi="sans-serif" w:eastAsia="仿宋_GB2312" w:cs="仿宋_GB2312"/>
          <w:i w:val="0"/>
          <w:iCs w:val="0"/>
          <w:caps w:val="0"/>
          <w:color w:val="000000"/>
          <w:spacing w:val="0"/>
          <w:sz w:val="32"/>
          <w:szCs w:val="32"/>
          <w:lang w:eastAsia="zh-CN"/>
        </w:rPr>
        <w:t>、</w:t>
      </w:r>
      <w:r>
        <w:rPr>
          <w:rFonts w:hint="eastAsia" w:ascii="仿宋_GB2312" w:hAnsi="sans-serif" w:eastAsia="仿宋_GB2312" w:cs="仿宋_GB2312"/>
          <w:i w:val="0"/>
          <w:iCs w:val="0"/>
          <w:caps w:val="0"/>
          <w:color w:val="000000"/>
          <w:spacing w:val="0"/>
          <w:sz w:val="32"/>
          <w:szCs w:val="32"/>
          <w:lang w:val="en-US" w:eastAsia="zh-CN"/>
        </w:rPr>
        <w:t>四中</w:t>
      </w:r>
      <w:r>
        <w:rPr>
          <w:rFonts w:hint="default" w:ascii="仿宋_GB2312" w:hAnsi="sans-serif" w:eastAsia="仿宋_GB2312" w:cs="仿宋_GB2312"/>
          <w:i w:val="0"/>
          <w:iCs w:val="0"/>
          <w:caps w:val="0"/>
          <w:color w:val="000000"/>
          <w:spacing w:val="0"/>
          <w:sz w:val="32"/>
          <w:szCs w:val="32"/>
        </w:rPr>
        <w:t>全会精神，按照省政府、市政府相关文件要求及市委、市政府统一部署，紧紧围绕镇党委、政府中心工作，全面提升政务公开质量和实效，以保障群众的知情权、参与权和监督权。</w:t>
      </w:r>
    </w:p>
    <w:p w14:paraId="3F069532">
      <w:pPr>
        <w:pStyle w:val="4"/>
        <w:keepNext w:val="0"/>
        <w:keepLines w:val="0"/>
        <w:widowControl/>
        <w:suppressLineNumbers w:val="0"/>
        <w:spacing w:before="0" w:beforeAutospacing="0" w:after="0" w:afterAutospacing="0" w:line="315" w:lineRule="atLeast"/>
        <w:ind w:left="0" w:firstLine="0"/>
        <w:jc w:val="center"/>
        <w:rPr>
          <w:rFonts w:hint="eastAsia" w:ascii="sans-serif" w:hAnsi="sans-serif" w:eastAsia="宋体" w:cs="sans-serif"/>
          <w:i w:val="0"/>
          <w:iCs w:val="0"/>
          <w:caps w:val="0"/>
          <w:color w:val="000000"/>
          <w:spacing w:val="0"/>
          <w:sz w:val="32"/>
          <w:szCs w:val="32"/>
          <w:lang w:eastAsia="zh-CN"/>
        </w:rPr>
      </w:pPr>
      <w:r>
        <w:rPr>
          <w:rFonts w:hint="eastAsia" w:ascii="sans-serif" w:hAnsi="sans-serif" w:eastAsia="宋体" w:cs="sans-serif"/>
          <w:i w:val="0"/>
          <w:iCs w:val="0"/>
          <w:caps w:val="0"/>
          <w:color w:val="000000"/>
          <w:spacing w:val="0"/>
          <w:sz w:val="32"/>
          <w:szCs w:val="32"/>
          <w:lang w:eastAsia="zh-CN"/>
        </w:rPr>
        <w:drawing>
          <wp:inline distT="0" distB="0" distL="114300" distR="114300">
            <wp:extent cx="5267325" cy="4138930"/>
            <wp:effectExtent l="0" t="0" r="9525" b="13970"/>
            <wp:docPr id="8" name="图片 8" descr="ac5f2c6e-9527-403c-990f-8e3173751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5f2c6e-9527-403c-990f-8e3173751fa4"/>
                    <pic:cNvPicPr>
                      <a:picLocks noChangeAspect="1"/>
                    </pic:cNvPicPr>
                  </pic:nvPicPr>
                  <pic:blipFill>
                    <a:blip r:embed="rId7"/>
                    <a:stretch>
                      <a:fillRect/>
                    </a:stretch>
                  </pic:blipFill>
                  <pic:spPr>
                    <a:xfrm>
                      <a:off x="0" y="0"/>
                      <a:ext cx="5267325" cy="4138930"/>
                    </a:xfrm>
                    <a:prstGeom prst="rect">
                      <a:avLst/>
                    </a:prstGeom>
                  </pic:spPr>
                </pic:pic>
              </a:graphicData>
            </a:graphic>
          </wp:inline>
        </w:drawing>
      </w:r>
    </w:p>
    <w:p w14:paraId="5003AAB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ascii="楷体" w:hAnsi="楷体" w:eastAsia="楷体" w:cs="楷体"/>
          <w:b/>
          <w:bCs/>
          <w:i w:val="0"/>
          <w:iCs w:val="0"/>
          <w:caps w:val="0"/>
          <w:color w:val="000000"/>
          <w:spacing w:val="0"/>
          <w:sz w:val="32"/>
          <w:szCs w:val="32"/>
        </w:rPr>
        <w:t>（一）主动公开政府信息情况</w:t>
      </w:r>
    </w:p>
    <w:p w14:paraId="497740B5">
      <w:pPr>
        <w:pStyle w:val="4"/>
        <w:keepNext w:val="0"/>
        <w:keepLines w:val="0"/>
        <w:widowControl/>
        <w:suppressLineNumbers w:val="0"/>
        <w:spacing w:before="0" w:beforeAutospacing="0" w:after="0" w:afterAutospacing="0" w:line="560" w:lineRule="atLeast"/>
        <w:ind w:left="0" w:firstLine="640"/>
        <w:rPr>
          <w:rFonts w:hint="eastAsia" w:ascii="sans-serif" w:hAnsi="sans-serif" w:eastAsia="宋体" w:cs="sans-serif"/>
          <w:i w:val="0"/>
          <w:iCs w:val="0"/>
          <w:caps w:val="0"/>
          <w:color w:val="000000"/>
          <w:spacing w:val="0"/>
          <w:sz w:val="32"/>
          <w:szCs w:val="32"/>
          <w:lang w:eastAsia="zh-CN"/>
        </w:rPr>
      </w:pPr>
      <w:r>
        <w:rPr>
          <w:rFonts w:hint="default" w:ascii="仿宋_GB2312" w:hAnsi="sans-serif" w:eastAsia="仿宋_GB2312" w:cs="仿宋_GB2312"/>
          <w:i w:val="0"/>
          <w:iCs w:val="0"/>
          <w:caps w:val="0"/>
          <w:color w:val="000000"/>
          <w:spacing w:val="0"/>
          <w:sz w:val="32"/>
          <w:szCs w:val="32"/>
        </w:rPr>
        <w:t>羊庄镇政府信息公开工作严格按照“应公开、尽公开”要求，及时准确地公开政府信息，累计更新发布政务信息</w:t>
      </w:r>
      <w:r>
        <w:rPr>
          <w:rFonts w:hint="eastAsia" w:ascii="仿宋_GB2312" w:hAnsi="sans-serif" w:eastAsia="仿宋_GB2312" w:cs="仿宋_GB2312"/>
          <w:i w:val="0"/>
          <w:iCs w:val="0"/>
          <w:caps w:val="0"/>
          <w:color w:val="000000"/>
          <w:spacing w:val="0"/>
          <w:sz w:val="32"/>
          <w:szCs w:val="32"/>
          <w:lang w:val="en-US" w:eastAsia="zh-CN"/>
        </w:rPr>
        <w:t>641</w:t>
      </w:r>
      <w:r>
        <w:rPr>
          <w:rFonts w:hint="default" w:ascii="仿宋_GB2312" w:hAnsi="sans-serif" w:eastAsia="仿宋_GB2312" w:cs="仿宋_GB2312"/>
          <w:i w:val="0"/>
          <w:iCs w:val="0"/>
          <w:caps w:val="0"/>
          <w:color w:val="000000"/>
          <w:spacing w:val="0"/>
          <w:sz w:val="32"/>
          <w:szCs w:val="32"/>
        </w:rPr>
        <w:t>篇，其中通过滕州市人民政府官网羊庄镇人民政府栏目发布信息</w:t>
      </w:r>
      <w:r>
        <w:rPr>
          <w:rFonts w:hint="eastAsia" w:ascii="仿宋_GB2312" w:hAnsi="sans-serif" w:eastAsia="仿宋_GB2312" w:cs="仿宋_GB2312"/>
          <w:i w:val="0"/>
          <w:iCs w:val="0"/>
          <w:caps w:val="0"/>
          <w:color w:val="000000"/>
          <w:spacing w:val="0"/>
          <w:sz w:val="32"/>
          <w:szCs w:val="32"/>
          <w:lang w:val="en-US" w:eastAsia="zh-CN"/>
        </w:rPr>
        <w:t>352</w:t>
      </w:r>
      <w:r>
        <w:rPr>
          <w:rFonts w:hint="default" w:ascii="仿宋_GB2312" w:hAnsi="sans-serif" w:eastAsia="仿宋_GB2312" w:cs="仿宋_GB2312"/>
          <w:i w:val="0"/>
          <w:iCs w:val="0"/>
          <w:caps w:val="0"/>
          <w:color w:val="000000"/>
          <w:spacing w:val="0"/>
          <w:sz w:val="32"/>
          <w:szCs w:val="32"/>
        </w:rPr>
        <w:t>篇，通过</w:t>
      </w:r>
      <w:r>
        <w:rPr>
          <w:rFonts w:hint="eastAsia" w:ascii="仿宋_GB2312" w:hAnsi="sans-serif" w:eastAsia="仿宋_GB2312" w:cs="仿宋_GB2312"/>
          <w:i w:val="0"/>
          <w:iCs w:val="0"/>
          <w:caps w:val="0"/>
          <w:color w:val="000000"/>
          <w:spacing w:val="0"/>
          <w:sz w:val="32"/>
          <w:szCs w:val="32"/>
          <w:lang w:val="en-US" w:eastAsia="zh-CN"/>
        </w:rPr>
        <w:t>上善传媒客户端发布信息289</w:t>
      </w:r>
      <w:r>
        <w:rPr>
          <w:rFonts w:hint="default" w:ascii="仿宋_GB2312" w:hAnsi="sans-serif" w:eastAsia="仿宋_GB2312" w:cs="仿宋_GB2312"/>
          <w:i w:val="0"/>
          <w:iCs w:val="0"/>
          <w:caps w:val="0"/>
          <w:color w:val="000000"/>
          <w:spacing w:val="0"/>
          <w:sz w:val="32"/>
          <w:szCs w:val="32"/>
        </w:rPr>
        <w:t>篇，通过政务公开页面主动公开政府信息数据</w:t>
      </w:r>
      <w:r>
        <w:rPr>
          <w:rFonts w:hint="eastAsia" w:ascii="仿宋_GB2312" w:hAnsi="sans-serif" w:eastAsia="仿宋_GB2312" w:cs="仿宋_GB2312"/>
          <w:i w:val="0"/>
          <w:iCs w:val="0"/>
          <w:caps w:val="0"/>
          <w:color w:val="000000"/>
          <w:spacing w:val="0"/>
          <w:sz w:val="32"/>
          <w:szCs w:val="32"/>
          <w:lang w:val="en-US" w:eastAsia="zh-CN"/>
        </w:rPr>
        <w:t>14</w:t>
      </w:r>
      <w:r>
        <w:rPr>
          <w:rFonts w:hint="default" w:ascii="仿宋_GB2312" w:hAnsi="sans-serif" w:eastAsia="仿宋_GB2312" w:cs="仿宋_GB2312"/>
          <w:i w:val="0"/>
          <w:iCs w:val="0"/>
          <w:caps w:val="0"/>
          <w:color w:val="000000"/>
          <w:spacing w:val="0"/>
          <w:sz w:val="32"/>
          <w:szCs w:val="32"/>
        </w:rPr>
        <w:t>条，其中，通知公告</w:t>
      </w:r>
      <w:r>
        <w:rPr>
          <w:rFonts w:hint="eastAsia" w:ascii="仿宋_GB2312" w:hAnsi="sans-serif" w:eastAsia="仿宋_GB2312" w:cs="仿宋_GB2312"/>
          <w:i w:val="0"/>
          <w:iCs w:val="0"/>
          <w:caps w:val="0"/>
          <w:color w:val="000000"/>
          <w:spacing w:val="0"/>
          <w:sz w:val="32"/>
          <w:szCs w:val="32"/>
          <w:lang w:val="en-US" w:eastAsia="zh-CN"/>
        </w:rPr>
        <w:t>2</w:t>
      </w:r>
      <w:r>
        <w:rPr>
          <w:rFonts w:hint="default" w:ascii="仿宋_GB2312" w:hAnsi="sans-serif" w:eastAsia="仿宋_GB2312" w:cs="仿宋_GB2312"/>
          <w:i w:val="0"/>
          <w:iCs w:val="0"/>
          <w:caps w:val="0"/>
          <w:color w:val="000000"/>
          <w:spacing w:val="0"/>
          <w:sz w:val="32"/>
          <w:szCs w:val="32"/>
        </w:rPr>
        <w:t>条，规划计划3篇，组织管理</w:t>
      </w:r>
      <w:r>
        <w:rPr>
          <w:rFonts w:hint="eastAsia" w:ascii="仿宋_GB2312" w:hAnsi="sans-serif" w:eastAsia="仿宋_GB2312" w:cs="仿宋_GB2312"/>
          <w:i w:val="0"/>
          <w:iCs w:val="0"/>
          <w:caps w:val="0"/>
          <w:color w:val="000000"/>
          <w:spacing w:val="0"/>
          <w:sz w:val="32"/>
          <w:szCs w:val="32"/>
          <w:lang w:val="en-US" w:eastAsia="zh-CN"/>
        </w:rPr>
        <w:t>7</w:t>
      </w:r>
      <w:r>
        <w:rPr>
          <w:rFonts w:hint="default" w:ascii="仿宋_GB2312" w:hAnsi="sans-serif" w:eastAsia="仿宋_GB2312" w:cs="仿宋_GB2312"/>
          <w:i w:val="0"/>
          <w:iCs w:val="0"/>
          <w:caps w:val="0"/>
          <w:color w:val="000000"/>
          <w:spacing w:val="0"/>
          <w:sz w:val="32"/>
          <w:szCs w:val="32"/>
        </w:rPr>
        <w:t>篇，公开目录2篇。</w:t>
      </w:r>
    </w:p>
    <w:p w14:paraId="792FD735">
      <w:pPr>
        <w:pStyle w:val="4"/>
        <w:keepNext w:val="0"/>
        <w:keepLines w:val="0"/>
        <w:widowControl/>
        <w:suppressLineNumbers w:val="0"/>
        <w:spacing w:before="0" w:beforeAutospacing="0" w:after="0" w:afterAutospacing="0" w:line="315" w:lineRule="atLeast"/>
        <w:ind w:left="0" w:firstLine="0"/>
        <w:jc w:val="center"/>
        <w:rPr>
          <w:rFonts w:hint="eastAsia" w:ascii="sans-serif" w:hAnsi="sans-serif" w:eastAsia="宋体" w:cs="sans-serif"/>
          <w:i w:val="0"/>
          <w:iCs w:val="0"/>
          <w:caps w:val="0"/>
          <w:color w:val="000000"/>
          <w:spacing w:val="0"/>
          <w:sz w:val="32"/>
          <w:szCs w:val="32"/>
          <w:lang w:eastAsia="zh-CN"/>
        </w:rPr>
      </w:pPr>
      <w:r>
        <w:rPr>
          <w:rFonts w:hint="eastAsia" w:ascii="sans-serif" w:hAnsi="sans-serif" w:eastAsia="宋体" w:cs="sans-serif"/>
          <w:i w:val="0"/>
          <w:iCs w:val="0"/>
          <w:caps w:val="0"/>
          <w:color w:val="000000"/>
          <w:spacing w:val="0"/>
          <w:sz w:val="32"/>
          <w:szCs w:val="32"/>
          <w:lang w:eastAsia="zh-CN"/>
        </w:rPr>
        <w:drawing>
          <wp:inline distT="0" distB="0" distL="114300" distR="114300">
            <wp:extent cx="5271135" cy="5194300"/>
            <wp:effectExtent l="0" t="0" r="5715" b="6350"/>
            <wp:docPr id="10" name="图片 10" descr="微信图片_20260114160043_1731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60114160043_1731_333"/>
                    <pic:cNvPicPr>
                      <a:picLocks noChangeAspect="1"/>
                    </pic:cNvPicPr>
                  </pic:nvPicPr>
                  <pic:blipFill>
                    <a:blip r:embed="rId8"/>
                    <a:stretch>
                      <a:fillRect/>
                    </a:stretch>
                  </pic:blipFill>
                  <pic:spPr>
                    <a:xfrm>
                      <a:off x="0" y="0"/>
                      <a:ext cx="5271135" cy="5194300"/>
                    </a:xfrm>
                    <a:prstGeom prst="rect">
                      <a:avLst/>
                    </a:prstGeom>
                  </pic:spPr>
                </pic:pic>
              </a:graphicData>
            </a:graphic>
          </wp:inline>
        </w:drawing>
      </w:r>
    </w:p>
    <w:p w14:paraId="1F14F84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（二）政府信息依申请公开情况</w:t>
      </w:r>
    </w:p>
    <w:p w14:paraId="6364C3C2">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年以来，羊庄镇不断完善政府信息公开申请线上、线下接收渠道，健全接收、登记、办理、答复等流程，保证依申请公开流程科学、程序合法、答复规范，依法保障公民、法人和其他组织获取政府信息的权利。202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年，滕州市羊庄镇人民政府受理</w:t>
      </w:r>
      <w:r>
        <w:rPr>
          <w:rFonts w:hint="eastAsia" w:ascii="仿宋_GB2312" w:hAnsi="sans-serif" w:eastAsia="仿宋_GB2312" w:cs="仿宋_GB2312"/>
          <w:i w:val="0"/>
          <w:iCs w:val="0"/>
          <w:caps w:val="0"/>
          <w:color w:val="000000"/>
          <w:spacing w:val="0"/>
          <w:sz w:val="32"/>
          <w:szCs w:val="32"/>
          <w:lang w:val="en-US" w:eastAsia="zh-CN"/>
        </w:rPr>
        <w:t>1</w:t>
      </w:r>
      <w:r>
        <w:rPr>
          <w:rFonts w:hint="default" w:ascii="仿宋_GB2312" w:hAnsi="sans-serif" w:eastAsia="仿宋_GB2312" w:cs="仿宋_GB2312"/>
          <w:i w:val="0"/>
          <w:iCs w:val="0"/>
          <w:caps w:val="0"/>
          <w:color w:val="000000"/>
          <w:spacing w:val="0"/>
          <w:sz w:val="32"/>
          <w:szCs w:val="32"/>
        </w:rPr>
        <w:t>件政府信息公开申请，上年结转0件，合计</w:t>
      </w:r>
      <w:r>
        <w:rPr>
          <w:rFonts w:hint="eastAsia" w:ascii="仿宋_GB2312" w:hAnsi="sans-serif" w:eastAsia="仿宋_GB2312" w:cs="仿宋_GB2312"/>
          <w:i w:val="0"/>
          <w:iCs w:val="0"/>
          <w:caps w:val="0"/>
          <w:color w:val="000000"/>
          <w:spacing w:val="0"/>
          <w:sz w:val="32"/>
          <w:szCs w:val="32"/>
          <w:lang w:val="en-US" w:eastAsia="zh-CN"/>
        </w:rPr>
        <w:t>1</w:t>
      </w:r>
      <w:r>
        <w:rPr>
          <w:rFonts w:hint="default" w:ascii="仿宋_GB2312" w:hAnsi="sans-serif" w:eastAsia="仿宋_GB2312" w:cs="仿宋_GB2312"/>
          <w:i w:val="0"/>
          <w:iCs w:val="0"/>
          <w:caps w:val="0"/>
          <w:color w:val="000000"/>
          <w:spacing w:val="0"/>
          <w:sz w:val="32"/>
          <w:szCs w:val="32"/>
        </w:rPr>
        <w:t>件，均为自然人申请，</w:t>
      </w:r>
      <w:r>
        <w:rPr>
          <w:rFonts w:hint="eastAsia" w:ascii="仿宋_GB2312" w:hAnsi="sans-serif" w:eastAsia="仿宋_GB2312" w:cs="仿宋_GB2312"/>
          <w:i w:val="0"/>
          <w:iCs w:val="0"/>
          <w:caps w:val="0"/>
          <w:color w:val="000000"/>
          <w:spacing w:val="0"/>
          <w:sz w:val="32"/>
          <w:szCs w:val="32"/>
          <w:lang w:val="en-US" w:eastAsia="zh-CN"/>
        </w:rPr>
        <w:t>其中予以公开1件</w:t>
      </w:r>
      <w:r>
        <w:rPr>
          <w:rFonts w:hint="default" w:ascii="仿宋_GB2312" w:hAnsi="sans-serif" w:eastAsia="仿宋_GB2312" w:cs="仿宋_GB2312"/>
          <w:i w:val="0"/>
          <w:iCs w:val="0"/>
          <w:caps w:val="0"/>
          <w:color w:val="000000"/>
          <w:spacing w:val="0"/>
          <w:sz w:val="32"/>
          <w:szCs w:val="32"/>
        </w:rPr>
        <w:t>。与往年相比，申请数量有所</w:t>
      </w:r>
      <w:r>
        <w:rPr>
          <w:rFonts w:hint="eastAsia" w:ascii="仿宋_GB2312" w:hAnsi="sans-serif" w:eastAsia="仿宋_GB2312" w:cs="仿宋_GB2312"/>
          <w:i w:val="0"/>
          <w:iCs w:val="0"/>
          <w:caps w:val="0"/>
          <w:color w:val="000000"/>
          <w:spacing w:val="0"/>
          <w:sz w:val="32"/>
          <w:szCs w:val="32"/>
          <w:lang w:val="en-US" w:eastAsia="zh-CN"/>
        </w:rPr>
        <w:t>减少</w:t>
      </w:r>
      <w:r>
        <w:rPr>
          <w:rFonts w:hint="default" w:ascii="仿宋_GB2312" w:hAnsi="sans-serif" w:eastAsia="仿宋_GB2312" w:cs="仿宋_GB2312"/>
          <w:i w:val="0"/>
          <w:iCs w:val="0"/>
          <w:caps w:val="0"/>
          <w:color w:val="000000"/>
          <w:spacing w:val="0"/>
          <w:sz w:val="32"/>
          <w:szCs w:val="32"/>
        </w:rPr>
        <w:t>。无因政府信息公开工作被申请行政复议、提起行政诉讼情况。</w:t>
      </w:r>
    </w:p>
    <w:p w14:paraId="33D2544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（三）政府信息管理情况</w:t>
      </w:r>
    </w:p>
    <w:p w14:paraId="209C2586">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羊庄镇人民政府按照省政府、市政府相关文件要求及市委、市政府统一部署，结合本单位实际，完善制定了《羊庄镇人民政府政务信息公开工作实施方案》，进一步完善了政府信息公开流程，并加大政府信息公开业务培训，确保政府信息公开的专业性和及时性。同时，为加强对政府信息公开工作的领导和实施，严格按照</w:t>
      </w:r>
      <w:r>
        <w:rPr>
          <w:rFonts w:hint="eastAsia" w:ascii="仿宋_GB2312" w:hAnsi="sans-serif" w:eastAsia="仿宋_GB2312" w:cs="仿宋_GB2312"/>
          <w:i w:val="0"/>
          <w:iCs w:val="0"/>
          <w:caps w:val="0"/>
          <w:color w:val="000000"/>
          <w:spacing w:val="0"/>
          <w:sz w:val="32"/>
          <w:szCs w:val="32"/>
          <w:lang w:eastAsia="zh-CN"/>
        </w:rPr>
        <w:t>“</w:t>
      </w:r>
      <w:r>
        <w:rPr>
          <w:rFonts w:hint="default" w:ascii="仿宋_GB2312" w:hAnsi="sans-serif" w:eastAsia="仿宋_GB2312" w:cs="仿宋_GB2312"/>
          <w:i w:val="0"/>
          <w:iCs w:val="0"/>
          <w:caps w:val="0"/>
          <w:color w:val="000000"/>
          <w:spacing w:val="0"/>
          <w:sz w:val="32"/>
          <w:szCs w:val="32"/>
        </w:rPr>
        <w:t>先审查，后公开</w:t>
      </w:r>
      <w:r>
        <w:rPr>
          <w:rFonts w:hint="eastAsia" w:ascii="仿宋_GB2312" w:hAnsi="sans-serif" w:eastAsia="仿宋_GB2312" w:cs="仿宋_GB2312"/>
          <w:i w:val="0"/>
          <w:iCs w:val="0"/>
          <w:caps w:val="0"/>
          <w:color w:val="000000"/>
          <w:spacing w:val="0"/>
          <w:sz w:val="32"/>
          <w:szCs w:val="32"/>
          <w:lang w:eastAsia="zh-CN"/>
        </w:rPr>
        <w:t>”“</w:t>
      </w:r>
      <w:r>
        <w:rPr>
          <w:rFonts w:hint="default" w:ascii="仿宋_GB2312" w:hAnsi="sans-serif" w:eastAsia="仿宋_GB2312" w:cs="仿宋_GB2312"/>
          <w:i w:val="0"/>
          <w:iCs w:val="0"/>
          <w:caps w:val="0"/>
          <w:color w:val="000000"/>
          <w:spacing w:val="0"/>
          <w:sz w:val="32"/>
          <w:szCs w:val="32"/>
        </w:rPr>
        <w:t>一事一审</w:t>
      </w:r>
      <w:r>
        <w:rPr>
          <w:rFonts w:hint="eastAsia" w:ascii="仿宋_GB2312" w:hAnsi="sans-serif" w:eastAsia="仿宋_GB2312" w:cs="仿宋_GB2312"/>
          <w:i w:val="0"/>
          <w:iCs w:val="0"/>
          <w:caps w:val="0"/>
          <w:color w:val="000000"/>
          <w:spacing w:val="0"/>
          <w:sz w:val="32"/>
          <w:szCs w:val="32"/>
          <w:lang w:eastAsia="zh-CN"/>
        </w:rPr>
        <w:t>”</w:t>
      </w:r>
      <w:r>
        <w:rPr>
          <w:rFonts w:hint="default" w:ascii="仿宋_GB2312" w:hAnsi="sans-serif" w:eastAsia="仿宋_GB2312" w:cs="仿宋_GB2312"/>
          <w:i w:val="0"/>
          <w:iCs w:val="0"/>
          <w:caps w:val="0"/>
          <w:color w:val="000000"/>
          <w:spacing w:val="0"/>
          <w:sz w:val="32"/>
          <w:szCs w:val="32"/>
        </w:rPr>
        <w:t>原则，全面推进全镇政府信息公开工作。202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年度，无违反规定和失泄密情况。</w:t>
      </w:r>
    </w:p>
    <w:p w14:paraId="4DE1CD0A">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（四）公开平台建设情况</w:t>
      </w:r>
    </w:p>
    <w:p w14:paraId="12A55D1F">
      <w:pPr>
        <w:pStyle w:val="4"/>
        <w:keepNext w:val="0"/>
        <w:keepLines w:val="0"/>
        <w:widowControl/>
        <w:suppressLineNumbers w:val="0"/>
        <w:spacing w:before="0" w:beforeAutospacing="0" w:after="0" w:afterAutospacing="0" w:line="560" w:lineRule="atLeast"/>
        <w:ind w:left="0" w:firstLine="640"/>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按照上级对政府信息平台建设工作的要求，结合工作实际，构建多样化的公开渠道，方便公众查阅和获取政府信息。通过滕州市人民政府官网羊庄镇人民政府栏目及时、规范发布各类权威通知公告，并扎实做好信息上传维护工作。加强</w:t>
      </w:r>
      <w:r>
        <w:rPr>
          <w:rFonts w:hint="eastAsia" w:ascii="仿宋_GB2312" w:hAnsi="sans-serif" w:eastAsia="仿宋_GB2312" w:cs="仿宋_GB2312"/>
          <w:i w:val="0"/>
          <w:iCs w:val="0"/>
          <w:caps w:val="0"/>
          <w:color w:val="000000"/>
          <w:spacing w:val="0"/>
          <w:sz w:val="32"/>
          <w:szCs w:val="32"/>
          <w:lang w:val="en-US" w:eastAsia="zh-CN"/>
        </w:rPr>
        <w:t>上善传媒客户端</w:t>
      </w:r>
      <w:r>
        <w:rPr>
          <w:rFonts w:hint="default" w:ascii="仿宋_GB2312" w:hAnsi="sans-serif" w:eastAsia="仿宋_GB2312" w:cs="仿宋_GB2312"/>
          <w:i w:val="0"/>
          <w:iCs w:val="0"/>
          <w:caps w:val="0"/>
          <w:color w:val="000000"/>
          <w:spacing w:val="0"/>
          <w:sz w:val="32"/>
          <w:szCs w:val="32"/>
        </w:rPr>
        <w:t>账号管理，及时、准确、全面地向社会发布公众关注度高、公益性强、涉及面广的重要政策等权威信息。此外，还继续保持专人维护羊庄镇便民服务中心政务公开</w:t>
      </w:r>
      <w:r>
        <w:rPr>
          <w:rFonts w:hint="eastAsia" w:ascii="仿宋_GB2312" w:hAnsi="sans-serif" w:eastAsia="仿宋_GB2312" w:cs="仿宋_GB2312"/>
          <w:i w:val="0"/>
          <w:iCs w:val="0"/>
          <w:caps w:val="0"/>
          <w:color w:val="000000"/>
          <w:spacing w:val="0"/>
          <w:sz w:val="32"/>
          <w:szCs w:val="32"/>
          <w:lang w:val="en-US" w:eastAsia="zh-CN"/>
        </w:rPr>
        <w:t>专区</w:t>
      </w:r>
      <w:r>
        <w:rPr>
          <w:rFonts w:hint="default" w:ascii="仿宋_GB2312" w:hAnsi="sans-serif" w:eastAsia="仿宋_GB2312" w:cs="仿宋_GB2312"/>
          <w:i w:val="0"/>
          <w:iCs w:val="0"/>
          <w:caps w:val="0"/>
          <w:color w:val="000000"/>
          <w:spacing w:val="0"/>
          <w:sz w:val="32"/>
          <w:szCs w:val="32"/>
        </w:rPr>
        <w:t>，开展政府开放日等相关活动，提升群众政务公开参与度。</w:t>
      </w:r>
    </w:p>
    <w:p w14:paraId="36CEE963">
      <w:pPr>
        <w:pStyle w:val="4"/>
        <w:keepNext w:val="0"/>
        <w:keepLines w:val="0"/>
        <w:widowControl/>
        <w:suppressLineNumbers w:val="0"/>
        <w:spacing w:before="0" w:beforeAutospacing="0" w:after="0" w:afterAutospacing="0" w:line="560" w:lineRule="atLeast"/>
        <w:ind w:left="0" w:firstLine="640"/>
        <w:rPr>
          <w:rFonts w:hint="eastAsia" w:ascii="仿宋_GB2312" w:hAnsi="sans-serif" w:eastAsia="仿宋_GB2312" w:cs="仿宋_GB2312"/>
          <w:i w:val="0"/>
          <w:iCs w:val="0"/>
          <w:caps w:val="0"/>
          <w:color w:val="000000"/>
          <w:spacing w:val="0"/>
          <w:sz w:val="32"/>
          <w:szCs w:val="32"/>
          <w:lang w:eastAsia="zh-CN"/>
        </w:rPr>
      </w:pPr>
    </w:p>
    <w:p w14:paraId="15276BB6">
      <w:pPr>
        <w:pStyle w:val="4"/>
        <w:keepNext w:val="0"/>
        <w:keepLines w:val="0"/>
        <w:widowControl/>
        <w:suppressLineNumbers w:val="0"/>
        <w:spacing w:before="0" w:beforeAutospacing="0" w:after="0" w:afterAutospacing="0" w:line="560" w:lineRule="atLeast"/>
        <w:rPr>
          <w:rFonts w:hint="eastAsia" w:ascii="仿宋_GB2312" w:hAnsi="sans-serif" w:eastAsia="仿宋_GB2312" w:cs="仿宋_GB2312"/>
          <w:i w:val="0"/>
          <w:iCs w:val="0"/>
          <w:caps w:val="0"/>
          <w:color w:val="000000"/>
          <w:spacing w:val="0"/>
          <w:sz w:val="32"/>
          <w:szCs w:val="32"/>
          <w:lang w:eastAsia="zh-CN"/>
        </w:rPr>
      </w:pPr>
      <w:r>
        <w:rPr>
          <w:rFonts w:hint="eastAsia" w:ascii="仿宋_GB2312" w:hAnsi="sans-serif" w:eastAsia="仿宋_GB2312" w:cs="仿宋_GB2312"/>
          <w:i w:val="0"/>
          <w:iCs w:val="0"/>
          <w:caps w:val="0"/>
          <w:color w:val="000000"/>
          <w:spacing w:val="0"/>
          <w:sz w:val="32"/>
          <w:szCs w:val="32"/>
          <w:lang w:eastAsia="zh-CN"/>
        </w:rPr>
        <w:drawing>
          <wp:inline distT="0" distB="0" distL="114300" distR="114300">
            <wp:extent cx="5265420" cy="3655060"/>
            <wp:effectExtent l="0" t="0" r="11430" b="2540"/>
            <wp:docPr id="14" name="图片 14" descr="微信图片_20260114160850_1733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60114160850_1733_333"/>
                    <pic:cNvPicPr>
                      <a:picLocks noChangeAspect="1"/>
                    </pic:cNvPicPr>
                  </pic:nvPicPr>
                  <pic:blipFill>
                    <a:blip r:embed="rId9"/>
                    <a:stretch>
                      <a:fillRect/>
                    </a:stretch>
                  </pic:blipFill>
                  <pic:spPr>
                    <a:xfrm>
                      <a:off x="0" y="0"/>
                      <a:ext cx="5265420" cy="3655060"/>
                    </a:xfrm>
                    <a:prstGeom prst="rect">
                      <a:avLst/>
                    </a:prstGeom>
                  </pic:spPr>
                </pic:pic>
              </a:graphicData>
            </a:graphic>
          </wp:inline>
        </w:drawing>
      </w:r>
    </w:p>
    <w:p w14:paraId="43AA19C7">
      <w:pPr>
        <w:pStyle w:val="4"/>
        <w:keepNext w:val="0"/>
        <w:keepLines w:val="0"/>
        <w:widowControl/>
        <w:suppressLineNumbers w:val="0"/>
        <w:spacing w:before="0" w:beforeAutospacing="0" w:after="0" w:afterAutospacing="0" w:line="315" w:lineRule="atLeast"/>
        <w:ind w:left="0" w:firstLine="640"/>
        <w:jc w:val="center"/>
        <w:rPr>
          <w:rFonts w:hint="eastAsia" w:ascii="sans-serif" w:hAnsi="sans-serif" w:eastAsia="宋体" w:cs="sans-serif"/>
          <w:i w:val="0"/>
          <w:iCs w:val="0"/>
          <w:caps w:val="0"/>
          <w:color w:val="000000"/>
          <w:spacing w:val="0"/>
          <w:sz w:val="32"/>
          <w:szCs w:val="32"/>
          <w:lang w:eastAsia="zh-CN"/>
        </w:rPr>
      </w:pPr>
      <w:r>
        <w:rPr>
          <w:rFonts w:hint="eastAsia" w:ascii="sans-serif" w:hAnsi="sans-serif" w:eastAsia="宋体" w:cs="sans-serif"/>
          <w:i w:val="0"/>
          <w:iCs w:val="0"/>
          <w:caps w:val="0"/>
          <w:color w:val="000000"/>
          <w:spacing w:val="0"/>
          <w:sz w:val="32"/>
          <w:szCs w:val="32"/>
          <w:lang w:eastAsia="zh-CN"/>
        </w:rPr>
        <w:drawing>
          <wp:inline distT="0" distB="0" distL="114300" distR="114300">
            <wp:extent cx="4200525" cy="8307705"/>
            <wp:effectExtent l="0" t="0" r="9525" b="17145"/>
            <wp:docPr id="11" name="图片 11" descr="微信图片_20260114160718_1732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60114160718_1732_333"/>
                    <pic:cNvPicPr>
                      <a:picLocks noChangeAspect="1"/>
                    </pic:cNvPicPr>
                  </pic:nvPicPr>
                  <pic:blipFill>
                    <a:blip r:embed="rId10"/>
                    <a:stretch>
                      <a:fillRect/>
                    </a:stretch>
                  </pic:blipFill>
                  <pic:spPr>
                    <a:xfrm>
                      <a:off x="0" y="0"/>
                      <a:ext cx="4200525" cy="8307705"/>
                    </a:xfrm>
                    <a:prstGeom prst="rect">
                      <a:avLst/>
                    </a:prstGeom>
                  </pic:spPr>
                </pic:pic>
              </a:graphicData>
            </a:graphic>
          </wp:inline>
        </w:drawing>
      </w:r>
    </w:p>
    <w:p w14:paraId="0C937FED">
      <w:pPr>
        <w:pStyle w:val="4"/>
        <w:keepNext w:val="0"/>
        <w:keepLines w:val="0"/>
        <w:widowControl/>
        <w:suppressLineNumbers w:val="0"/>
        <w:spacing w:before="0" w:beforeAutospacing="0" w:after="0" w:afterAutospacing="0" w:line="315" w:lineRule="atLeast"/>
        <w:jc w:val="both"/>
        <w:rPr>
          <w:rFonts w:hint="default" w:ascii="sans-serif" w:hAnsi="sans-serif" w:eastAsia="sans-serif" w:cs="sans-serif"/>
          <w:i w:val="0"/>
          <w:iCs w:val="0"/>
          <w:caps w:val="0"/>
          <w:color w:val="000000"/>
          <w:spacing w:val="0"/>
          <w:sz w:val="32"/>
          <w:szCs w:val="32"/>
        </w:rPr>
      </w:pPr>
    </w:p>
    <w:p w14:paraId="08721E0B">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（五）监督保障情况</w:t>
      </w:r>
    </w:p>
    <w:p w14:paraId="71621C58">
      <w:pPr>
        <w:pStyle w:val="4"/>
        <w:keepNext w:val="0"/>
        <w:keepLines w:val="0"/>
        <w:widowControl/>
        <w:suppressLineNumbers w:val="0"/>
        <w:spacing w:before="0" w:beforeAutospacing="0" w:after="0" w:afterAutospacing="0" w:line="560" w:lineRule="atLeast"/>
        <w:ind w:left="0" w:firstLine="640"/>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rPr>
        <w:t>为提高政务公开监督保障能力和水平，羊庄镇结合工作实际，指定专人负责政府信息公开日常工作，明确工作责任，严格信息发布管理制度，形成层层落实、责任明晰的工作格局。组织人员对政府信息公开相关工作开展情况进行检查，确保政府信息公开工作落实到位。通过开展政府公开日活动，充分听取社会各界对政务公开及政府工作的意见，接受社会评议，对提出的建议和问题及时整改反馈。对群众关于政务公开的申请认真调查处理，并及时反馈。</w:t>
      </w:r>
    </w:p>
    <w:p w14:paraId="0890D23B">
      <w:pPr>
        <w:pStyle w:val="4"/>
        <w:keepNext w:val="0"/>
        <w:keepLines w:val="0"/>
        <w:widowControl/>
        <w:suppressLineNumbers w:val="0"/>
        <w:spacing w:before="0" w:beforeAutospacing="0" w:after="0" w:afterAutospacing="0" w:line="560" w:lineRule="atLeast"/>
        <w:rPr>
          <w:rFonts w:hint="eastAsia" w:ascii="仿宋_GB2312" w:hAnsi="sans-serif" w:eastAsia="仿宋_GB2312" w:cs="仿宋_GB2312"/>
          <w:i w:val="0"/>
          <w:iCs w:val="0"/>
          <w:caps w:val="0"/>
          <w:color w:val="000000"/>
          <w:spacing w:val="0"/>
          <w:sz w:val="32"/>
          <w:szCs w:val="32"/>
          <w:lang w:eastAsia="zh-CN"/>
        </w:rPr>
      </w:pPr>
      <w:r>
        <w:rPr>
          <w:rFonts w:hint="eastAsia" w:ascii="仿宋_GB2312" w:hAnsi="sans-serif" w:eastAsia="仿宋_GB2312" w:cs="仿宋_GB2312"/>
          <w:i w:val="0"/>
          <w:iCs w:val="0"/>
          <w:caps w:val="0"/>
          <w:color w:val="000000"/>
          <w:spacing w:val="0"/>
          <w:sz w:val="32"/>
          <w:szCs w:val="32"/>
          <w:lang w:eastAsia="zh-CN"/>
        </w:rPr>
        <w:drawing>
          <wp:inline distT="0" distB="0" distL="114300" distR="114300">
            <wp:extent cx="5273040" cy="4021455"/>
            <wp:effectExtent l="0" t="0" r="3810" b="17145"/>
            <wp:docPr id="16" name="图片 16" descr="微信图片_20260114161506_1734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60114161506_1734_333"/>
                    <pic:cNvPicPr>
                      <a:picLocks noChangeAspect="1"/>
                    </pic:cNvPicPr>
                  </pic:nvPicPr>
                  <pic:blipFill>
                    <a:blip r:embed="rId11"/>
                    <a:stretch>
                      <a:fillRect/>
                    </a:stretch>
                  </pic:blipFill>
                  <pic:spPr>
                    <a:xfrm>
                      <a:off x="0" y="0"/>
                      <a:ext cx="5273040" cy="4021455"/>
                    </a:xfrm>
                    <a:prstGeom prst="rect">
                      <a:avLst/>
                    </a:prstGeom>
                  </pic:spPr>
                </pic:pic>
              </a:graphicData>
            </a:graphic>
          </wp:inline>
        </w:drawing>
      </w:r>
    </w:p>
    <w:p w14:paraId="318CC5D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年度未进行社会评议，未发生责任追究情况。</w:t>
      </w:r>
    </w:p>
    <w:p w14:paraId="582E051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333333"/>
          <w:spacing w:val="0"/>
          <w:sz w:val="32"/>
          <w:szCs w:val="32"/>
          <w:shd w:val="clear" w:fill="FFFFFF"/>
        </w:rPr>
        <w:t>二、主动公开政府信息情况</w:t>
      </w:r>
    </w:p>
    <w:tbl>
      <w:tblPr>
        <w:tblStyle w:val="5"/>
        <w:tblW w:w="88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75" w:type="dxa"/>
          <w:left w:w="150" w:type="dxa"/>
          <w:bottom w:w="75" w:type="dxa"/>
          <w:right w:w="150" w:type="dxa"/>
        </w:tblCellMar>
      </w:tblPr>
      <w:tblGrid>
        <w:gridCol w:w="2044"/>
        <w:gridCol w:w="2045"/>
        <w:gridCol w:w="2045"/>
        <w:gridCol w:w="2710"/>
      </w:tblGrid>
      <w:tr w14:paraId="5114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1FEC6AA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第二十条第（一）项</w:t>
            </w:r>
          </w:p>
        </w:tc>
      </w:tr>
      <w:tr w14:paraId="5BD5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68DF7A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09EF29B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本年制发件数</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323FA47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本年废止件数</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0E09BD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现行有效件数</w:t>
            </w:r>
          </w:p>
        </w:tc>
      </w:tr>
      <w:tr w14:paraId="506E8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0038E93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规章</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1E6EA74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794A4AC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024C862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12032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0F69E3A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行政规范性文件</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67389A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6FF5E7B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c>
          <w:tcPr>
            <w:tcW w:w="1990" w:type="dxa"/>
            <w:tcBorders>
              <w:bottom w:val="single" w:color="000000" w:sz="8" w:space="0"/>
              <w:right w:val="single" w:color="000000" w:sz="8" w:space="0"/>
            </w:tcBorders>
            <w:shd w:val="clear" w:color="auto" w:fill="auto"/>
            <w:tcMar>
              <w:left w:w="108" w:type="dxa"/>
              <w:right w:w="98" w:type="dxa"/>
            </w:tcMar>
            <w:vAlign w:val="center"/>
          </w:tcPr>
          <w:p w14:paraId="70AFC6F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06DA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0DDA7D4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第二十条第（五）项</w:t>
            </w:r>
          </w:p>
        </w:tc>
      </w:tr>
      <w:tr w14:paraId="7FBA4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39DA7D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7CA2B92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本年处理决定数量</w:t>
            </w:r>
          </w:p>
        </w:tc>
      </w:tr>
      <w:tr w14:paraId="05DCE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71B400E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行政许可</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2F0E90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746B8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1F684E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第二十条第（六）项</w:t>
            </w:r>
          </w:p>
        </w:tc>
      </w:tr>
      <w:tr w14:paraId="3D4F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5031E60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0369E5C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本年处理决定数量</w:t>
            </w:r>
          </w:p>
        </w:tc>
      </w:tr>
      <w:tr w14:paraId="4BCA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5DCAD9A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行政处罚</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F2C29C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7726A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left w:val="single" w:color="000000" w:sz="8" w:space="0"/>
              <w:bottom w:val="single" w:color="000000" w:sz="8" w:space="0"/>
              <w:right w:val="single" w:color="000000" w:sz="8" w:space="0"/>
            </w:tcBorders>
            <w:shd w:val="clear" w:color="auto" w:fill="auto"/>
            <w:tcMar>
              <w:left w:w="98" w:type="dxa"/>
              <w:right w:w="98" w:type="dxa"/>
            </w:tcMar>
            <w:vAlign w:val="center"/>
          </w:tcPr>
          <w:p w14:paraId="17A4C7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行政强制</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18D7F4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r w14:paraId="46EA4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8608" w:type="dxa"/>
            <w:gridSpan w:val="4"/>
            <w:tcBorders>
              <w:top w:val="single" w:color="000000" w:sz="8" w:space="0"/>
              <w:left w:val="single" w:color="000000" w:sz="8" w:space="0"/>
              <w:bottom w:val="single" w:color="000000" w:sz="8" w:space="0"/>
              <w:right w:val="single" w:color="000000" w:sz="8" w:space="0"/>
            </w:tcBorders>
            <w:shd w:val="clear" w:color="auto" w:fill="C6D9F1"/>
            <w:tcMar>
              <w:left w:w="98" w:type="dxa"/>
              <w:right w:w="98" w:type="dxa"/>
            </w:tcMar>
            <w:vAlign w:val="center"/>
          </w:tcPr>
          <w:p w14:paraId="64012B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第二十条第（八）项</w:t>
            </w:r>
          </w:p>
        </w:tc>
      </w:tr>
      <w:tr w14:paraId="36096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567" w:hRule="atLeast"/>
        </w:trPr>
        <w:tc>
          <w:tcPr>
            <w:tcW w:w="1990" w:type="dxa"/>
            <w:tcBorders>
              <w:top w:val="single" w:color="000000" w:sz="8" w:space="0"/>
              <w:left w:val="single" w:color="000000" w:sz="8" w:space="0"/>
              <w:bottom w:val="single" w:color="000000" w:sz="8" w:space="0"/>
              <w:right w:val="single" w:color="000000" w:sz="8" w:space="0"/>
            </w:tcBorders>
            <w:shd w:val="clear" w:color="auto" w:fill="auto"/>
            <w:tcMar>
              <w:left w:w="98" w:type="dxa"/>
              <w:right w:w="98" w:type="dxa"/>
            </w:tcMar>
            <w:vAlign w:val="center"/>
          </w:tcPr>
          <w:p w14:paraId="383F6E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信息内容</w:t>
            </w:r>
          </w:p>
        </w:tc>
        <w:tc>
          <w:tcPr>
            <w:tcW w:w="6402" w:type="dxa"/>
            <w:gridSpan w:val="3"/>
            <w:tcBorders>
              <w:top w:val="single" w:color="000000" w:sz="8" w:space="0"/>
              <w:left w:val="single" w:color="000000" w:sz="8" w:space="0"/>
              <w:bottom w:val="single" w:color="000000" w:sz="8" w:space="0"/>
              <w:right w:val="single" w:color="000000" w:sz="8" w:space="0"/>
            </w:tcBorders>
            <w:shd w:val="clear" w:color="auto" w:fill="auto"/>
            <w:tcMar>
              <w:left w:w="98" w:type="dxa"/>
              <w:right w:w="98" w:type="dxa"/>
            </w:tcMar>
            <w:vAlign w:val="center"/>
          </w:tcPr>
          <w:p w14:paraId="54F7BCE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本年收费金额（单位：万元）</w:t>
            </w:r>
          </w:p>
        </w:tc>
      </w:tr>
      <w:tr w14:paraId="07AE7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75" w:type="dxa"/>
            <w:left w:w="150" w:type="dxa"/>
            <w:bottom w:w="75" w:type="dxa"/>
            <w:right w:w="150" w:type="dxa"/>
          </w:tblCellMar>
        </w:tblPrEx>
        <w:trPr>
          <w:trHeight w:val="567" w:hRule="atLeast"/>
        </w:trPr>
        <w:tc>
          <w:tcPr>
            <w:tcW w:w="1990" w:type="dxa"/>
            <w:tcBorders>
              <w:top w:val="single" w:color="000000" w:sz="8" w:space="0"/>
              <w:left w:val="single" w:color="000000" w:sz="8" w:space="0"/>
              <w:bottom w:val="single" w:color="000000" w:sz="8" w:space="0"/>
              <w:right w:val="single" w:color="000000" w:sz="8" w:space="0"/>
            </w:tcBorders>
            <w:shd w:val="clear" w:color="auto" w:fill="auto"/>
            <w:tcMar>
              <w:left w:w="98" w:type="dxa"/>
              <w:right w:w="98" w:type="dxa"/>
            </w:tcMar>
            <w:vAlign w:val="center"/>
          </w:tcPr>
          <w:p w14:paraId="33A535B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pPr>
            <w:r>
              <w:rPr>
                <w:rFonts w:hint="default" w:ascii="仿宋_GB2312" w:eastAsia="仿宋_GB2312" w:cs="仿宋_GB2312"/>
              </w:rPr>
              <w:t>行政事业性收费</w:t>
            </w:r>
          </w:p>
        </w:tc>
        <w:tc>
          <w:tcPr>
            <w:tcW w:w="6402" w:type="dxa"/>
            <w:gridSpan w:val="3"/>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5C255A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仿宋_GB2312" w:eastAsia="仿宋_GB2312" w:cs="仿宋_GB2312"/>
              </w:rPr>
              <w:t>0</w:t>
            </w:r>
          </w:p>
        </w:tc>
      </w:tr>
    </w:tbl>
    <w:p w14:paraId="37741EA5">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333333"/>
          <w:spacing w:val="0"/>
          <w:sz w:val="32"/>
          <w:szCs w:val="32"/>
          <w:shd w:val="clear" w:fill="FFFFFF"/>
        </w:rPr>
        <w:t>三、收到和处理政府信息公开申请情况</w:t>
      </w:r>
    </w:p>
    <w:tbl>
      <w:tblPr>
        <w:tblStyle w:val="5"/>
        <w:tblW w:w="9561"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autofit"/>
        <w:tblCellMar>
          <w:top w:w="75" w:type="dxa"/>
          <w:left w:w="150" w:type="dxa"/>
          <w:bottom w:w="75" w:type="dxa"/>
          <w:right w:w="150" w:type="dxa"/>
        </w:tblCellMar>
      </w:tblPr>
      <w:tblGrid>
        <w:gridCol w:w="679"/>
        <w:gridCol w:w="1365"/>
        <w:gridCol w:w="2674"/>
        <w:gridCol w:w="508"/>
        <w:gridCol w:w="443"/>
        <w:gridCol w:w="442"/>
        <w:gridCol w:w="491"/>
        <w:gridCol w:w="456"/>
        <w:gridCol w:w="1013"/>
        <w:gridCol w:w="1490"/>
      </w:tblGrid>
      <w:tr w14:paraId="6C03DE9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13" w:hRule="atLeast"/>
        </w:trPr>
        <w:tc>
          <w:tcPr>
            <w:tcW w:w="4877" w:type="dxa"/>
            <w:gridSpan w:val="3"/>
            <w:vMerge w:val="restart"/>
            <w:tcBorders>
              <w:bottom w:val="single" w:color="000000" w:sz="6" w:space="0"/>
              <w:right w:val="single" w:color="000000" w:sz="6" w:space="0"/>
            </w:tcBorders>
            <w:shd w:val="clear" w:color="auto" w:fill="auto"/>
            <w:tcMar>
              <w:left w:w="98" w:type="dxa"/>
              <w:right w:w="101" w:type="dxa"/>
            </w:tcMar>
            <w:vAlign w:val="center"/>
          </w:tcPr>
          <w:p w14:paraId="49FAB04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ascii="楷体_GB2312" w:eastAsia="楷体_GB2312" w:cs="楷体_GB2312"/>
              </w:rPr>
              <w:t>（本列数据的勾稽关系为：第一项加第二项之和，</w:t>
            </w:r>
          </w:p>
          <w:p w14:paraId="1A8E93B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default" w:ascii="楷体_GB2312" w:eastAsia="楷体_GB2312" w:cs="楷体_GB2312"/>
              </w:rPr>
              <w:t>等于第三项加第四项之和）</w:t>
            </w:r>
          </w:p>
        </w:tc>
        <w:tc>
          <w:tcPr>
            <w:tcW w:w="4232" w:type="dxa"/>
            <w:gridSpan w:val="7"/>
            <w:tcBorders>
              <w:left w:val="single" w:color="000000" w:sz="6" w:space="0"/>
              <w:bottom w:val="single" w:color="000000" w:sz="6" w:space="0"/>
            </w:tcBorders>
            <w:shd w:val="clear" w:color="auto" w:fill="auto"/>
            <w:tcMar>
              <w:left w:w="101" w:type="dxa"/>
              <w:right w:w="98" w:type="dxa"/>
            </w:tcMar>
            <w:vAlign w:val="center"/>
          </w:tcPr>
          <w:p w14:paraId="32A6BF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申请人情况</w:t>
            </w:r>
          </w:p>
        </w:tc>
      </w:tr>
      <w:tr w14:paraId="42D5AD0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25" w:hRule="atLeast"/>
        </w:trPr>
        <w:tc>
          <w:tcPr>
            <w:tcW w:w="4877" w:type="dxa"/>
            <w:gridSpan w:val="3"/>
            <w:vMerge w:val="continue"/>
            <w:tcBorders>
              <w:bottom w:val="single" w:color="000000" w:sz="6" w:space="0"/>
              <w:right w:val="single" w:color="000000" w:sz="6" w:space="0"/>
            </w:tcBorders>
            <w:shd w:val="clear" w:color="auto" w:fill="auto"/>
            <w:tcMar>
              <w:left w:w="98" w:type="dxa"/>
              <w:right w:w="101" w:type="dxa"/>
            </w:tcMar>
            <w:vAlign w:val="center"/>
          </w:tcPr>
          <w:p w14:paraId="5C90CAE8">
            <w:pPr>
              <w:rPr>
                <w:rFonts w:hint="eastAsia" w:ascii="宋体"/>
                <w:sz w:val="24"/>
                <w:szCs w:val="24"/>
              </w:rPr>
            </w:pPr>
          </w:p>
        </w:tc>
        <w:tc>
          <w:tcPr>
            <w:tcW w:w="526"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73E54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自然人</w:t>
            </w:r>
          </w:p>
        </w:tc>
        <w:tc>
          <w:tcPr>
            <w:tcW w:w="2789" w:type="dxa"/>
            <w:gridSpan w:val="5"/>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E2759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法人或其他组织</w:t>
            </w:r>
          </w:p>
        </w:tc>
        <w:tc>
          <w:tcPr>
            <w:tcW w:w="485" w:type="dxa"/>
            <w:vMerge w:val="restart"/>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59980E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pPr>
            <w:r>
              <w:rPr>
                <w:rFonts w:hint="eastAsia" w:ascii="黑体" w:hAnsi="宋体" w:eastAsia="黑体" w:cs="黑体"/>
              </w:rPr>
              <w:t>总计</w:t>
            </w:r>
          </w:p>
        </w:tc>
      </w:tr>
      <w:tr w14:paraId="5F7B4A4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322" w:hRule="atLeast"/>
        </w:trPr>
        <w:tc>
          <w:tcPr>
            <w:tcW w:w="4877" w:type="dxa"/>
            <w:gridSpan w:val="3"/>
            <w:vMerge w:val="continue"/>
            <w:tcBorders>
              <w:bottom w:val="single" w:color="000000" w:sz="6" w:space="0"/>
              <w:right w:val="single" w:color="000000" w:sz="6" w:space="0"/>
            </w:tcBorders>
            <w:shd w:val="clear" w:color="auto" w:fill="auto"/>
            <w:tcMar>
              <w:left w:w="98" w:type="dxa"/>
              <w:right w:w="101" w:type="dxa"/>
            </w:tcMar>
            <w:vAlign w:val="center"/>
          </w:tcPr>
          <w:p w14:paraId="2FBE2DCC">
            <w:pPr>
              <w:rPr>
                <w:rFonts w:hint="eastAsia" w:ascii="宋体"/>
                <w:sz w:val="24"/>
                <w:szCs w:val="24"/>
              </w:rPr>
            </w:pPr>
          </w:p>
        </w:tc>
        <w:tc>
          <w:tcPr>
            <w:tcW w:w="526"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86B5757">
            <w:pPr>
              <w:rPr>
                <w:rFonts w:hint="eastAsia" w:ascii="宋体"/>
                <w:sz w:val="24"/>
                <w:szCs w:val="24"/>
              </w:rPr>
            </w:pP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F1516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1" w:right="0" w:hanging="1"/>
              <w:jc w:val="center"/>
            </w:pPr>
            <w:r>
              <w:rPr>
                <w:rFonts w:hint="eastAsia" w:ascii="黑体" w:hAnsi="宋体" w:eastAsia="黑体" w:cs="黑体"/>
              </w:rPr>
              <w:t>商业企业</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ECEBD7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科研机构</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3BAE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rPr>
              <w:t>社会公益组织</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A1CD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1" w:right="0" w:hanging="1"/>
              <w:jc w:val="center"/>
            </w:pPr>
            <w:r>
              <w:rPr>
                <w:rFonts w:hint="eastAsia" w:ascii="黑体" w:hAnsi="宋体" w:eastAsia="黑体" w:cs="黑体"/>
              </w:rPr>
              <w:t>法律服务机构</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EA6212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jc w:val="center"/>
            </w:pPr>
            <w:r>
              <w:rPr>
                <w:rFonts w:hint="eastAsia" w:ascii="黑体" w:hAnsi="宋体" w:eastAsia="黑体" w:cs="黑体"/>
              </w:rPr>
              <w:t>其他</w:t>
            </w:r>
          </w:p>
        </w:tc>
        <w:tc>
          <w:tcPr>
            <w:tcW w:w="485" w:type="dxa"/>
            <w:vMerge w:val="continue"/>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5CF399E">
            <w:pPr>
              <w:rPr>
                <w:rFonts w:hint="eastAsia" w:ascii="宋体"/>
                <w:sz w:val="24"/>
                <w:szCs w:val="24"/>
              </w:rPr>
            </w:pPr>
          </w:p>
        </w:tc>
      </w:tr>
      <w:tr w14:paraId="2C58F32A">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20" w:hRule="atLeast"/>
        </w:trPr>
        <w:tc>
          <w:tcPr>
            <w:tcW w:w="4877" w:type="dxa"/>
            <w:gridSpan w:val="3"/>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3BCDE4F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一、本年新收政府信息公开申请数量</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7656DF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8EF1F5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1E4FF2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73C1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902FEB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5828D3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8030F5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r>
      <w:tr w14:paraId="28363D3C">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20" w:hRule="atLeast"/>
        </w:trPr>
        <w:tc>
          <w:tcPr>
            <w:tcW w:w="4877" w:type="dxa"/>
            <w:gridSpan w:val="3"/>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4034F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二、上年结转政府信息公开申请数量</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88B72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7040BB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DF471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7605D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FDAF5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5C10E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CC3A6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0C80B61">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restart"/>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2C142A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pPr>
            <w:r>
              <w:rPr>
                <w:rFonts w:hint="eastAsia" w:ascii="黑体" w:hAnsi="宋体" w:eastAsia="黑体" w:cs="黑体"/>
              </w:rPr>
              <w:t>三、本年度办理结果</w:t>
            </w:r>
          </w:p>
        </w:tc>
        <w:tc>
          <w:tcPr>
            <w:tcW w:w="4461" w:type="dxa"/>
            <w:gridSpan w:val="2"/>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ECECB1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（一）予以公开</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411B36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1</w:t>
            </w:r>
          </w:p>
        </w:tc>
        <w:tc>
          <w:tcPr>
            <w:tcW w:w="33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D24030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1466C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D92330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941211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268C8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4"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0DA96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1</w:t>
            </w:r>
          </w:p>
        </w:tc>
      </w:tr>
      <w:tr w14:paraId="75260D56">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3B2E067">
            <w:pPr>
              <w:rPr>
                <w:rFonts w:hint="eastAsia" w:ascii="宋体"/>
                <w:sz w:val="24"/>
                <w:szCs w:val="24"/>
              </w:rPr>
            </w:pPr>
          </w:p>
        </w:tc>
        <w:tc>
          <w:tcPr>
            <w:tcW w:w="4461" w:type="dxa"/>
            <w:gridSpan w:val="2"/>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51757F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黑体" w:hAnsi="宋体" w:eastAsia="黑体" w:cs="黑体"/>
              </w:rPr>
              <w:t>（二）部分公开（区分处理的，只计这一情形，不计其他情形）</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8B00E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3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8986A0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89CBE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E106A3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43579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1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1A600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4"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CD0A74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3CCD66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580"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1CFB6BA">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0284D2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eastAsia" w:ascii="黑体" w:hAnsi="宋体" w:eastAsia="黑体" w:cs="黑体"/>
              </w:rPr>
              <w:t>（三）不予公开</w:t>
            </w: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726C7E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1.属于国家秘密</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FBB91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F6F47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6ECCCA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38F3D9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64021F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883AD0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03BE37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BF3F0F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969A16C">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0CF7C17">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5E98A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2.其他法律行政法规禁止公开</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C46D10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9898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673F7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9BD0E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576B2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1D7C46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3462D8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890C4A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DDC5E38">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22D8937">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485794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3.危及“三安全一稳定”</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0D21B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FD640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17AC9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05FA9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6D990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05462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42D652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809F6F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571D8EF">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E267C95">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C1260C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4.保护第三方合法权益</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5010F6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7E7647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7B4556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E6311B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2011B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9D7C6B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30A836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804589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FBFA0FA">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AF68DD">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2A057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5.属于三类内部事务信息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63362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50165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EAC331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4BAA67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1BEEB6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2FFBB8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6633F8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0183A4E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9FC4618">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3A19FC3">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7384A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6.属于四类过程性信息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1168C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BD9C54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2B38A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7D24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539CCA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A4C70D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C9DC9B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31316CBD">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6265E830">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EE5019C">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C555CF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7.属于行政执法案卷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61FE6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1939E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7A7D6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5400D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0A8CCF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689D4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FC08B9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5726DBE">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160655CF">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4570F6B">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64478B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8.属于行政查询事项</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10B8FC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BC8FF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724722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02DBE6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14E43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C935A1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5230C14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27E8C9AB">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16FCF931">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257B64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eastAsia" w:ascii="黑体" w:hAnsi="宋体" w:eastAsia="黑体" w:cs="黑体"/>
              </w:rPr>
              <w:t>（四）无法提供</w:t>
            </w: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4CE56A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1.本机关不掌握相关政府信息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FB081A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414DB1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61C95B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9357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93509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C7AA76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341450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0</w:t>
            </w:r>
          </w:p>
        </w:tc>
      </w:tr>
      <w:tr w14:paraId="6782144D">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1265E823">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36EFAB7">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774A3B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2.没有现成信息需要另行制作</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212B9A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3AFAFF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281B40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4D88FB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7586E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A41C8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F979E0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6B2CB05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7121D5C">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2A2DFFB">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3EE5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3.补正后申请内容仍不明确</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9DA806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BA67B8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FDA62E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1B58E6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939DFE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240261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0723CE1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62ACC5C">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4EBE97F">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344D0B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eastAsia" w:ascii="黑体" w:hAnsi="宋体" w:eastAsia="黑体" w:cs="黑体"/>
              </w:rPr>
              <w:t>（五）不予处理</w:t>
            </w: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1987B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1.信访举报投诉类申请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117F65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6AC7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C25682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844324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C77CAB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594C50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D79B74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3634B5B2">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DA3C016">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148FA95">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FB5C6F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2.重复申请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E1D057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491BB8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6C37E1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9B1B5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3215A2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2C14C0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1FEB74D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46E2D677">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rPr>
          <w:trHeight w:val="454"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5A2BE910">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3644289">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369EE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3.要求提供公开出版物</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DCC711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23CCC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4520D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4B7234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BD70FE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952E5D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CBCDDE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76013E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397" w:hRule="atLeast"/>
        </w:trPr>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381D1B7">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1BECED3">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C45F1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00" w:lineRule="atLeast"/>
              <w:ind w:left="0" w:right="0"/>
            </w:pPr>
            <w:r>
              <w:rPr>
                <w:rFonts w:hint="default" w:ascii="仿宋_GB2312" w:eastAsia="仿宋_GB2312" w:cs="仿宋_GB2312"/>
              </w:rPr>
              <w:t>4.无正当理由大量反复申请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969CF8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E7E1CD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BDDC3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8CD4B5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9295D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7AF74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028AD93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5C311C3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64A35BB0">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A7132C4">
            <w:pPr>
              <w:rPr>
                <w:rFonts w:hint="eastAsia" w:ascii="宋体"/>
                <w:sz w:val="24"/>
                <w:szCs w:val="24"/>
              </w:rPr>
            </w:pPr>
          </w:p>
        </w:tc>
        <w:tc>
          <w:tcPr>
            <w:tcW w:w="2760"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204F05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5.要求行政机关确认或重新</w:t>
            </w:r>
          </w:p>
          <w:p w14:paraId="62CF07B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firstLine="210"/>
            </w:pPr>
            <w:r>
              <w:rPr>
                <w:rFonts w:hint="default" w:ascii="仿宋_GB2312" w:eastAsia="仿宋_GB2312" w:cs="仿宋_GB2312"/>
              </w:rPr>
              <w:t>出具已获取信息</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A6B2F6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3AC9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ADBE50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24B430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52EBA9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0FB675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6B819BE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55B30806">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3085D78C">
            <w:pPr>
              <w:rPr>
                <w:rFonts w:hint="eastAsia" w:ascii="宋体"/>
                <w:sz w:val="24"/>
                <w:szCs w:val="24"/>
              </w:rPr>
            </w:pPr>
          </w:p>
        </w:tc>
        <w:tc>
          <w:tcPr>
            <w:tcW w:w="1485" w:type="dxa"/>
            <w:vMerge w:val="restart"/>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113AD3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eastAsia" w:ascii="黑体" w:hAnsi="宋体" w:eastAsia="黑体" w:cs="黑体"/>
              </w:rPr>
              <w:t>（六）其他处理</w:t>
            </w:r>
          </w:p>
        </w:tc>
        <w:tc>
          <w:tcPr>
            <w:tcW w:w="296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E1D5CC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1.申请人无正当理由逾期不补正、行政机关不再处理其政府信息公开申请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B8BA02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B1DB43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2DA1B9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791A8B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F7C07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43EB0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C044CC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190E1A6">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BED6D28">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606993C">
            <w:pPr>
              <w:rPr>
                <w:rFonts w:hint="eastAsia" w:ascii="宋体"/>
                <w:sz w:val="24"/>
                <w:szCs w:val="24"/>
              </w:rPr>
            </w:pPr>
          </w:p>
        </w:tc>
        <w:tc>
          <w:tcPr>
            <w:tcW w:w="296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49617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2.申请人逾期未按收费通知要求缴纳费用、行政机关不再处理其政府信息公开申请</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C230A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4CC61E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30D9F0C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99AC8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D9E755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6126AC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4262B6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1FD1EDE1">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73599603">
            <w:pPr>
              <w:rPr>
                <w:rFonts w:hint="eastAsia" w:ascii="宋体"/>
                <w:sz w:val="24"/>
                <w:szCs w:val="24"/>
              </w:rPr>
            </w:pPr>
          </w:p>
        </w:tc>
        <w:tc>
          <w:tcPr>
            <w:tcW w:w="1485"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A0B04BD">
            <w:pPr>
              <w:rPr>
                <w:rFonts w:hint="eastAsia" w:ascii="宋体"/>
                <w:sz w:val="24"/>
                <w:szCs w:val="24"/>
              </w:rPr>
            </w:pPr>
          </w:p>
        </w:tc>
        <w:tc>
          <w:tcPr>
            <w:tcW w:w="296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3D91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default" w:ascii="仿宋_GB2312" w:eastAsia="仿宋_GB2312" w:cs="仿宋_GB2312"/>
              </w:rPr>
              <w:t>3.其他</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39FC4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0FD9824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7C8C9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187FD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2A1F057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4384D6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29402F7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r w14:paraId="7915E7A8">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c>
          <w:tcPr>
            <w:tcW w:w="200" w:type="dxa"/>
            <w:vMerge w:val="continue"/>
            <w:tcBorders>
              <w:top w:val="single" w:color="000000" w:sz="6" w:space="0"/>
              <w:bottom w:val="single" w:color="000000" w:sz="6" w:space="0"/>
              <w:right w:val="single" w:color="000000" w:sz="6" w:space="0"/>
            </w:tcBorders>
            <w:shd w:val="clear" w:color="auto" w:fill="auto"/>
            <w:tcMar>
              <w:left w:w="98" w:type="dxa"/>
              <w:right w:w="101" w:type="dxa"/>
            </w:tcMar>
            <w:vAlign w:val="center"/>
          </w:tcPr>
          <w:p w14:paraId="40445878">
            <w:pPr>
              <w:rPr>
                <w:rFonts w:hint="eastAsia" w:ascii="宋体"/>
                <w:sz w:val="24"/>
                <w:szCs w:val="24"/>
              </w:rPr>
            </w:pPr>
          </w:p>
        </w:tc>
        <w:tc>
          <w:tcPr>
            <w:tcW w:w="4461" w:type="dxa"/>
            <w:gridSpan w:val="2"/>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794EB31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eastAsia" w:ascii="黑体" w:hAnsi="宋体" w:eastAsia="黑体" w:cs="黑体"/>
              </w:rPr>
              <w:t>（七）总计</w:t>
            </w:r>
          </w:p>
        </w:tc>
        <w:tc>
          <w:tcPr>
            <w:tcW w:w="526"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E54627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c>
          <w:tcPr>
            <w:tcW w:w="32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177D68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6C5F039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10D5A67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52211A7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bottom w:val="single" w:color="000000" w:sz="6" w:space="0"/>
              <w:right w:val="single" w:color="000000" w:sz="6" w:space="0"/>
            </w:tcBorders>
            <w:shd w:val="clear" w:color="auto" w:fill="auto"/>
            <w:tcMar>
              <w:left w:w="101" w:type="dxa"/>
              <w:right w:w="101" w:type="dxa"/>
            </w:tcMar>
            <w:vAlign w:val="center"/>
          </w:tcPr>
          <w:p w14:paraId="417E7EC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bottom w:val="single" w:color="000000" w:sz="6" w:space="0"/>
            </w:tcBorders>
            <w:shd w:val="clear" w:color="auto" w:fill="auto"/>
            <w:tcMar>
              <w:left w:w="101" w:type="dxa"/>
              <w:right w:w="98" w:type="dxa"/>
            </w:tcMar>
            <w:vAlign w:val="center"/>
          </w:tcPr>
          <w:p w14:paraId="409012F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rPr>
                <w:rFonts w:hint="eastAsia" w:eastAsiaTheme="minorEastAsia"/>
                <w:lang w:val="en-US" w:eastAsia="zh-CN"/>
              </w:rPr>
            </w:pPr>
            <w:r>
              <w:rPr>
                <w:rFonts w:hint="eastAsia"/>
                <w:lang w:val="en-US" w:eastAsia="zh-CN"/>
              </w:rPr>
              <w:t>1</w:t>
            </w:r>
          </w:p>
        </w:tc>
      </w:tr>
      <w:tr w14:paraId="3E0E944A">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75" w:type="dxa"/>
            <w:left w:w="150" w:type="dxa"/>
            <w:bottom w:w="75" w:type="dxa"/>
            <w:right w:w="150" w:type="dxa"/>
          </w:tblCellMar>
        </w:tblPrEx>
        <w:tc>
          <w:tcPr>
            <w:tcW w:w="4877" w:type="dxa"/>
            <w:gridSpan w:val="3"/>
            <w:tcBorders>
              <w:top w:val="single" w:color="000000" w:sz="6" w:space="0"/>
              <w:right w:val="single" w:color="000000" w:sz="6" w:space="0"/>
            </w:tcBorders>
            <w:shd w:val="clear" w:color="auto" w:fill="auto"/>
            <w:tcMar>
              <w:left w:w="98" w:type="dxa"/>
              <w:right w:w="101" w:type="dxa"/>
            </w:tcMar>
            <w:vAlign w:val="center"/>
          </w:tcPr>
          <w:p w14:paraId="7D49709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00" w:lineRule="atLeast"/>
              <w:ind w:left="0" w:right="0"/>
            </w:pPr>
            <w:r>
              <w:rPr>
                <w:rFonts w:hint="eastAsia" w:ascii="黑体" w:hAnsi="宋体" w:eastAsia="黑体" w:cs="黑体"/>
              </w:rPr>
              <w:t>四、结转下年度继续办理</w:t>
            </w:r>
          </w:p>
        </w:tc>
        <w:tc>
          <w:tcPr>
            <w:tcW w:w="526"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21EAE22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9"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3E1BE2C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24"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4FE9E95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504"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24C492C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59"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3E14FD7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309" w:type="dxa"/>
            <w:tcBorders>
              <w:top w:val="single" w:color="000000" w:sz="6" w:space="0"/>
              <w:left w:val="single" w:color="000000" w:sz="6" w:space="0"/>
              <w:right w:val="single" w:color="000000" w:sz="6" w:space="0"/>
            </w:tcBorders>
            <w:shd w:val="clear" w:color="auto" w:fill="auto"/>
            <w:tcMar>
              <w:left w:w="101" w:type="dxa"/>
              <w:right w:w="101" w:type="dxa"/>
            </w:tcMar>
            <w:vAlign w:val="center"/>
          </w:tcPr>
          <w:p w14:paraId="1DB2903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c>
          <w:tcPr>
            <w:tcW w:w="485" w:type="dxa"/>
            <w:tcBorders>
              <w:top w:val="single" w:color="000000" w:sz="6" w:space="0"/>
              <w:left w:val="single" w:color="000000" w:sz="6" w:space="0"/>
            </w:tcBorders>
            <w:shd w:val="clear" w:color="auto" w:fill="auto"/>
            <w:tcMar>
              <w:left w:w="101" w:type="dxa"/>
              <w:right w:w="98" w:type="dxa"/>
            </w:tcMar>
            <w:vAlign w:val="center"/>
          </w:tcPr>
          <w:p w14:paraId="2BEADFA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tLeast"/>
              <w:ind w:left="0" w:right="0"/>
              <w:jc w:val="center"/>
            </w:pPr>
            <w:r>
              <w:rPr>
                <w:rFonts w:hint="default" w:ascii="仿宋_GB2312" w:eastAsia="仿宋_GB2312" w:cs="仿宋_GB2312"/>
              </w:rPr>
              <w:t>0</w:t>
            </w:r>
          </w:p>
        </w:tc>
      </w:tr>
    </w:tbl>
    <w:p w14:paraId="2C7E27DD">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000000"/>
          <w:spacing w:val="0"/>
          <w:sz w:val="32"/>
          <w:szCs w:val="32"/>
        </w:rPr>
        <w:t>四、政府信息公开行政复议、行政诉讼情况</w:t>
      </w:r>
    </w:p>
    <w:tbl>
      <w:tblPr>
        <w:tblStyle w:val="5"/>
        <w:tblW w:w="9091" w:type="dxa"/>
        <w:tblInd w:w="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Layout w:type="autofit"/>
        <w:tblCellMar>
          <w:top w:w="75" w:type="dxa"/>
          <w:left w:w="150" w:type="dxa"/>
          <w:bottom w:w="75" w:type="dxa"/>
          <w:right w:w="150" w:type="dxa"/>
        </w:tblCellMar>
      </w:tblPr>
      <w:tblGrid>
        <w:gridCol w:w="404"/>
        <w:gridCol w:w="416"/>
        <w:gridCol w:w="415"/>
        <w:gridCol w:w="415"/>
        <w:gridCol w:w="1335"/>
        <w:gridCol w:w="415"/>
        <w:gridCol w:w="415"/>
        <w:gridCol w:w="415"/>
        <w:gridCol w:w="415"/>
        <w:gridCol w:w="1281"/>
        <w:gridCol w:w="415"/>
        <w:gridCol w:w="415"/>
        <w:gridCol w:w="416"/>
        <w:gridCol w:w="417"/>
        <w:gridCol w:w="1502"/>
      </w:tblGrid>
      <w:tr w14:paraId="114E4589">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497" w:hRule="atLeast"/>
        </w:trPr>
        <w:tc>
          <w:tcPr>
            <w:tcW w:w="2858" w:type="dxa"/>
            <w:gridSpan w:val="5"/>
            <w:tcBorders>
              <w:bottom w:val="single" w:color="000000" w:sz="8" w:space="0"/>
              <w:right w:val="single" w:color="000000" w:sz="8" w:space="0"/>
            </w:tcBorders>
            <w:shd w:val="clear" w:color="auto" w:fill="auto"/>
            <w:tcMar>
              <w:left w:w="98" w:type="dxa"/>
              <w:right w:w="98" w:type="dxa"/>
            </w:tcMar>
            <w:vAlign w:val="center"/>
          </w:tcPr>
          <w:p w14:paraId="1C23C9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行政复议</w:t>
            </w:r>
          </w:p>
        </w:tc>
        <w:tc>
          <w:tcPr>
            <w:tcW w:w="5781" w:type="dxa"/>
            <w:gridSpan w:val="10"/>
            <w:tcBorders>
              <w:bottom w:val="single" w:color="000000" w:sz="8" w:space="0"/>
            </w:tcBorders>
            <w:shd w:val="clear" w:color="auto" w:fill="auto"/>
            <w:tcMar>
              <w:left w:w="108" w:type="dxa"/>
              <w:right w:w="98" w:type="dxa"/>
            </w:tcMar>
            <w:vAlign w:val="center"/>
          </w:tcPr>
          <w:p w14:paraId="1A39302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行政诉讼</w:t>
            </w:r>
          </w:p>
        </w:tc>
      </w:tr>
      <w:tr w14:paraId="5A04246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547" w:hRule="atLeast"/>
        </w:trPr>
        <w:tc>
          <w:tcPr>
            <w:tcW w:w="388" w:type="dxa"/>
            <w:vMerge w:val="restart"/>
            <w:tcBorders>
              <w:bottom w:val="single" w:color="000000" w:sz="8" w:space="0"/>
              <w:right w:val="single" w:color="000000" w:sz="8" w:space="0"/>
            </w:tcBorders>
            <w:shd w:val="clear" w:color="auto" w:fill="auto"/>
            <w:tcMar>
              <w:left w:w="98" w:type="dxa"/>
              <w:right w:w="98" w:type="dxa"/>
            </w:tcMar>
            <w:vAlign w:val="center"/>
          </w:tcPr>
          <w:p w14:paraId="5443519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w:t>
            </w:r>
          </w:p>
          <w:p w14:paraId="3973838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维持</w:t>
            </w:r>
          </w:p>
        </w:tc>
        <w:tc>
          <w:tcPr>
            <w:tcW w:w="388" w:type="dxa"/>
            <w:vMerge w:val="restart"/>
            <w:tcBorders>
              <w:bottom w:val="single" w:color="000000" w:sz="8" w:space="0"/>
              <w:right w:val="single" w:color="000000" w:sz="8" w:space="0"/>
            </w:tcBorders>
            <w:shd w:val="clear" w:color="auto" w:fill="auto"/>
            <w:tcMar>
              <w:left w:w="108" w:type="dxa"/>
              <w:right w:w="98" w:type="dxa"/>
            </w:tcMar>
            <w:vAlign w:val="center"/>
          </w:tcPr>
          <w:p w14:paraId="7CEE2BF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 w:right="0" w:hanging="1"/>
              <w:jc w:val="center"/>
              <w:rPr>
                <w:sz w:val="20"/>
                <w:szCs w:val="20"/>
              </w:rPr>
            </w:pPr>
            <w:r>
              <w:rPr>
                <w:rFonts w:hint="eastAsia" w:ascii="黑体" w:hAnsi="宋体" w:eastAsia="黑体" w:cs="黑体"/>
                <w:sz w:val="20"/>
                <w:szCs w:val="20"/>
              </w:rPr>
              <w:t>结果纠正</w:t>
            </w:r>
          </w:p>
        </w:tc>
        <w:tc>
          <w:tcPr>
            <w:tcW w:w="388" w:type="dxa"/>
            <w:vMerge w:val="restart"/>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3716833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其他结果</w:t>
            </w:r>
          </w:p>
        </w:tc>
        <w:tc>
          <w:tcPr>
            <w:tcW w:w="388" w:type="dxa"/>
            <w:vMerge w:val="restart"/>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1952470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尚未</w:t>
            </w:r>
          </w:p>
          <w:p w14:paraId="16AF91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审结</w:t>
            </w:r>
          </w:p>
        </w:tc>
        <w:tc>
          <w:tcPr>
            <w:tcW w:w="442" w:type="dxa"/>
            <w:vMerge w:val="restart"/>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1E8B57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sz w:val="20"/>
                <w:szCs w:val="20"/>
              </w:rPr>
              <w:t>总</w:t>
            </w:r>
          </w:p>
          <w:p w14:paraId="6DFA219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20" w:lineRule="atLeast"/>
              <w:ind w:left="0" w:right="0"/>
              <w:jc w:val="center"/>
            </w:pPr>
            <w:r>
              <w:rPr>
                <w:rFonts w:hint="eastAsia" w:ascii="黑体" w:hAnsi="宋体" w:eastAsia="黑体" w:cs="黑体"/>
                <w:sz w:val="20"/>
                <w:szCs w:val="20"/>
              </w:rPr>
              <w:t>计</w:t>
            </w:r>
          </w:p>
        </w:tc>
        <w:tc>
          <w:tcPr>
            <w:tcW w:w="2754" w:type="dxa"/>
            <w:gridSpan w:val="5"/>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51101A3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未经复议直接起诉</w:t>
            </w:r>
          </w:p>
        </w:tc>
        <w:tc>
          <w:tcPr>
            <w:tcW w:w="2811" w:type="dxa"/>
            <w:gridSpan w:val="5"/>
            <w:tcBorders>
              <w:top w:val="single" w:color="000000" w:sz="8" w:space="0"/>
              <w:bottom w:val="single" w:color="000000" w:sz="8" w:space="0"/>
            </w:tcBorders>
            <w:shd w:val="clear" w:color="auto" w:fill="auto"/>
            <w:tcMar>
              <w:left w:w="108" w:type="dxa"/>
              <w:right w:w="98" w:type="dxa"/>
            </w:tcMar>
            <w:vAlign w:val="center"/>
          </w:tcPr>
          <w:p w14:paraId="657F7D1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复议后起诉</w:t>
            </w:r>
          </w:p>
        </w:tc>
      </w:tr>
      <w:tr w14:paraId="51CEEA7F">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rPr>
          <w:trHeight w:val="906" w:hRule="atLeast"/>
        </w:trPr>
        <w:tc>
          <w:tcPr>
            <w:tcW w:w="388" w:type="dxa"/>
            <w:vMerge w:val="continue"/>
            <w:tcBorders>
              <w:bottom w:val="single" w:color="000000" w:sz="8" w:space="0"/>
              <w:right w:val="single" w:color="000000" w:sz="8" w:space="0"/>
            </w:tcBorders>
            <w:shd w:val="clear" w:color="auto" w:fill="auto"/>
            <w:tcMar>
              <w:left w:w="98" w:type="dxa"/>
              <w:right w:w="98" w:type="dxa"/>
            </w:tcMar>
            <w:vAlign w:val="center"/>
          </w:tcPr>
          <w:p w14:paraId="7D1B5959">
            <w:pPr>
              <w:rPr>
                <w:rFonts w:hint="eastAsia" w:ascii="宋体"/>
                <w:sz w:val="24"/>
                <w:szCs w:val="24"/>
              </w:rPr>
            </w:pPr>
          </w:p>
        </w:tc>
        <w:tc>
          <w:tcPr>
            <w:tcW w:w="388" w:type="dxa"/>
            <w:vMerge w:val="continue"/>
            <w:tcBorders>
              <w:bottom w:val="single" w:color="000000" w:sz="8" w:space="0"/>
              <w:right w:val="single" w:color="000000" w:sz="8" w:space="0"/>
            </w:tcBorders>
            <w:shd w:val="clear" w:color="auto" w:fill="auto"/>
            <w:tcMar>
              <w:left w:w="108" w:type="dxa"/>
              <w:right w:w="98" w:type="dxa"/>
            </w:tcMar>
            <w:vAlign w:val="center"/>
          </w:tcPr>
          <w:p w14:paraId="5263F8EA">
            <w:pPr>
              <w:rPr>
                <w:rFonts w:hint="eastAsia" w:ascii="宋体"/>
                <w:sz w:val="24"/>
                <w:szCs w:val="24"/>
              </w:rPr>
            </w:pPr>
          </w:p>
        </w:tc>
        <w:tc>
          <w:tcPr>
            <w:tcW w:w="388" w:type="dxa"/>
            <w:vMerge w:val="continue"/>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F1B4148">
            <w:pPr>
              <w:rPr>
                <w:rFonts w:hint="eastAsia" w:ascii="宋体"/>
                <w:sz w:val="24"/>
                <w:szCs w:val="24"/>
              </w:rPr>
            </w:pPr>
          </w:p>
        </w:tc>
        <w:tc>
          <w:tcPr>
            <w:tcW w:w="388" w:type="dxa"/>
            <w:vMerge w:val="continue"/>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6BED89A8">
            <w:pPr>
              <w:rPr>
                <w:rFonts w:hint="eastAsia" w:ascii="宋体"/>
                <w:sz w:val="24"/>
                <w:szCs w:val="24"/>
              </w:rPr>
            </w:pPr>
          </w:p>
        </w:tc>
        <w:tc>
          <w:tcPr>
            <w:tcW w:w="442" w:type="dxa"/>
            <w:vMerge w:val="continue"/>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01E08CE6">
            <w:pPr>
              <w:rPr>
                <w:rFonts w:hint="eastAsia" w:ascii="宋体"/>
                <w:sz w:val="24"/>
                <w:szCs w:val="24"/>
              </w:rPr>
            </w:pPr>
          </w:p>
        </w:tc>
        <w:tc>
          <w:tcPr>
            <w:tcW w:w="334" w:type="dxa"/>
            <w:tcBorders>
              <w:bottom w:val="single" w:color="000000" w:sz="8" w:space="0"/>
              <w:right w:val="single" w:color="000000" w:sz="8" w:space="0"/>
            </w:tcBorders>
            <w:shd w:val="clear" w:color="auto" w:fill="auto"/>
            <w:tcMar>
              <w:left w:w="108" w:type="dxa"/>
              <w:right w:w="98" w:type="dxa"/>
            </w:tcMar>
            <w:vAlign w:val="center"/>
          </w:tcPr>
          <w:p w14:paraId="0F85B7A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结果维持</w:t>
            </w:r>
          </w:p>
        </w:tc>
        <w:tc>
          <w:tcPr>
            <w:tcW w:w="389" w:type="dxa"/>
            <w:tcBorders>
              <w:bottom w:val="single" w:color="000000" w:sz="8" w:space="0"/>
              <w:right w:val="single" w:color="000000" w:sz="8" w:space="0"/>
            </w:tcBorders>
            <w:shd w:val="clear" w:color="auto" w:fill="auto"/>
            <w:tcMar>
              <w:left w:w="108" w:type="dxa"/>
              <w:right w:w="98" w:type="dxa"/>
            </w:tcMar>
            <w:vAlign w:val="center"/>
          </w:tcPr>
          <w:p w14:paraId="2DB46F3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结果纠正</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4F9903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其他</w:t>
            </w:r>
          </w:p>
          <w:p w14:paraId="531FAF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35F846F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尚未</w:t>
            </w:r>
          </w:p>
          <w:p w14:paraId="438D3BC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审结</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7255B75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总计</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2A86C08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结果维持</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6A7EED3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结果</w:t>
            </w:r>
          </w:p>
          <w:p w14:paraId="657B982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纠正</w:t>
            </w:r>
          </w:p>
        </w:tc>
        <w:tc>
          <w:tcPr>
            <w:tcW w:w="389"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3F9FEA7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 w:right="0" w:hanging="1"/>
              <w:jc w:val="center"/>
              <w:rPr>
                <w:sz w:val="20"/>
                <w:szCs w:val="20"/>
              </w:rPr>
            </w:pPr>
            <w:r>
              <w:rPr>
                <w:rFonts w:hint="eastAsia" w:ascii="黑体" w:hAnsi="宋体" w:eastAsia="黑体" w:cs="黑体"/>
                <w:sz w:val="20"/>
                <w:szCs w:val="20"/>
              </w:rPr>
              <w:t>其他</w:t>
            </w:r>
          </w:p>
          <w:p w14:paraId="4406125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1" w:right="0" w:hanging="1"/>
              <w:jc w:val="center"/>
              <w:rPr>
                <w:sz w:val="20"/>
                <w:szCs w:val="20"/>
              </w:rPr>
            </w:pPr>
            <w:r>
              <w:rPr>
                <w:rFonts w:hint="eastAsia" w:ascii="黑体" w:hAnsi="宋体" w:eastAsia="黑体" w:cs="黑体"/>
                <w:sz w:val="20"/>
                <w:szCs w:val="20"/>
              </w:rPr>
              <w:t>结果</w:t>
            </w:r>
          </w:p>
        </w:tc>
        <w:tc>
          <w:tcPr>
            <w:tcW w:w="390" w:type="dxa"/>
            <w:tcBorders>
              <w:top w:val="single" w:color="000000" w:sz="8" w:space="0"/>
              <w:bottom w:val="single" w:color="000000" w:sz="8" w:space="0"/>
              <w:right w:val="single" w:color="000000" w:sz="8" w:space="0"/>
            </w:tcBorders>
            <w:shd w:val="clear" w:color="auto" w:fill="auto"/>
            <w:tcMar>
              <w:left w:w="108" w:type="dxa"/>
              <w:right w:w="98" w:type="dxa"/>
            </w:tcMar>
            <w:vAlign w:val="center"/>
          </w:tcPr>
          <w:p w14:paraId="74BD58B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2" w:right="0" w:hanging="2"/>
              <w:jc w:val="center"/>
              <w:rPr>
                <w:sz w:val="20"/>
                <w:szCs w:val="20"/>
              </w:rPr>
            </w:pPr>
            <w:r>
              <w:rPr>
                <w:rFonts w:hint="eastAsia" w:ascii="黑体" w:hAnsi="宋体" w:eastAsia="黑体" w:cs="黑体"/>
                <w:sz w:val="20"/>
                <w:szCs w:val="20"/>
              </w:rPr>
              <w:t>尚未审结</w:t>
            </w:r>
          </w:p>
        </w:tc>
        <w:tc>
          <w:tcPr>
            <w:tcW w:w="390" w:type="dxa"/>
            <w:tcBorders>
              <w:top w:val="single" w:color="000000" w:sz="8" w:space="0"/>
              <w:bottom w:val="single" w:color="000000" w:sz="8" w:space="0"/>
            </w:tcBorders>
            <w:shd w:val="clear" w:color="auto" w:fill="auto"/>
            <w:tcMar>
              <w:left w:w="108" w:type="dxa"/>
              <w:right w:w="98" w:type="dxa"/>
            </w:tcMar>
            <w:vAlign w:val="center"/>
          </w:tcPr>
          <w:p w14:paraId="0BD779C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center"/>
              <w:rPr>
                <w:sz w:val="20"/>
                <w:szCs w:val="20"/>
              </w:rPr>
            </w:pPr>
            <w:r>
              <w:rPr>
                <w:rFonts w:hint="eastAsia" w:ascii="黑体" w:hAnsi="宋体" w:eastAsia="黑体" w:cs="黑体"/>
                <w:sz w:val="20"/>
                <w:szCs w:val="20"/>
              </w:rPr>
              <w:t>总计</w:t>
            </w:r>
          </w:p>
        </w:tc>
      </w:tr>
      <w:tr w14:paraId="6FE204F0">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shd w:val="clear" w:color="auto" w:fill="auto"/>
          <w:tblCellMar>
            <w:top w:w="75" w:type="dxa"/>
            <w:left w:w="150" w:type="dxa"/>
            <w:bottom w:w="75" w:type="dxa"/>
            <w:right w:w="150" w:type="dxa"/>
          </w:tblCellMar>
        </w:tblPrEx>
        <w:tc>
          <w:tcPr>
            <w:tcW w:w="388" w:type="dxa"/>
            <w:tcBorders>
              <w:right w:val="single" w:color="000000" w:sz="8" w:space="0"/>
            </w:tcBorders>
            <w:shd w:val="clear" w:color="auto" w:fill="auto"/>
            <w:tcMar>
              <w:left w:w="98" w:type="dxa"/>
              <w:right w:w="98" w:type="dxa"/>
            </w:tcMar>
            <w:vAlign w:val="bottom"/>
          </w:tcPr>
          <w:p w14:paraId="14E7A4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8" w:type="dxa"/>
            <w:tcBorders>
              <w:right w:val="single" w:color="000000" w:sz="8" w:space="0"/>
            </w:tcBorders>
            <w:shd w:val="clear" w:color="auto" w:fill="auto"/>
            <w:tcMar>
              <w:left w:w="108" w:type="dxa"/>
              <w:right w:w="98" w:type="dxa"/>
            </w:tcMar>
            <w:vAlign w:val="bottom"/>
          </w:tcPr>
          <w:p w14:paraId="35261C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8" w:type="dxa"/>
            <w:tcBorders>
              <w:right w:val="single" w:color="000000" w:sz="8" w:space="0"/>
            </w:tcBorders>
            <w:shd w:val="clear" w:color="auto" w:fill="auto"/>
            <w:tcMar>
              <w:left w:w="108" w:type="dxa"/>
              <w:right w:w="98" w:type="dxa"/>
            </w:tcMar>
            <w:vAlign w:val="bottom"/>
          </w:tcPr>
          <w:p w14:paraId="56D83BE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8" w:type="dxa"/>
            <w:tcBorders>
              <w:right w:val="single" w:color="000000" w:sz="8" w:space="0"/>
            </w:tcBorders>
            <w:shd w:val="clear" w:color="auto" w:fill="auto"/>
            <w:tcMar>
              <w:left w:w="108" w:type="dxa"/>
              <w:right w:w="98" w:type="dxa"/>
            </w:tcMar>
            <w:vAlign w:val="bottom"/>
          </w:tcPr>
          <w:p w14:paraId="1C0204F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442" w:type="dxa"/>
            <w:tcBorders>
              <w:right w:val="single" w:color="000000" w:sz="8" w:space="0"/>
            </w:tcBorders>
            <w:shd w:val="clear" w:color="auto" w:fill="auto"/>
            <w:tcMar>
              <w:left w:w="108" w:type="dxa"/>
              <w:right w:w="98" w:type="dxa"/>
            </w:tcMar>
            <w:vAlign w:val="bottom"/>
          </w:tcPr>
          <w:p w14:paraId="203DFA4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34" w:type="dxa"/>
            <w:tcBorders>
              <w:right w:val="single" w:color="000000" w:sz="8" w:space="0"/>
            </w:tcBorders>
            <w:shd w:val="clear" w:color="auto" w:fill="auto"/>
            <w:tcMar>
              <w:left w:w="108" w:type="dxa"/>
              <w:right w:w="98" w:type="dxa"/>
            </w:tcMar>
            <w:vAlign w:val="bottom"/>
          </w:tcPr>
          <w:p w14:paraId="0BC5376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5708043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33FB6AC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3D6430B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140C2F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35815A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172E4A1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89" w:type="dxa"/>
            <w:tcBorders>
              <w:right w:val="single" w:color="000000" w:sz="8" w:space="0"/>
            </w:tcBorders>
            <w:shd w:val="clear" w:color="auto" w:fill="auto"/>
            <w:tcMar>
              <w:left w:w="108" w:type="dxa"/>
              <w:right w:w="98" w:type="dxa"/>
            </w:tcMar>
            <w:vAlign w:val="bottom"/>
          </w:tcPr>
          <w:p w14:paraId="080F139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90" w:type="dxa"/>
            <w:tcBorders>
              <w:right w:val="single" w:color="000000" w:sz="8" w:space="0"/>
            </w:tcBorders>
            <w:shd w:val="clear" w:color="auto" w:fill="auto"/>
            <w:tcMar>
              <w:left w:w="108" w:type="dxa"/>
              <w:right w:w="98" w:type="dxa"/>
            </w:tcMar>
            <w:vAlign w:val="bottom"/>
          </w:tcPr>
          <w:p w14:paraId="485E2B1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c>
          <w:tcPr>
            <w:tcW w:w="390" w:type="dxa"/>
            <w:shd w:val="clear" w:color="auto" w:fill="auto"/>
            <w:tcMar>
              <w:left w:w="108" w:type="dxa"/>
              <w:right w:w="98" w:type="dxa"/>
            </w:tcMar>
            <w:vAlign w:val="bottom"/>
          </w:tcPr>
          <w:p w14:paraId="515A3CD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80" w:afterAutospacing="0" w:line="315" w:lineRule="atLeast"/>
              <w:ind w:left="0" w:right="0"/>
              <w:jc w:val="center"/>
            </w:pPr>
            <w:r>
              <w:rPr>
                <w:rFonts w:hint="default" w:ascii="仿宋_GB2312" w:eastAsia="仿宋_GB2312" w:cs="仿宋_GB2312"/>
              </w:rPr>
              <w:t>0</w:t>
            </w:r>
          </w:p>
        </w:tc>
      </w:tr>
    </w:tbl>
    <w:p w14:paraId="20A1CDE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000000"/>
          <w:spacing w:val="0"/>
          <w:sz w:val="32"/>
          <w:szCs w:val="32"/>
        </w:rPr>
        <w:t>五、存在的主要问题及改进情况</w:t>
      </w:r>
    </w:p>
    <w:p w14:paraId="233382D5">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（一）工作中存在的主要问题</w:t>
      </w:r>
    </w:p>
    <w:p w14:paraId="7FB8A72B">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在上级部门的统筹指导下，羊庄镇信息公开工作稳步推进并取得一定进展，但从规范化建设和服务型政府建设要求来看，仍存在不少短板，具体表现为：</w:t>
      </w:r>
    </w:p>
    <w:p w14:paraId="2C00C1D2">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一是公开内容供需匹配度不高。现有公开信息多以常规工作动态为主，对民生保障、项目审批、惠民政策落实等群众关切的核心领域，公开内容较为笼统，缺乏具象化、细节化的解读，难以切实解决群众信息查询的实际需求。</w:t>
      </w:r>
    </w:p>
    <w:p w14:paraId="2D0D8CDF">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二是信息公开形式较为单一。当前信息公开主要以文字图片原文发布为主，缺乏图表、音频、视频等多元化呈现形式，对于复杂的工作流程、数据统计等信息，未能通过更直观易懂的方式展示，导致部分群众尤其是老年群体等特殊群体获取、理解信息的难度较大，信息公开的传播效果有待提升。</w:t>
      </w:r>
    </w:p>
    <w:p w14:paraId="13AD1873">
      <w:pPr>
        <w:pStyle w:val="4"/>
        <w:keepNext w:val="0"/>
        <w:keepLines w:val="0"/>
        <w:widowControl/>
        <w:suppressLineNumbers w:val="0"/>
        <w:spacing w:before="0" w:beforeAutospacing="0" w:after="0" w:afterAutospacing="0" w:line="560" w:lineRule="atLeast"/>
        <w:ind w:left="0" w:firstLine="640"/>
        <w:jc w:val="left"/>
        <w:rPr>
          <w:rFonts w:hint="eastAsia" w:ascii="仿宋_GB2312" w:hAnsi="sans-serif" w:eastAsia="仿宋_GB2312" w:cs="仿宋_GB2312"/>
          <w:i w:val="0"/>
          <w:iCs w:val="0"/>
          <w:caps w:val="0"/>
          <w:color w:val="000000"/>
          <w:spacing w:val="0"/>
          <w:sz w:val="32"/>
          <w:szCs w:val="32"/>
        </w:rPr>
      </w:pPr>
      <w:r>
        <w:rPr>
          <w:rFonts w:hint="eastAsia" w:ascii="仿宋_GB2312" w:hAnsi="sans-serif" w:eastAsia="仿宋_GB2312" w:cs="仿宋_GB2312"/>
          <w:i w:val="0"/>
          <w:iCs w:val="0"/>
          <w:caps w:val="0"/>
          <w:color w:val="000000"/>
          <w:spacing w:val="0"/>
          <w:sz w:val="32"/>
          <w:szCs w:val="32"/>
          <w:lang w:val="en-US" w:eastAsia="zh-CN"/>
        </w:rPr>
        <w:t>三是公开工作机制不完善。尚未建立健全信息公开审核、发布、反馈的全流程管理制度，各部门之间信息共享联动不足，存在信息壁垒，导致部分应公开信息收集不全面、流转不顺畅，影响公开工作的整体效能。</w:t>
      </w:r>
    </w:p>
    <w:p w14:paraId="3121CB1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楷体" w:hAnsi="楷体" w:eastAsia="楷体" w:cs="楷体"/>
          <w:b/>
          <w:bCs/>
          <w:i w:val="0"/>
          <w:iCs w:val="0"/>
          <w:caps w:val="0"/>
          <w:color w:val="000000"/>
          <w:spacing w:val="0"/>
          <w:sz w:val="32"/>
          <w:szCs w:val="32"/>
        </w:rPr>
        <w:t>（二）具体改进措施</w:t>
      </w:r>
    </w:p>
    <w:p w14:paraId="364B1247">
      <w:pPr>
        <w:pStyle w:val="4"/>
        <w:keepNext w:val="0"/>
        <w:keepLines w:val="0"/>
        <w:widowControl/>
        <w:suppressLineNumbers w:val="0"/>
        <w:spacing w:before="0" w:beforeAutospacing="0" w:after="0" w:afterAutospacing="0" w:line="560" w:lineRule="atLeast"/>
        <w:ind w:left="0" w:firstLine="640"/>
        <w:jc w:val="left"/>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lang w:val="en-US" w:eastAsia="zh-CN"/>
        </w:rPr>
        <w:t>针对上述问题，结合工作实际，制定以下改进措施：</w:t>
      </w:r>
    </w:p>
    <w:p w14:paraId="50E40E04">
      <w:pPr>
        <w:pStyle w:val="4"/>
        <w:keepNext w:val="0"/>
        <w:keepLines w:val="0"/>
        <w:widowControl/>
        <w:suppressLineNumbers w:val="0"/>
        <w:spacing w:before="0" w:beforeAutospacing="0" w:after="0" w:afterAutospacing="0" w:line="560" w:lineRule="atLeast"/>
        <w:ind w:left="0" w:firstLine="640"/>
        <w:jc w:val="left"/>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lang w:val="en-US" w:eastAsia="zh-CN"/>
        </w:rPr>
        <w:t>一是开展需求调研，精准对接公开内容。通过线上问卷、线下座谈等方式，常态化收集群众对政务信息的需求建议，建立需求清单台账。重点围绕民生领域高频事项，编制细化的公开指引，同步加强政策解读的通俗化、可视化呈现，提升公开内容的实用性和可读性。</w:t>
      </w:r>
    </w:p>
    <w:p w14:paraId="440F2929">
      <w:pPr>
        <w:pStyle w:val="4"/>
        <w:keepNext w:val="0"/>
        <w:keepLines w:val="0"/>
        <w:widowControl/>
        <w:suppressLineNumbers w:val="0"/>
        <w:spacing w:before="0" w:beforeAutospacing="0" w:after="0" w:afterAutospacing="0" w:line="560" w:lineRule="atLeast"/>
        <w:ind w:left="0" w:firstLine="640"/>
        <w:jc w:val="left"/>
        <w:rPr>
          <w:rFonts w:hint="default" w:ascii="仿宋_GB2312" w:hAnsi="sans-serif" w:eastAsia="仿宋_GB2312" w:cs="仿宋_GB2312"/>
          <w:i w:val="0"/>
          <w:iCs w:val="0"/>
          <w:caps w:val="0"/>
          <w:color w:val="000000"/>
          <w:spacing w:val="0"/>
          <w:sz w:val="32"/>
          <w:szCs w:val="32"/>
        </w:rPr>
      </w:pPr>
      <w:r>
        <w:rPr>
          <w:rFonts w:hint="default" w:ascii="仿宋_GB2312" w:hAnsi="sans-serif" w:eastAsia="仿宋_GB2312" w:cs="仿宋_GB2312"/>
          <w:i w:val="0"/>
          <w:iCs w:val="0"/>
          <w:caps w:val="0"/>
          <w:color w:val="000000"/>
          <w:spacing w:val="0"/>
          <w:sz w:val="32"/>
          <w:szCs w:val="32"/>
          <w:lang w:val="en-US" w:eastAsia="zh-CN"/>
        </w:rPr>
        <w:t>二是丰富信息公开形式，提升信息传播实效。结合不同群体的信息获取习惯，推动信息公开形式多元化升级。对工作流程、数据统计等复杂信息，制作流程图、信息图表等可视化材料；对重要政策、民生事项，配套制作音频解读、短视频宣讲等内容。方便特殊群体快速获取所需信息，增强信息公开的覆盖面和可及性。</w:t>
      </w:r>
    </w:p>
    <w:p w14:paraId="2B5787A3">
      <w:pPr>
        <w:pStyle w:val="4"/>
        <w:keepNext w:val="0"/>
        <w:keepLines w:val="0"/>
        <w:widowControl/>
        <w:suppressLineNumbers w:val="0"/>
        <w:spacing w:before="0" w:beforeAutospacing="0" w:after="0" w:afterAutospacing="0" w:line="560" w:lineRule="atLeast"/>
        <w:ind w:left="0" w:firstLine="640"/>
        <w:jc w:val="left"/>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lang w:val="en-US" w:eastAsia="zh-CN"/>
        </w:rPr>
        <w:t>三是健全工作机制，强化部门协同联动。制定完善信息公开全流程管理制度，明确各部门信息公开职责分工，建立跨部门信息共享协作机制，打破信息壁垒。定期开展部门间工作会商，及时解决信息收集、流转、发布中的堵点问题，同时将信息公开工作纳入年度考核，倒逼工作落实，提升公开工作的规范化水平。</w:t>
      </w:r>
    </w:p>
    <w:p w14:paraId="4CACB3D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eastAsia" w:ascii="黑体" w:hAnsi="宋体" w:eastAsia="黑体" w:cs="黑体"/>
          <w:b/>
          <w:bCs/>
          <w:i w:val="0"/>
          <w:iCs w:val="0"/>
          <w:caps w:val="0"/>
          <w:color w:val="333333"/>
          <w:spacing w:val="0"/>
          <w:sz w:val="32"/>
          <w:szCs w:val="32"/>
          <w:shd w:val="clear" w:fill="FFFFFF"/>
        </w:rPr>
        <w:t>六、其他需要报告的事项</w:t>
      </w:r>
    </w:p>
    <w:p w14:paraId="643071FF">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1、202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年度未收取政府信息公开信息处理费。</w:t>
      </w:r>
    </w:p>
    <w:p w14:paraId="612CEBA9">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2、202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羊庄镇扎严格按照上级年度政务公开工作要点，扎实做好平台建设，切实推进政务公开制度化规范化，制定了政府政务信息公开工作实施方案，定期进行跟踪问效，各项任务落细落实，确保政务公开工作提质增效。</w:t>
      </w:r>
    </w:p>
    <w:p w14:paraId="2AE04ED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3、202</w:t>
      </w:r>
      <w:r>
        <w:rPr>
          <w:rFonts w:hint="eastAsia" w:ascii="仿宋_GB2312" w:hAnsi="sans-serif" w:eastAsia="仿宋_GB2312" w:cs="仿宋_GB2312"/>
          <w:i w:val="0"/>
          <w:iCs w:val="0"/>
          <w:caps w:val="0"/>
          <w:color w:val="000000"/>
          <w:spacing w:val="0"/>
          <w:sz w:val="32"/>
          <w:szCs w:val="32"/>
          <w:lang w:val="en-US" w:eastAsia="zh-CN"/>
        </w:rPr>
        <w:t>5</w:t>
      </w:r>
      <w:r>
        <w:rPr>
          <w:rFonts w:hint="default" w:ascii="仿宋_GB2312" w:hAnsi="sans-serif" w:eastAsia="仿宋_GB2312" w:cs="仿宋_GB2312"/>
          <w:i w:val="0"/>
          <w:iCs w:val="0"/>
          <w:caps w:val="0"/>
          <w:color w:val="000000"/>
          <w:spacing w:val="0"/>
          <w:sz w:val="32"/>
          <w:szCs w:val="32"/>
        </w:rPr>
        <w:t>年度羊庄镇未办理人大建议和政协提案。</w:t>
      </w:r>
    </w:p>
    <w:p w14:paraId="08B0E521">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4、羊庄镇持续推进政府开放日、政务公开体验区等创新形式。</w:t>
      </w:r>
    </w:p>
    <w:p w14:paraId="72BA3EB6">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5、本年度政府信息公开年报中的数据真实可查。</w:t>
      </w:r>
    </w:p>
    <w:p w14:paraId="05D51F5B">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6、无需要报告的其他事项。</w:t>
      </w:r>
    </w:p>
    <w:p w14:paraId="7F0EF36E">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7、无其他有关文件专门要求通过政府信息公开年度报告予以报告的事项。</w:t>
      </w:r>
    </w:p>
    <w:p w14:paraId="617A7D1B">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 </w:t>
      </w:r>
    </w:p>
    <w:p w14:paraId="715563DD">
      <w:pPr>
        <w:pStyle w:val="4"/>
        <w:keepNext w:val="0"/>
        <w:keepLines w:val="0"/>
        <w:widowControl/>
        <w:suppressLineNumbers w:val="0"/>
        <w:spacing w:before="0" w:beforeAutospacing="0" w:after="0" w:afterAutospacing="0" w:line="60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如对本报告有任何疑问，请与羊庄镇政务信息公开办公室联系。</w:t>
      </w:r>
    </w:p>
    <w:p w14:paraId="2CE7319C">
      <w:pPr>
        <w:pStyle w:val="4"/>
        <w:keepNext w:val="0"/>
        <w:keepLines w:val="0"/>
        <w:widowControl/>
        <w:suppressLineNumbers w:val="0"/>
        <w:spacing w:before="0" w:beforeAutospacing="0" w:after="0" w:afterAutospacing="0" w:line="60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地址：山东省滕州市羊庄镇政府驻地</w:t>
      </w:r>
    </w:p>
    <w:p w14:paraId="64FCFF8D">
      <w:pPr>
        <w:pStyle w:val="4"/>
        <w:keepNext w:val="0"/>
        <w:keepLines w:val="0"/>
        <w:widowControl/>
        <w:suppressLineNumbers w:val="0"/>
        <w:spacing w:before="0" w:beforeAutospacing="0" w:after="0" w:afterAutospacing="0" w:line="60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联系电话：0632-2917120</w:t>
      </w:r>
    </w:p>
    <w:p w14:paraId="04C246C3">
      <w:pPr>
        <w:pStyle w:val="4"/>
        <w:keepNext w:val="0"/>
        <w:keepLines w:val="0"/>
        <w:widowControl/>
        <w:suppressLineNumbers w:val="0"/>
        <w:spacing w:before="0" w:beforeAutospacing="0" w:after="0" w:afterAutospacing="0" w:line="560" w:lineRule="atLeast"/>
        <w:ind w:left="0" w:firstLine="640"/>
        <w:rPr>
          <w:rFonts w:hint="default" w:ascii="sans-serif" w:hAnsi="sans-serif" w:eastAsia="sans-serif" w:cs="sans-serif"/>
          <w:i w:val="0"/>
          <w:iCs w:val="0"/>
          <w:caps w:val="0"/>
          <w:color w:val="000000"/>
          <w:spacing w:val="0"/>
          <w:sz w:val="27"/>
          <w:szCs w:val="27"/>
        </w:rPr>
      </w:pPr>
      <w:r>
        <w:rPr>
          <w:rFonts w:hint="default" w:ascii="仿宋_GB2312" w:hAnsi="sans-serif" w:eastAsia="仿宋_GB2312" w:cs="仿宋_GB2312"/>
          <w:i w:val="0"/>
          <w:iCs w:val="0"/>
          <w:caps w:val="0"/>
          <w:color w:val="000000"/>
          <w:spacing w:val="0"/>
          <w:sz w:val="32"/>
          <w:szCs w:val="32"/>
        </w:rPr>
        <w:t>电子邮箱：yzz2917120</w:t>
      </w:r>
      <w:r>
        <w:rPr>
          <w:rFonts w:hint="eastAsia" w:ascii="仿宋_GB2312" w:hAnsi="sans-serif" w:eastAsia="仿宋_GB2312" w:cs="仿宋_GB2312"/>
          <w:i w:val="0"/>
          <w:iCs w:val="0"/>
          <w:caps w:val="0"/>
          <w:color w:val="000000"/>
          <w:spacing w:val="0"/>
          <w:sz w:val="32"/>
          <w:szCs w:val="32"/>
          <w:lang w:val="en-US" w:eastAsia="zh-CN"/>
        </w:rPr>
        <w:t>@</w:t>
      </w:r>
      <w:r>
        <w:rPr>
          <w:rFonts w:hint="default" w:ascii="仿宋_GB2312" w:hAnsi="sans-serif" w:eastAsia="仿宋_GB2312" w:cs="仿宋_GB2312"/>
          <w:i w:val="0"/>
          <w:iCs w:val="0"/>
          <w:caps w:val="0"/>
          <w:color w:val="000000"/>
          <w:spacing w:val="0"/>
          <w:sz w:val="32"/>
          <w:szCs w:val="32"/>
        </w:rPr>
        <w:t>163.com</w:t>
      </w:r>
    </w:p>
    <w:p w14:paraId="688A913E"/>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D14A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EBD6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23EBD6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C41D0">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BF2FEA"/>
    <w:rsid w:val="0F443068"/>
    <w:rsid w:val="128A572B"/>
    <w:rsid w:val="19C17CCB"/>
    <w:rsid w:val="1A5536BF"/>
    <w:rsid w:val="1C700544"/>
    <w:rsid w:val="1E8A6AB3"/>
    <w:rsid w:val="27F30B4C"/>
    <w:rsid w:val="2A78394C"/>
    <w:rsid w:val="3BC04C2A"/>
    <w:rsid w:val="48CB6495"/>
    <w:rsid w:val="4E2155F3"/>
    <w:rsid w:val="6BB32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1622</Words>
  <Characters>1661</Characters>
  <Lines>0</Lines>
  <Paragraphs>0</Paragraphs>
  <TotalTime>6</TotalTime>
  <ScaleCrop>false</ScaleCrop>
  <LinksUpToDate>false</LinksUpToDate>
  <CharactersWithSpaces>1661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2026-01-14T07:19:00Z</dcterms:created>
  <dc:creator>Administrator</dc:creator>
  <cp:lastModifiedBy>河畔</cp:lastModifiedBy>
  <dcterms:modified xsi:type="dcterms:W3CDTF">2026-02-11T04:26:56Z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eyJoZGlkIjoiY2JkNTVlZGFmZTc4YzQzYWVlZGJlOTdmYjExYzBlNTQiLCJ1c2VySWQiOiIzOTkxNDg5NTYifQ==</vt:lpwstr>
  </property>
  <property fmtid="{D5CDD505-2E9C-101B-9397-08002B2CF9AE}" pid="4" name="ICV">
    <vt:lpwstr>573C2F0D32A74FB1BE1C220FA9668B54_12</vt:lpwstr>
  </property>
</Properties>
</file>