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滕州市住房和城乡建设局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2025年</w:t>
      </w:r>
      <w:r>
        <w:rPr>
          <w:rFonts w:hint="eastAsia" w:ascii="方正小标宋简体" w:hAnsi="方正小标宋简体" w:eastAsia="方正小标宋简体" w:cs="方正小标宋简体"/>
          <w:b w:val="0"/>
          <w:bCs/>
          <w:color w:val="auto"/>
          <w:sz w:val="44"/>
          <w:szCs w:val="44"/>
        </w:rPr>
        <w:t>政府信息公开工作年度报告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方正小标宋简体" w:hAnsi="方正小标宋简体" w:eastAsia="方正小标宋简体" w:cs="方正小标宋简体"/>
          <w:i w:val="0"/>
          <w:iCs w:val="0"/>
          <w:caps w:val="0"/>
          <w:color w:val="auto"/>
          <w:spacing w:val="0"/>
          <w:sz w:val="44"/>
          <w:szCs w:val="4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本报告按照《中华人民共和国政府信息公开条例》（国务院令第711号）和《国务院办公厅政府信息与政务公开办公室关于政府信息公开工作年度报告有关事项的通知》（国办公开办函〔2021〕30号）及有关文件要求</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eastAsia" w:ascii="仿宋_GB2312" w:hAnsi="仿宋_GB2312" w:eastAsia="仿宋_GB2312" w:cs="仿宋_GB2312"/>
          <w:i w:val="0"/>
          <w:iCs w:val="0"/>
          <w:caps w:val="0"/>
          <w:color w:val="auto"/>
          <w:spacing w:val="0"/>
          <w:sz w:val="32"/>
          <w:szCs w:val="32"/>
          <w:shd w:val="clear" w:fill="FFFFFF"/>
        </w:rPr>
        <w:t>结合滕州市住房和城乡建设局202</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年度信息公开工作实际，编制了本报告。内容包括总体情况，主动公</w:t>
      </w:r>
      <w:bookmarkStart w:id="10" w:name="_GoBack"/>
      <w:bookmarkEnd w:id="10"/>
      <w:r>
        <w:rPr>
          <w:rFonts w:hint="eastAsia" w:ascii="仿宋_GB2312" w:hAnsi="仿宋_GB2312" w:eastAsia="仿宋_GB2312" w:cs="仿宋_GB2312"/>
          <w:i w:val="0"/>
          <w:iCs w:val="0"/>
          <w:caps w:val="0"/>
          <w:color w:val="auto"/>
          <w:spacing w:val="0"/>
          <w:sz w:val="32"/>
          <w:szCs w:val="32"/>
          <w:shd w:val="clear" w:fill="FFFFFF"/>
        </w:rPr>
        <w:t>开政府信息情况，收到和处理政府信息公开申请情况，政府信息公开行政复议、行政诉讼情况，存在的主要问题及改进情况、其他需要报告的事项6个部分组成。本报告中所列数据的统计期限自202</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年1月1日起至202</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年12月31日止。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Microsoft YaHei UI" w:hAnsi="Microsoft YaHei UI" w:eastAsia="Microsoft YaHei UI" w:cs="Microsoft YaHei UI"/>
          <w:i w:val="0"/>
          <w:iCs w:val="0"/>
          <w:caps w:val="0"/>
          <w:color w:val="auto"/>
          <w:spacing w:val="0"/>
          <w:sz w:val="24"/>
          <w:szCs w:val="24"/>
        </w:rPr>
      </w:pPr>
      <w:r>
        <w:rPr>
          <w:rFonts w:ascii="黑体" w:hAnsi="宋体" w:eastAsia="黑体" w:cs="黑体"/>
          <w:i w:val="0"/>
          <w:iCs w:val="0"/>
          <w:caps w:val="0"/>
          <w:color w:val="auto"/>
          <w:spacing w:val="0"/>
          <w:sz w:val="31"/>
          <w:szCs w:val="31"/>
          <w:shd w:val="clear" w:fill="FFFFFF"/>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eastAsia="zh-CN"/>
        </w:rPr>
        <w:t>滕州</w:t>
      </w:r>
      <w:r>
        <w:rPr>
          <w:rFonts w:hint="eastAsia" w:ascii="仿宋_GB2312" w:hAnsi="仿宋_GB2312" w:eastAsia="仿宋_GB2312" w:cs="仿宋_GB2312"/>
          <w:i w:val="0"/>
          <w:iCs w:val="0"/>
          <w:caps w:val="0"/>
          <w:color w:val="auto"/>
          <w:spacing w:val="0"/>
          <w:sz w:val="32"/>
          <w:szCs w:val="32"/>
          <w:shd w:val="clear" w:fill="FFFFFF"/>
        </w:rPr>
        <w:t>市住房城乡建设局坚持以习近平新时代中国特色社会主义思想为指导，全面贯彻落实国家、省、市关于政务公开工作的部署要求，紧紧围绕住建领域工作，加强组织领导，拓展公开深度，着力提高政府信息公开工作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6"/>
        <w:jc w:val="both"/>
        <w:textAlignment w:val="auto"/>
        <w:rPr>
          <w:rFonts w:hint="eastAsia" w:ascii="仿宋_GB2312" w:hAnsi="仿宋_GB2312" w:eastAsia="仿宋_GB2312" w:cs="仿宋_GB2312"/>
          <w:i w:val="0"/>
          <w:iCs w:val="0"/>
          <w:caps w:val="0"/>
          <w:color w:val="auto"/>
          <w:spacing w:val="0"/>
          <w:sz w:val="32"/>
          <w:szCs w:val="32"/>
        </w:rPr>
      </w:pPr>
      <w:r>
        <w:rPr>
          <w:rFonts w:ascii="楷体_GB2312" w:hAnsi="楷体_GB2312" w:eastAsia="楷体_GB2312" w:cs="楷体_GB2312"/>
          <w:i w:val="0"/>
          <w:iCs w:val="0"/>
          <w:caps w:val="0"/>
          <w:color w:val="auto"/>
          <w:spacing w:val="0"/>
          <w:sz w:val="32"/>
          <w:szCs w:val="32"/>
          <w:shd w:val="clear" w:fill="FFFFFF"/>
        </w:rPr>
        <w:t>（一）主动公开情况。</w:t>
      </w:r>
      <w:r>
        <w:rPr>
          <w:rFonts w:hint="eastAsia" w:ascii="仿宋_GB2312" w:hAnsi="仿宋_GB2312" w:eastAsia="仿宋_GB2312" w:cs="仿宋_GB2312"/>
          <w:i w:val="0"/>
          <w:iCs w:val="0"/>
          <w:caps w:val="0"/>
          <w:color w:val="auto"/>
          <w:spacing w:val="0"/>
          <w:sz w:val="32"/>
          <w:szCs w:val="32"/>
          <w:shd w:val="clear" w:fill="FFFFFF"/>
          <w:vertAlign w:val="baseline"/>
        </w:rPr>
        <w:t>202</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5</w:t>
      </w:r>
      <w:r>
        <w:rPr>
          <w:rFonts w:hint="eastAsia" w:ascii="仿宋_GB2312" w:hAnsi="仿宋_GB2312" w:eastAsia="仿宋_GB2312" w:cs="仿宋_GB2312"/>
          <w:i w:val="0"/>
          <w:iCs w:val="0"/>
          <w:caps w:val="0"/>
          <w:color w:val="auto"/>
          <w:spacing w:val="0"/>
          <w:sz w:val="32"/>
          <w:szCs w:val="32"/>
          <w:shd w:val="clear" w:fill="FFFFFF"/>
          <w:vertAlign w:val="baseline"/>
          <w:lang w:eastAsia="zh-CN"/>
        </w:rPr>
        <w:t>年，滕州市住房和城乡建设局信息公开平台主动公开政府信息</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61</w:t>
      </w:r>
      <w:r>
        <w:rPr>
          <w:rFonts w:hint="eastAsia" w:ascii="仿宋_GB2312" w:hAnsi="仿宋_GB2312" w:eastAsia="仿宋_GB2312" w:cs="仿宋_GB2312"/>
          <w:i w:val="0"/>
          <w:iCs w:val="0"/>
          <w:caps w:val="0"/>
          <w:color w:val="auto"/>
          <w:spacing w:val="0"/>
          <w:sz w:val="32"/>
          <w:szCs w:val="32"/>
          <w:shd w:val="clear" w:fill="FFFFFF"/>
          <w:vertAlign w:val="baseline"/>
          <w:lang w:eastAsia="zh-CN"/>
        </w:rPr>
        <w:t>条，其中，通知公告</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2</w:t>
      </w:r>
      <w:r>
        <w:rPr>
          <w:rFonts w:hint="eastAsia" w:ascii="仿宋_GB2312" w:hAnsi="仿宋_GB2312" w:eastAsia="仿宋_GB2312" w:cs="仿宋_GB2312"/>
          <w:i w:val="0"/>
          <w:iCs w:val="0"/>
          <w:caps w:val="0"/>
          <w:color w:val="auto"/>
          <w:spacing w:val="0"/>
          <w:sz w:val="32"/>
          <w:szCs w:val="32"/>
          <w:shd w:val="clear" w:fill="FFFFFF"/>
          <w:vertAlign w:val="baseline"/>
          <w:lang w:eastAsia="zh-CN"/>
        </w:rPr>
        <w:t>条，财政信息</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12</w:t>
      </w:r>
      <w:r>
        <w:rPr>
          <w:rFonts w:hint="eastAsia" w:ascii="仿宋_GB2312" w:hAnsi="仿宋_GB2312" w:eastAsia="仿宋_GB2312" w:cs="仿宋_GB2312"/>
          <w:i w:val="0"/>
          <w:iCs w:val="0"/>
          <w:caps w:val="0"/>
          <w:color w:val="auto"/>
          <w:spacing w:val="0"/>
          <w:sz w:val="32"/>
          <w:szCs w:val="32"/>
          <w:shd w:val="clear" w:fill="FFFFFF"/>
          <w:vertAlign w:val="baseline"/>
          <w:lang w:eastAsia="zh-CN"/>
        </w:rPr>
        <w:t>条，政府工作报告及惠民实事执行落实情况</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8</w:t>
      </w:r>
      <w:r>
        <w:rPr>
          <w:rFonts w:hint="eastAsia" w:ascii="仿宋_GB2312" w:hAnsi="仿宋_GB2312" w:eastAsia="仿宋_GB2312" w:cs="仿宋_GB2312"/>
          <w:i w:val="0"/>
          <w:iCs w:val="0"/>
          <w:caps w:val="0"/>
          <w:color w:val="auto"/>
          <w:spacing w:val="0"/>
          <w:sz w:val="32"/>
          <w:szCs w:val="32"/>
          <w:shd w:val="clear" w:fill="FFFFFF"/>
          <w:vertAlign w:val="baseline"/>
          <w:lang w:eastAsia="zh-CN"/>
        </w:rPr>
        <w:t>条，部门政务公开推进</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3</w:t>
      </w:r>
      <w:r>
        <w:rPr>
          <w:rFonts w:hint="eastAsia" w:ascii="仿宋_GB2312" w:hAnsi="仿宋_GB2312" w:eastAsia="仿宋_GB2312" w:cs="仿宋_GB2312"/>
          <w:i w:val="0"/>
          <w:iCs w:val="0"/>
          <w:caps w:val="0"/>
          <w:color w:val="auto"/>
          <w:spacing w:val="0"/>
          <w:sz w:val="32"/>
          <w:szCs w:val="32"/>
          <w:shd w:val="clear" w:fill="FFFFFF"/>
          <w:vertAlign w:val="baseline"/>
          <w:lang w:eastAsia="zh-CN"/>
        </w:rPr>
        <w:t>条，规划计划</w:t>
      </w:r>
      <w:r>
        <w:rPr>
          <w:rFonts w:hint="eastAsia" w:ascii="仿宋_GB2312" w:hAnsi="仿宋_GB2312" w:eastAsia="仿宋_GB2312" w:cs="仿宋_GB2312"/>
          <w:i w:val="0"/>
          <w:iCs w:val="0"/>
          <w:caps w:val="0"/>
          <w:color w:val="auto"/>
          <w:spacing w:val="0"/>
          <w:sz w:val="32"/>
          <w:szCs w:val="32"/>
          <w:shd w:val="clear" w:fill="FFFFFF"/>
          <w:vertAlign w:val="baseline"/>
          <w:lang w:val="en-US"/>
        </w:rPr>
        <w:t>2</w:t>
      </w:r>
      <w:r>
        <w:rPr>
          <w:rFonts w:hint="eastAsia" w:ascii="仿宋_GB2312" w:hAnsi="仿宋_GB2312" w:eastAsia="仿宋_GB2312" w:cs="仿宋_GB2312"/>
          <w:i w:val="0"/>
          <w:iCs w:val="0"/>
          <w:caps w:val="0"/>
          <w:color w:val="auto"/>
          <w:spacing w:val="0"/>
          <w:sz w:val="32"/>
          <w:szCs w:val="32"/>
          <w:shd w:val="clear" w:fill="FFFFFF"/>
          <w:vertAlign w:val="baseline"/>
          <w:lang w:eastAsia="zh-CN"/>
        </w:rPr>
        <w:t>条，人大建议政协提案公开办理结果公开及建议提案办理总体情况</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13</w:t>
      </w:r>
      <w:r>
        <w:rPr>
          <w:rFonts w:hint="eastAsia" w:ascii="仿宋_GB2312" w:hAnsi="仿宋_GB2312" w:eastAsia="仿宋_GB2312" w:cs="仿宋_GB2312"/>
          <w:i w:val="0"/>
          <w:iCs w:val="0"/>
          <w:caps w:val="0"/>
          <w:color w:val="auto"/>
          <w:spacing w:val="0"/>
          <w:sz w:val="32"/>
          <w:szCs w:val="32"/>
          <w:shd w:val="clear" w:fill="FFFFFF"/>
          <w:vertAlign w:val="baseline"/>
          <w:lang w:eastAsia="zh-CN"/>
        </w:rPr>
        <w:t>条，其他政务信息</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21</w:t>
      </w:r>
      <w:r>
        <w:rPr>
          <w:rFonts w:hint="eastAsia" w:ascii="仿宋_GB2312" w:hAnsi="仿宋_GB2312" w:eastAsia="仿宋_GB2312" w:cs="仿宋_GB2312"/>
          <w:i w:val="0"/>
          <w:iCs w:val="0"/>
          <w:caps w:val="0"/>
          <w:color w:val="auto"/>
          <w:spacing w:val="0"/>
          <w:sz w:val="32"/>
          <w:szCs w:val="32"/>
          <w:shd w:val="clear" w:fill="FFFFFF"/>
          <w:vertAlign w:val="baseline"/>
          <w:lang w:eastAsia="zh-CN"/>
        </w:rPr>
        <w:t>条。此外，利用网站、政务微博、微信等新媒体，及时发布转发政务信息（含工作动态）</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240</w:t>
      </w:r>
      <w:r>
        <w:rPr>
          <w:rFonts w:hint="eastAsia" w:ascii="仿宋_GB2312" w:hAnsi="仿宋_GB2312" w:eastAsia="仿宋_GB2312" w:cs="仿宋_GB2312"/>
          <w:i w:val="0"/>
          <w:iCs w:val="0"/>
          <w:caps w:val="0"/>
          <w:color w:val="auto"/>
          <w:spacing w:val="0"/>
          <w:sz w:val="32"/>
          <w:szCs w:val="32"/>
          <w:shd w:val="clear" w:fill="FFFFFF"/>
          <w:vertAlign w:val="baseline"/>
          <w:lang w:eastAsia="zh-CN"/>
        </w:rPr>
        <w:t>余条。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6"/>
        <w:jc w:val="both"/>
        <w:textAlignment w:val="auto"/>
        <w:rPr>
          <w:rFonts w:hint="default" w:ascii="仿宋_GB2312" w:hAnsi="仿宋_GB2312" w:eastAsia="仿宋_GB2312" w:cs="仿宋_GB2312"/>
          <w:i w:val="0"/>
          <w:iCs w:val="0"/>
          <w:caps w:val="0"/>
          <w:color w:val="333333"/>
          <w:spacing w:val="0"/>
          <w:sz w:val="31"/>
          <w:szCs w:val="31"/>
          <w:highlight w:val="none"/>
          <w:shd w:val="clear" w:fill="FFFFFF"/>
          <w:lang w:val="en-US"/>
        </w:rPr>
      </w:pPr>
      <w:r>
        <w:rPr>
          <w:rFonts w:hint="eastAsia" w:ascii="楷体_GB2312" w:hAnsi="楷体_GB2312" w:eastAsia="楷体_GB2312" w:cs="楷体_GB2312"/>
          <w:i w:val="0"/>
          <w:iCs w:val="0"/>
          <w:caps w:val="0"/>
          <w:color w:val="333333"/>
          <w:spacing w:val="0"/>
          <w:sz w:val="31"/>
          <w:szCs w:val="31"/>
          <w:highlight w:val="none"/>
          <w:shd w:val="clear" w:fill="FFFFFF"/>
        </w:rPr>
        <w:t>（二）依申请公开情况。</w:t>
      </w:r>
      <w:r>
        <w:rPr>
          <w:rFonts w:hint="default" w:ascii="仿宋_GB2312" w:hAnsi="仿宋_GB2312" w:eastAsia="仿宋_GB2312" w:cs="仿宋_GB2312"/>
          <w:i w:val="0"/>
          <w:iCs w:val="0"/>
          <w:caps w:val="0"/>
          <w:color w:val="auto"/>
          <w:spacing w:val="0"/>
          <w:sz w:val="32"/>
          <w:szCs w:val="32"/>
          <w:highlight w:val="none"/>
          <w:shd w:val="clear" w:fill="FFFFFF"/>
          <w:vertAlign w:val="baseline"/>
          <w:lang w:eastAsia="zh-CN"/>
        </w:rPr>
        <w:t>202</w:t>
      </w:r>
      <w:r>
        <w:rPr>
          <w:rFonts w:hint="eastAsia" w:ascii="仿宋_GB2312" w:hAnsi="仿宋_GB2312" w:eastAsia="仿宋_GB2312" w:cs="仿宋_GB2312"/>
          <w:i w:val="0"/>
          <w:iCs w:val="0"/>
          <w:caps w:val="0"/>
          <w:color w:val="auto"/>
          <w:spacing w:val="0"/>
          <w:sz w:val="32"/>
          <w:szCs w:val="32"/>
          <w:highlight w:val="none"/>
          <w:shd w:val="clear" w:fill="FFFFFF"/>
          <w:vertAlign w:val="baseline"/>
          <w:lang w:val="en-US" w:eastAsia="zh-CN"/>
        </w:rPr>
        <w:t>5</w:t>
      </w:r>
      <w:r>
        <w:rPr>
          <w:rFonts w:hint="eastAsia" w:ascii="仿宋_GB2312" w:hAnsi="仿宋_GB2312" w:eastAsia="仿宋_GB2312" w:cs="仿宋_GB2312"/>
          <w:i w:val="0"/>
          <w:iCs w:val="0"/>
          <w:caps w:val="0"/>
          <w:color w:val="auto"/>
          <w:spacing w:val="0"/>
          <w:sz w:val="32"/>
          <w:szCs w:val="32"/>
          <w:highlight w:val="none"/>
          <w:shd w:val="clear" w:fill="FFFFFF"/>
          <w:vertAlign w:val="baseline"/>
          <w:lang w:eastAsia="zh-CN"/>
        </w:rPr>
        <w:t>年，市住房城乡建设局共收到依申请信息公开</w:t>
      </w:r>
      <w:r>
        <w:rPr>
          <w:rFonts w:hint="eastAsia" w:ascii="仿宋_GB2312" w:hAnsi="仿宋_GB2312" w:eastAsia="仿宋_GB2312" w:cs="仿宋_GB2312"/>
          <w:i w:val="0"/>
          <w:iCs w:val="0"/>
          <w:caps w:val="0"/>
          <w:color w:val="auto"/>
          <w:spacing w:val="0"/>
          <w:sz w:val="32"/>
          <w:szCs w:val="32"/>
          <w:highlight w:val="none"/>
          <w:shd w:val="clear" w:fill="FFFFFF"/>
          <w:vertAlign w:val="baseline"/>
          <w:lang w:val="en-US" w:eastAsia="zh-CN"/>
        </w:rPr>
        <w:t>89</w:t>
      </w:r>
      <w:r>
        <w:rPr>
          <w:rFonts w:hint="eastAsia" w:ascii="仿宋_GB2312" w:hAnsi="仿宋_GB2312" w:eastAsia="仿宋_GB2312" w:cs="仿宋_GB2312"/>
          <w:i w:val="0"/>
          <w:iCs w:val="0"/>
          <w:caps w:val="0"/>
          <w:color w:val="auto"/>
          <w:spacing w:val="0"/>
          <w:sz w:val="32"/>
          <w:szCs w:val="32"/>
          <w:highlight w:val="none"/>
          <w:shd w:val="clear" w:fill="FFFFFF"/>
          <w:vertAlign w:val="baseline"/>
          <w:lang w:eastAsia="zh-CN"/>
        </w:rPr>
        <w:t>件，办结</w:t>
      </w:r>
      <w:r>
        <w:rPr>
          <w:rFonts w:hint="eastAsia" w:ascii="仿宋_GB2312" w:hAnsi="仿宋_GB2312" w:eastAsia="仿宋_GB2312" w:cs="仿宋_GB2312"/>
          <w:i w:val="0"/>
          <w:iCs w:val="0"/>
          <w:caps w:val="0"/>
          <w:color w:val="auto"/>
          <w:spacing w:val="0"/>
          <w:sz w:val="32"/>
          <w:szCs w:val="32"/>
          <w:highlight w:val="none"/>
          <w:shd w:val="clear" w:fill="FFFFFF"/>
          <w:vertAlign w:val="baseline"/>
          <w:lang w:val="en-US" w:eastAsia="zh-CN"/>
        </w:rPr>
        <w:t>84</w:t>
      </w:r>
      <w:r>
        <w:rPr>
          <w:rFonts w:hint="eastAsia" w:ascii="仿宋_GB2312" w:hAnsi="仿宋_GB2312" w:eastAsia="仿宋_GB2312" w:cs="仿宋_GB2312"/>
          <w:i w:val="0"/>
          <w:iCs w:val="0"/>
          <w:caps w:val="0"/>
          <w:color w:val="auto"/>
          <w:spacing w:val="0"/>
          <w:sz w:val="32"/>
          <w:szCs w:val="32"/>
          <w:highlight w:val="none"/>
          <w:shd w:val="clear" w:fill="FFFFFF"/>
          <w:vertAlign w:val="baseline"/>
          <w:lang w:eastAsia="zh-CN"/>
        </w:rPr>
        <w:t>件，结转下年度继续办理</w:t>
      </w:r>
      <w:r>
        <w:rPr>
          <w:rFonts w:hint="eastAsia" w:ascii="仿宋_GB2312" w:hAnsi="仿宋_GB2312" w:eastAsia="仿宋_GB2312" w:cs="仿宋_GB2312"/>
          <w:i w:val="0"/>
          <w:iCs w:val="0"/>
          <w:caps w:val="0"/>
          <w:color w:val="auto"/>
          <w:spacing w:val="0"/>
          <w:sz w:val="32"/>
          <w:szCs w:val="32"/>
          <w:highlight w:val="none"/>
          <w:shd w:val="clear" w:fill="FFFFFF"/>
          <w:vertAlign w:val="baseline"/>
          <w:lang w:val="en-US" w:eastAsia="zh-CN"/>
        </w:rPr>
        <w:t>5</w:t>
      </w:r>
      <w:r>
        <w:rPr>
          <w:rFonts w:hint="eastAsia" w:ascii="仿宋_GB2312" w:hAnsi="仿宋_GB2312" w:eastAsia="仿宋_GB2312" w:cs="仿宋_GB2312"/>
          <w:i w:val="0"/>
          <w:iCs w:val="0"/>
          <w:caps w:val="0"/>
          <w:color w:val="auto"/>
          <w:spacing w:val="0"/>
          <w:sz w:val="32"/>
          <w:szCs w:val="32"/>
          <w:highlight w:val="none"/>
          <w:shd w:val="clear" w:fill="FFFFFF"/>
          <w:vertAlign w:val="baseline"/>
          <w:lang w:eastAsia="zh-CN"/>
        </w:rPr>
        <w:t>件。依申请信息公开数量比去年有所增加。其中，予以公开</w:t>
      </w:r>
      <w:r>
        <w:rPr>
          <w:rFonts w:hint="eastAsia" w:ascii="仿宋_GB2312" w:hAnsi="仿宋_GB2312" w:eastAsia="仿宋_GB2312" w:cs="仿宋_GB2312"/>
          <w:i w:val="0"/>
          <w:iCs w:val="0"/>
          <w:caps w:val="0"/>
          <w:color w:val="auto"/>
          <w:spacing w:val="0"/>
          <w:sz w:val="32"/>
          <w:szCs w:val="32"/>
          <w:highlight w:val="none"/>
          <w:shd w:val="clear" w:fill="FFFFFF"/>
          <w:vertAlign w:val="baseline"/>
          <w:lang w:val="en-US" w:eastAsia="zh-CN"/>
        </w:rPr>
        <w:t>36件，部分公开22件，本机关不掌握相关信息17件，内部事务信息1件，重复申请1件，其他处理7件。因政府信息公开申请行政复议2件，复议后诉讼1件。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6"/>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楷体_GB2312" w:hAnsi="楷体_GB2312" w:eastAsia="楷体_GB2312" w:cs="楷体_GB2312"/>
          <w:i w:val="0"/>
          <w:iCs w:val="0"/>
          <w:caps w:val="0"/>
          <w:color w:val="auto"/>
          <w:spacing w:val="0"/>
          <w:sz w:val="32"/>
          <w:szCs w:val="32"/>
          <w:highlight w:val="none"/>
          <w:shd w:val="clear" w:fill="FFFFFF"/>
        </w:rPr>
        <w:t>（三）政府信息管理情况。</w:t>
      </w:r>
      <w:r>
        <w:rPr>
          <w:rFonts w:hint="eastAsia" w:ascii="仿宋_GB2312" w:hAnsi="仿宋_GB2312" w:eastAsia="仿宋_GB2312" w:cs="仿宋_GB2312"/>
          <w:i w:val="0"/>
          <w:iCs w:val="0"/>
          <w:caps w:val="0"/>
          <w:color w:val="auto"/>
          <w:spacing w:val="0"/>
          <w:sz w:val="32"/>
          <w:szCs w:val="32"/>
          <w:highlight w:val="none"/>
          <w:shd w:val="clear" w:fill="FFFFFF"/>
        </w:rPr>
        <w:t>结合工作实际，更新信息公开指南和主动公开基本目录，严格落实信息发布保密审查机制，坚持“谁公开谁审查，谁审查谁负责”“先审查后公开”“一事一审”的原则，确保准确、安全、可靠地发布政府信息。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6"/>
        <w:jc w:val="both"/>
        <w:textAlignment w:val="auto"/>
        <w:rPr>
          <w:rFonts w:hint="eastAsia" w:ascii="楷体_GB2312" w:hAnsi="楷体_GB2312" w:eastAsia="楷体_GB2312" w:cs="楷体_GB2312"/>
          <w:i w:val="0"/>
          <w:iCs w:val="0"/>
          <w:caps w:val="0"/>
          <w:color w:val="auto"/>
          <w:spacing w:val="0"/>
          <w:sz w:val="32"/>
          <w:szCs w:val="32"/>
          <w:highlight w:val="yellow"/>
          <w:shd w:val="clear" w:fill="FFFFFF"/>
          <w:lang w:eastAsia="zh-CN"/>
        </w:rPr>
      </w:pPr>
      <w:r>
        <w:rPr>
          <w:rFonts w:hint="eastAsia" w:ascii="楷体_GB2312" w:hAnsi="楷体_GB2312" w:eastAsia="楷体_GB2312" w:cs="楷体_GB2312"/>
          <w:i w:val="0"/>
          <w:iCs w:val="0"/>
          <w:caps w:val="0"/>
          <w:color w:val="auto"/>
          <w:spacing w:val="0"/>
          <w:sz w:val="32"/>
          <w:szCs w:val="32"/>
          <w:highlight w:val="none"/>
          <w:shd w:val="clear" w:fill="FFFFFF"/>
        </w:rPr>
        <w:t>（</w:t>
      </w:r>
      <w:r>
        <w:rPr>
          <w:rFonts w:hint="eastAsia" w:ascii="楷体_GB2312" w:hAnsi="楷体_GB2312" w:eastAsia="楷体_GB2312" w:cs="楷体_GB2312"/>
          <w:i w:val="0"/>
          <w:iCs w:val="0"/>
          <w:caps w:val="0"/>
          <w:color w:val="auto"/>
          <w:spacing w:val="0"/>
          <w:sz w:val="32"/>
          <w:szCs w:val="32"/>
          <w:highlight w:val="none"/>
          <w:shd w:val="clear" w:fill="FFFFFF"/>
          <w:lang w:eastAsia="zh-CN"/>
        </w:rPr>
        <w:t>四</w:t>
      </w:r>
      <w:r>
        <w:rPr>
          <w:rFonts w:hint="eastAsia" w:ascii="楷体_GB2312" w:hAnsi="楷体_GB2312" w:eastAsia="楷体_GB2312" w:cs="楷体_GB2312"/>
          <w:i w:val="0"/>
          <w:iCs w:val="0"/>
          <w:caps w:val="0"/>
          <w:color w:val="auto"/>
          <w:spacing w:val="0"/>
          <w:sz w:val="32"/>
          <w:szCs w:val="32"/>
          <w:highlight w:val="none"/>
          <w:shd w:val="clear" w:fill="FFFFFF"/>
        </w:rPr>
        <w:t>）</w:t>
      </w:r>
      <w:r>
        <w:rPr>
          <w:rFonts w:hint="eastAsia" w:ascii="楷体_GB2312" w:hAnsi="楷体_GB2312" w:eastAsia="楷体_GB2312" w:cs="楷体_GB2312"/>
          <w:i w:val="0"/>
          <w:iCs w:val="0"/>
          <w:caps w:val="0"/>
          <w:color w:val="auto"/>
          <w:spacing w:val="0"/>
          <w:sz w:val="32"/>
          <w:szCs w:val="32"/>
          <w:highlight w:val="none"/>
          <w:shd w:val="clear" w:fill="FFFFFF"/>
          <w:lang w:eastAsia="zh-CN"/>
        </w:rPr>
        <w:t>平台建设情况。</w:t>
      </w:r>
      <w:r>
        <w:rPr>
          <w:rFonts w:ascii="仿宋_GB2312" w:hAnsi="宋体" w:eastAsia="仿宋_GB2312" w:cs="仿宋_GB2312"/>
          <w:i w:val="0"/>
          <w:iCs w:val="0"/>
          <w:caps w:val="0"/>
          <w:color w:val="000000"/>
          <w:spacing w:val="0"/>
          <w:sz w:val="32"/>
          <w:szCs w:val="32"/>
          <w:highlight w:val="none"/>
          <w:shd w:val="clear" w:fill="FFFFFF"/>
        </w:rPr>
        <w:t>滕州市</w:t>
      </w:r>
      <w:r>
        <w:rPr>
          <w:rFonts w:hint="eastAsia" w:ascii="仿宋_GB2312" w:hAnsi="宋体" w:eastAsia="仿宋_GB2312" w:cs="仿宋_GB2312"/>
          <w:i w:val="0"/>
          <w:iCs w:val="0"/>
          <w:caps w:val="0"/>
          <w:color w:val="000000"/>
          <w:spacing w:val="0"/>
          <w:sz w:val="32"/>
          <w:szCs w:val="32"/>
          <w:highlight w:val="none"/>
          <w:shd w:val="clear" w:fill="FFFFFF"/>
          <w:lang w:eastAsia="zh-CN"/>
        </w:rPr>
        <w:t>住房和城乡建设局</w:t>
      </w:r>
      <w:r>
        <w:rPr>
          <w:rFonts w:ascii="仿宋_GB2312" w:hAnsi="宋体" w:eastAsia="仿宋_GB2312" w:cs="仿宋_GB2312"/>
          <w:i w:val="0"/>
          <w:iCs w:val="0"/>
          <w:caps w:val="0"/>
          <w:color w:val="000000"/>
          <w:spacing w:val="0"/>
          <w:sz w:val="32"/>
          <w:szCs w:val="32"/>
          <w:highlight w:val="none"/>
          <w:shd w:val="clear" w:fill="FFFFFF"/>
        </w:rPr>
        <w:t>依托滕州市人民政府官方网站“本市动态”栏目、</w:t>
      </w:r>
      <w:r>
        <w:rPr>
          <w:rFonts w:ascii="仿宋_GB2312" w:hAnsi="宋体" w:eastAsia="仿宋_GB2312" w:cs="仿宋_GB2312"/>
          <w:i w:val="0"/>
          <w:iCs w:val="0"/>
          <w:caps w:val="0"/>
          <w:color w:val="000000"/>
          <w:spacing w:val="0"/>
          <w:sz w:val="32"/>
          <w:szCs w:val="32"/>
          <w:shd w:val="clear" w:fill="FFFFFF"/>
        </w:rPr>
        <w:t>政府信息公开页面和“</w:t>
      </w:r>
      <w:r>
        <w:rPr>
          <w:rFonts w:hint="eastAsia" w:ascii="仿宋_GB2312" w:hAnsi="宋体" w:eastAsia="仿宋_GB2312" w:cs="仿宋_GB2312"/>
          <w:i w:val="0"/>
          <w:iCs w:val="0"/>
          <w:caps w:val="0"/>
          <w:color w:val="000000"/>
          <w:spacing w:val="0"/>
          <w:sz w:val="32"/>
          <w:szCs w:val="32"/>
          <w:shd w:val="clear" w:fill="FFFFFF"/>
          <w:lang w:eastAsia="zh-CN"/>
        </w:rPr>
        <w:t>滕州市住建局</w:t>
      </w:r>
      <w:r>
        <w:rPr>
          <w:rFonts w:ascii="仿宋_GB2312" w:hAnsi="宋体" w:eastAsia="仿宋_GB2312" w:cs="仿宋_GB2312"/>
          <w:i w:val="0"/>
          <w:iCs w:val="0"/>
          <w:caps w:val="0"/>
          <w:color w:val="000000"/>
          <w:spacing w:val="0"/>
          <w:sz w:val="32"/>
          <w:szCs w:val="32"/>
          <w:shd w:val="clear" w:fill="FFFFFF"/>
        </w:rPr>
        <w:t>”微信公众号，安排专人定时定期将通知公告、工作动态和重点领域信息向全社会公开，努力实现政府信息公开功能完善、内容齐全、渠道多元，树立良好的</w:t>
      </w:r>
      <w:r>
        <w:rPr>
          <w:rFonts w:hint="eastAsia" w:ascii="仿宋_GB2312" w:hAnsi="宋体" w:eastAsia="仿宋_GB2312" w:cs="仿宋_GB2312"/>
          <w:i w:val="0"/>
          <w:iCs w:val="0"/>
          <w:caps w:val="0"/>
          <w:color w:val="000000"/>
          <w:spacing w:val="0"/>
          <w:sz w:val="32"/>
          <w:szCs w:val="32"/>
          <w:shd w:val="clear" w:fill="FFFFFF"/>
          <w:lang w:eastAsia="zh-CN"/>
        </w:rPr>
        <w:t>住建</w:t>
      </w:r>
      <w:r>
        <w:rPr>
          <w:rFonts w:ascii="仿宋_GB2312" w:hAnsi="宋体" w:eastAsia="仿宋_GB2312" w:cs="仿宋_GB2312"/>
          <w:i w:val="0"/>
          <w:iCs w:val="0"/>
          <w:caps w:val="0"/>
          <w:color w:val="000000"/>
          <w:spacing w:val="0"/>
          <w:sz w:val="32"/>
          <w:szCs w:val="32"/>
          <w:shd w:val="clear" w:fill="FFFFFF"/>
        </w:rPr>
        <w:t>形象。</w:t>
      </w:r>
      <w:r>
        <w:rPr>
          <w:rFonts w:hint="eastAsia" w:ascii="仿宋_GB2312" w:hAnsi="宋体" w:eastAsia="仿宋_GB2312" w:cs="仿宋_GB2312"/>
          <w:i w:val="0"/>
          <w:iCs w:val="0"/>
          <w:caps w:val="0"/>
          <w:color w:val="000000"/>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6"/>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eastAsia="zh-CN"/>
        </w:rPr>
      </w:pPr>
      <w:r>
        <w:rPr>
          <w:rFonts w:hint="eastAsia" w:ascii="楷体_GB2312" w:hAnsi="楷体_GB2312" w:eastAsia="楷体_GB2312" w:cs="楷体_GB2312"/>
          <w:i w:val="0"/>
          <w:iCs w:val="0"/>
          <w:caps w:val="0"/>
          <w:color w:val="auto"/>
          <w:spacing w:val="0"/>
          <w:sz w:val="32"/>
          <w:szCs w:val="32"/>
          <w:shd w:val="clear" w:fill="FFFFFF"/>
          <w:lang w:eastAsia="zh-CN"/>
        </w:rPr>
        <w:t>（五）</w:t>
      </w:r>
      <w:r>
        <w:rPr>
          <w:rFonts w:hint="eastAsia" w:ascii="楷体_GB2312" w:hAnsi="楷体_GB2312" w:eastAsia="楷体_GB2312" w:cs="楷体_GB2312"/>
          <w:i w:val="0"/>
          <w:iCs w:val="0"/>
          <w:caps w:val="0"/>
          <w:color w:val="auto"/>
          <w:spacing w:val="0"/>
          <w:sz w:val="32"/>
          <w:szCs w:val="32"/>
          <w:shd w:val="clear" w:fill="FFFFFF"/>
        </w:rPr>
        <w:t>监督保障情况。</w:t>
      </w:r>
      <w:r>
        <w:rPr>
          <w:rFonts w:hint="eastAsia" w:ascii="仿宋_GB2312" w:hAnsi="仿宋_GB2312" w:eastAsia="仿宋_GB2312" w:cs="仿宋_GB2312"/>
          <w:i w:val="0"/>
          <w:iCs w:val="0"/>
          <w:caps w:val="0"/>
          <w:color w:val="auto"/>
          <w:spacing w:val="0"/>
          <w:sz w:val="32"/>
          <w:szCs w:val="32"/>
          <w:highlight w:val="none"/>
          <w:shd w:val="clear" w:fill="FFFFFF"/>
        </w:rPr>
        <w:t>市住房城乡建设局政府信息公开工作领导小组明确专人具体负责信息公开工作，督促各科室、单位落实政府信息公开工作任务，围绕政策解读、政务舆情回应、依申请公开等组织专题培训，提升全局政府信息公开工作水平。</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ascii="黑体" w:hAnsi="宋体" w:eastAsia="黑体" w:cs="黑体"/>
          <w:i w:val="0"/>
          <w:iCs w:val="0"/>
          <w:caps w:val="0"/>
          <w:color w:val="auto"/>
          <w:spacing w:val="0"/>
          <w:sz w:val="31"/>
          <w:szCs w:val="31"/>
          <w:highlight w:val="none"/>
          <w:shd w:val="clear" w:fill="FFFFFF"/>
          <w:vertAlign w:val="baseline"/>
        </w:rPr>
      </w:pPr>
      <w:r>
        <w:rPr>
          <w:rFonts w:ascii="黑体" w:hAnsi="宋体" w:eastAsia="黑体" w:cs="黑体"/>
          <w:i w:val="0"/>
          <w:iCs w:val="0"/>
          <w:caps w:val="0"/>
          <w:color w:val="auto"/>
          <w:spacing w:val="0"/>
          <w:sz w:val="31"/>
          <w:szCs w:val="31"/>
          <w:highlight w:val="none"/>
          <w:shd w:val="clear" w:fill="FFFFFF"/>
          <w:vertAlign w:val="baseline"/>
        </w:rPr>
        <w:t>主动公开政府信息情况</w:t>
      </w:r>
    </w:p>
    <w:tbl>
      <w:tblPr>
        <w:tblStyle w:val="5"/>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信息内容</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本年制发件数</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本年废止件数</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规章</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auto"/>
                <w:kern w:val="0"/>
                <w:szCs w:val="21"/>
                <w:highlight w:val="none"/>
                <w:lang w:eastAsia="zh-CN"/>
              </w:rPr>
            </w:pPr>
            <w:r>
              <w:rPr>
                <w:rFonts w:hint="eastAsia" w:ascii="仿宋_GB2312" w:hAnsi="宋体" w:eastAsia="仿宋_GB2312" w:cs="宋体"/>
                <w:color w:val="auto"/>
                <w:kern w:val="0"/>
                <w:szCs w:val="21"/>
                <w:highlight w:val="none"/>
                <w:lang w:val="en-US" w:eastAsia="zh-CN"/>
              </w:rPr>
              <w:t>0</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0</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Calibri" w:eastAsia="仿宋_GB2312" w:cs="Calibri"/>
                <w:color w:val="auto"/>
                <w:kern w:val="0"/>
                <w:szCs w:val="21"/>
                <w:highlight w:val="none"/>
              </w:rPr>
            </w:pPr>
            <w:r>
              <w:rPr>
                <w:rFonts w:hint="eastAsia" w:ascii="仿宋_GB2312" w:hAnsi="宋体" w:eastAsia="仿宋_GB2312" w:cs="宋体"/>
                <w:color w:val="auto"/>
                <w:kern w:val="0"/>
                <w:szCs w:val="21"/>
                <w:highlight w:val="none"/>
                <w:lang w:val="en-US" w:eastAsia="zh-CN"/>
              </w:rPr>
              <w:t>0</w:t>
            </w:r>
            <w:r>
              <w:rPr>
                <w:rFonts w:hint="eastAsia" w:ascii="仿宋_GB2312" w:hAnsi="宋体" w:eastAsia="仿宋_GB2312" w:cs="宋体"/>
                <w:color w:val="auto"/>
                <w:kern w:val="0"/>
                <w:szCs w:val="21"/>
                <w:highlight w:val="none"/>
                <w:lang w:eastAsia="zh-CN"/>
              </w:rPr>
              <w:t>”</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行政规范性文件</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auto"/>
                <w:kern w:val="0"/>
                <w:szCs w:val="21"/>
                <w:highlight w:val="none"/>
                <w:lang w:eastAsia="zh-CN"/>
              </w:rPr>
            </w:pPr>
            <w:r>
              <w:rPr>
                <w:rFonts w:hint="eastAsia" w:ascii="仿宋_GB2312" w:hAnsi="宋体" w:eastAsia="仿宋_GB2312" w:cs="宋体"/>
                <w:color w:val="auto"/>
                <w:kern w:val="0"/>
                <w:szCs w:val="21"/>
                <w:highlight w:val="none"/>
                <w:lang w:val="en-US" w:eastAsia="zh-CN"/>
              </w:rPr>
              <w:t>0</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auto"/>
                <w:kern w:val="0"/>
                <w:szCs w:val="21"/>
                <w:highlight w:val="none"/>
                <w:lang w:eastAsia="zh-CN"/>
              </w:rPr>
            </w:pPr>
            <w:r>
              <w:rPr>
                <w:rFonts w:hint="eastAsia" w:ascii="仿宋_GB2312" w:hAnsi="宋体" w:eastAsia="仿宋_GB2312" w:cs="宋体"/>
                <w:color w:val="auto"/>
                <w:kern w:val="0"/>
                <w:szCs w:val="21"/>
                <w:highlight w:val="none"/>
                <w:lang w:val="en-US" w:eastAsia="zh-CN"/>
              </w:rPr>
              <w:t>0</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auto"/>
                <w:kern w:val="0"/>
                <w:szCs w:val="21"/>
                <w:highlight w:val="none"/>
                <w:lang w:eastAsia="zh-CN"/>
              </w:rPr>
            </w:pPr>
            <w:r>
              <w:rPr>
                <w:rFonts w:hint="eastAsia" w:ascii="仿宋_GB2312" w:hAnsi="宋体" w:eastAsia="仿宋_GB2312" w:cs="宋体"/>
                <w:color w:val="auto"/>
                <w:kern w:val="0"/>
                <w:szCs w:val="21"/>
                <w:highlight w:val="none"/>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仿宋_GB2312" w:hAnsi="Calibri" w:eastAsia="仿宋_GB2312" w:cs="Calibri"/>
                <w:color w:val="auto"/>
                <w:kern w:val="0"/>
                <w:szCs w:val="21"/>
                <w:highlight w:val="none"/>
                <w:lang w:val="en-US" w:eastAsia="zh-CN"/>
              </w:rPr>
            </w:pPr>
            <w:r>
              <w:rPr>
                <w:rFonts w:hint="eastAsia" w:ascii="仿宋_GB2312" w:hAnsi="Calibri" w:eastAsia="仿宋_GB2312" w:cs="Calibri"/>
                <w:color w:val="auto"/>
                <w:kern w:val="0"/>
                <w:szCs w:val="21"/>
                <w:highlight w:val="none"/>
                <w:lang w:val="en-US" w:eastAsia="zh-CN"/>
              </w:rPr>
              <w:t>214</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Calibri" w:eastAsia="仿宋_GB2312" w:cs="Calibri"/>
                <w:color w:val="auto"/>
                <w:kern w:val="0"/>
                <w:szCs w:val="21"/>
                <w:highlight w:val="none"/>
                <w:lang w:eastAsia="zh-CN"/>
              </w:rPr>
            </w:pPr>
            <w:r>
              <w:rPr>
                <w:rFonts w:hint="eastAsia" w:ascii="仿宋_GB2312" w:hAnsi="Calibri" w:eastAsia="仿宋_GB2312" w:cs="Calibri"/>
                <w:color w:val="auto"/>
                <w:kern w:val="0"/>
                <w:szCs w:val="21"/>
                <w:highlight w:val="none"/>
                <w:lang w:val="en-US" w:eastAsia="zh-CN"/>
              </w:rPr>
              <w:t>3</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Calibri" w:eastAsia="仿宋_GB2312" w:cs="Calibri"/>
                <w:color w:val="auto"/>
                <w:kern w:val="0"/>
                <w:szCs w:val="21"/>
                <w:highlight w:val="none"/>
                <w:lang w:eastAsia="zh-CN"/>
              </w:rPr>
            </w:pPr>
            <w:r>
              <w:rPr>
                <w:rFonts w:hint="eastAsia" w:ascii="仿宋_GB2312" w:hAnsi="Calibri" w:eastAsia="仿宋_GB2312" w:cs="Calibri"/>
                <w:color w:val="auto"/>
                <w:kern w:val="0"/>
                <w:szCs w:val="21"/>
                <w:highlight w:val="none"/>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宋体" w:eastAsia="仿宋_GB2312" w:cs="宋体"/>
                <w:color w:val="auto"/>
                <w:kern w:val="0"/>
                <w:szCs w:val="21"/>
                <w:highlight w:val="none"/>
                <w:lang w:eastAsia="zh-CN"/>
              </w:rPr>
            </w:pPr>
            <w:r>
              <w:rPr>
                <w:rFonts w:hint="eastAsia" w:ascii="仿宋_GB2312" w:hAnsi="宋体" w:eastAsia="仿宋_GB2312" w:cs="宋体"/>
                <w:color w:val="auto"/>
                <w:kern w:val="0"/>
                <w:szCs w:val="21"/>
                <w:highlight w:val="none"/>
              </w:rPr>
              <w:t>本年收费金额（单位：</w:t>
            </w:r>
            <w:r>
              <w:rPr>
                <w:rFonts w:hint="eastAsia" w:ascii="仿宋_GB2312" w:hAnsi="宋体" w:eastAsia="仿宋_GB2312" w:cs="宋体"/>
                <w:color w:val="auto"/>
                <w:kern w:val="0"/>
                <w:szCs w:val="21"/>
                <w:highlight w:val="none"/>
                <w:lang w:eastAsia="zh-CN"/>
              </w:rPr>
              <w:t>万</w:t>
            </w:r>
            <w:r>
              <w:rPr>
                <w:rFonts w:hint="eastAsia" w:ascii="仿宋_GB2312" w:hAnsi="宋体" w:eastAsia="仿宋_GB2312" w:cs="宋体"/>
                <w:color w:val="auto"/>
                <w:kern w:val="0"/>
                <w:szCs w:val="21"/>
                <w:highlight w:val="none"/>
              </w:rPr>
              <w:t>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仿宋_GB2312" w:hAnsi="Calibri" w:eastAsia="仿宋_GB2312" w:cs="Calibri"/>
                <w:color w:val="auto"/>
                <w:kern w:val="0"/>
                <w:szCs w:val="21"/>
                <w:highlight w:val="none"/>
                <w:lang w:val="en-US" w:eastAsia="zh-CN"/>
              </w:rPr>
            </w:pPr>
            <w:r>
              <w:rPr>
                <w:rFonts w:hint="eastAsia" w:ascii="仿宋_GB2312" w:hAnsi="Calibri" w:eastAsia="仿宋_GB2312" w:cs="Calibri"/>
                <w:color w:val="auto"/>
                <w:kern w:val="0"/>
                <w:szCs w:val="21"/>
                <w:highlight w:val="none"/>
                <w:lang w:val="en-US" w:eastAsia="zh-CN"/>
              </w:rPr>
              <w:t>0.045</w:t>
            </w:r>
          </w:p>
        </w:tc>
      </w:tr>
    </w:tbl>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5" w:firstLineChars="0"/>
        <w:textAlignment w:val="auto"/>
        <w:rPr>
          <w:rFonts w:hint="eastAsia" w:ascii="黑体" w:hAnsi="宋体" w:eastAsia="黑体" w:cs="黑体"/>
          <w:i w:val="0"/>
          <w:iCs w:val="0"/>
          <w:caps w:val="0"/>
          <w:color w:val="auto"/>
          <w:spacing w:val="0"/>
          <w:sz w:val="31"/>
          <w:szCs w:val="31"/>
          <w:highlight w:val="none"/>
          <w:shd w:val="clear" w:fill="FFFFFF"/>
          <w:vertAlign w:val="baseline"/>
        </w:rPr>
      </w:pPr>
      <w:r>
        <w:rPr>
          <w:rFonts w:hint="eastAsia" w:ascii="黑体" w:hAnsi="宋体" w:eastAsia="黑体" w:cs="黑体"/>
          <w:i w:val="0"/>
          <w:iCs w:val="0"/>
          <w:caps w:val="0"/>
          <w:color w:val="auto"/>
          <w:spacing w:val="0"/>
          <w:sz w:val="31"/>
          <w:szCs w:val="31"/>
          <w:highlight w:val="none"/>
          <w:shd w:val="clear" w:fill="FFFFFF"/>
          <w:vertAlign w:val="baseline"/>
        </w:rPr>
        <w:t>收到和处理政府信息公开申请情况</w:t>
      </w:r>
    </w:p>
    <w:tbl>
      <w:tblPr>
        <w:tblStyle w:val="5"/>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40"/>
        <w:gridCol w:w="720"/>
        <w:gridCol w:w="675"/>
        <w:gridCol w:w="525"/>
        <w:gridCol w:w="1"/>
        <w:gridCol w:w="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pPr>
              <w:widowControl/>
              <w:jc w:val="center"/>
              <w:rPr>
                <w:rFonts w:ascii="楷体_GB2312" w:hAnsi="黑体" w:eastAsia="楷体_GB2312"/>
                <w:color w:val="000000" w:themeColor="text1"/>
                <w:kern w:val="0"/>
                <w:szCs w:val="21"/>
                <w:highlight w:val="none"/>
                <w14:textFill>
                  <w14:solidFill>
                    <w14:schemeClr w14:val="tx1"/>
                  </w14:solidFill>
                </w14:textFill>
              </w:rPr>
            </w:pPr>
            <w:r>
              <w:rPr>
                <w:rFonts w:hint="eastAsia" w:ascii="楷体_GB2312" w:hAnsi="黑体" w:eastAsia="楷体_GB2312"/>
                <w:color w:val="000000" w:themeColor="text1"/>
                <w:kern w:val="0"/>
                <w:szCs w:val="21"/>
                <w:highlight w:val="none"/>
                <w14:textFill>
                  <w14:solidFill>
                    <w14:schemeClr w14:val="tx1"/>
                  </w14:solidFill>
                </w14:textFill>
              </w:rPr>
              <w:t>（本列数据的勾稽关系为：第一项加第二项之和，</w:t>
            </w:r>
          </w:p>
          <w:p>
            <w:pPr>
              <w:widowControl/>
              <w:jc w:val="center"/>
              <w:rPr>
                <w:rFonts w:ascii="仿宋_GB2312" w:hAnsi="Times New Roman" w:eastAsia="仿宋_GB2312"/>
                <w:color w:val="000000" w:themeColor="text1"/>
                <w:szCs w:val="21"/>
                <w:highlight w:val="none"/>
                <w14:textFill>
                  <w14:solidFill>
                    <w14:schemeClr w14:val="tx1"/>
                  </w14:solidFill>
                </w14:textFill>
              </w:rPr>
            </w:pPr>
            <w:r>
              <w:rPr>
                <w:rFonts w:hint="eastAsia" w:ascii="楷体_GB2312" w:hAnsi="黑体" w:eastAsia="楷体_GB2312"/>
                <w:color w:val="000000" w:themeColor="text1"/>
                <w:kern w:val="0"/>
                <w:szCs w:val="21"/>
                <w:highlight w:val="none"/>
                <w14:textFill>
                  <w14:solidFill>
                    <w14:schemeClr w14:val="tx1"/>
                  </w14:solidFill>
                </w14:textFill>
              </w:rPr>
              <w:t>等于第三项加第四项之和）</w:t>
            </w:r>
          </w:p>
        </w:tc>
        <w:tc>
          <w:tcPr>
            <w:tcW w:w="4448" w:type="dxa"/>
            <w:gridSpan w:val="9"/>
            <w:noWrap w:val="0"/>
            <w:tcMar>
              <w:left w:w="108" w:type="dxa"/>
              <w:right w:w="108" w:type="dxa"/>
            </w:tcMar>
            <w:vAlign w:val="center"/>
          </w:tcPr>
          <w:p>
            <w:pPr>
              <w:widowControl/>
              <w:spacing w:line="320" w:lineRule="exact"/>
              <w:jc w:val="center"/>
              <w:rPr>
                <w:rFonts w:ascii="黑体" w:hAnsi="黑体" w:eastAsia="黑体"/>
                <w:color w:val="000000" w:themeColor="text1"/>
                <w:szCs w:val="21"/>
                <w:highlight w:val="none"/>
                <w14:textFill>
                  <w14:solidFill>
                    <w14:schemeClr w14:val="tx1"/>
                  </w14:solidFill>
                </w14:textFill>
              </w:rPr>
            </w:pPr>
            <w:r>
              <w:rPr>
                <w:rFonts w:hint="eastAsia" w:ascii="黑体" w:hAnsi="黑体" w:eastAsia="黑体"/>
                <w:color w:val="000000" w:themeColor="text1"/>
                <w:kern w:val="0"/>
                <w:szCs w:val="21"/>
                <w:highlight w:val="none"/>
                <w14:textFill>
                  <w14:solidFill>
                    <w14:schemeClr w14:val="tx1"/>
                  </w14:solidFill>
                </w14:textFill>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color w:val="000000" w:themeColor="text1"/>
                <w:szCs w:val="21"/>
                <w:highlight w:val="none"/>
                <w14:textFill>
                  <w14:solidFill>
                    <w14:schemeClr w14:val="tx1"/>
                  </w14:solidFill>
                </w14:textFill>
              </w:rPr>
            </w:pPr>
          </w:p>
        </w:tc>
        <w:tc>
          <w:tcPr>
            <w:tcW w:w="747" w:type="dxa"/>
            <w:vMerge w:val="restart"/>
            <w:noWrap w:val="0"/>
            <w:tcMar>
              <w:left w:w="108" w:type="dxa"/>
              <w:right w:w="108" w:type="dxa"/>
            </w:tcMar>
            <w:vAlign w:val="center"/>
          </w:tcPr>
          <w:p>
            <w:pPr>
              <w:widowControl/>
              <w:jc w:val="center"/>
              <w:rPr>
                <w:rFonts w:ascii="黑体" w:hAnsi="黑体" w:eastAsia="黑体"/>
                <w:color w:val="000000" w:themeColor="text1"/>
                <w:szCs w:val="21"/>
                <w:highlight w:val="none"/>
                <w14:textFill>
                  <w14:solidFill>
                    <w14:schemeClr w14:val="tx1"/>
                  </w14:solidFill>
                </w14:textFill>
              </w:rPr>
            </w:pPr>
            <w:r>
              <w:rPr>
                <w:rFonts w:hint="eastAsia" w:ascii="黑体" w:hAnsi="黑体" w:eastAsia="黑体"/>
                <w:color w:val="000000" w:themeColor="text1"/>
                <w:kern w:val="0"/>
                <w:szCs w:val="21"/>
                <w:highlight w:val="none"/>
                <w14:textFill>
                  <w14:solidFill>
                    <w14:schemeClr w14:val="tx1"/>
                  </w14:solidFill>
                </w14:textFill>
              </w:rPr>
              <w:t>自然人</w:t>
            </w:r>
          </w:p>
        </w:tc>
        <w:tc>
          <w:tcPr>
            <w:tcW w:w="3000" w:type="dxa"/>
            <w:gridSpan w:val="6"/>
            <w:noWrap w:val="0"/>
            <w:tcMar>
              <w:left w:w="108" w:type="dxa"/>
              <w:right w:w="108" w:type="dxa"/>
            </w:tcMar>
            <w:vAlign w:val="center"/>
          </w:tcPr>
          <w:p>
            <w:pPr>
              <w:widowControl/>
              <w:spacing w:line="320" w:lineRule="exact"/>
              <w:jc w:val="center"/>
              <w:rPr>
                <w:rFonts w:ascii="黑体" w:hAnsi="黑体" w:eastAsia="黑体"/>
                <w:color w:val="000000" w:themeColor="text1"/>
                <w:szCs w:val="21"/>
                <w:highlight w:val="none"/>
                <w14:textFill>
                  <w14:solidFill>
                    <w14:schemeClr w14:val="tx1"/>
                  </w14:solidFill>
                </w14:textFill>
              </w:rPr>
            </w:pPr>
            <w:r>
              <w:rPr>
                <w:rFonts w:hint="eastAsia" w:ascii="黑体" w:hAnsi="黑体" w:eastAsia="黑体"/>
                <w:color w:val="000000" w:themeColor="text1"/>
                <w:kern w:val="0"/>
                <w:szCs w:val="21"/>
                <w:highlight w:val="none"/>
                <w14:textFill>
                  <w14:solidFill>
                    <w14:schemeClr w14:val="tx1"/>
                  </w14:solidFill>
                </w14:textFill>
              </w:rPr>
              <w:t>法人或其他组织</w:t>
            </w:r>
          </w:p>
        </w:tc>
        <w:tc>
          <w:tcPr>
            <w:tcW w:w="701" w:type="dxa"/>
            <w:gridSpan w:val="2"/>
            <w:vMerge w:val="restart"/>
            <w:noWrap w:val="0"/>
            <w:tcMar>
              <w:left w:w="108" w:type="dxa"/>
              <w:right w:w="108" w:type="dxa"/>
            </w:tcMar>
            <w:vAlign w:val="center"/>
          </w:tcPr>
          <w:p>
            <w:pPr>
              <w:widowControl/>
              <w:jc w:val="center"/>
              <w:rPr>
                <w:rFonts w:ascii="黑体" w:hAnsi="黑体" w:eastAsia="黑体"/>
                <w:color w:val="000000" w:themeColor="text1"/>
                <w:szCs w:val="21"/>
                <w:highlight w:val="none"/>
                <w14:textFill>
                  <w14:solidFill>
                    <w14:schemeClr w14:val="tx1"/>
                  </w14:solidFill>
                </w14:textFill>
              </w:rPr>
            </w:pPr>
            <w:r>
              <w:rPr>
                <w:rFonts w:hint="eastAsia" w:ascii="黑体" w:hAnsi="黑体" w:eastAsia="黑体"/>
                <w:color w:val="000000" w:themeColor="text1"/>
                <w:kern w:val="0"/>
                <w:szCs w:val="21"/>
                <w:highlight w:val="none"/>
                <w14:textFill>
                  <w14:solidFill>
                    <w14:schemeClr w14:val="tx1"/>
                  </w14:solidFill>
                </w14:textFill>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color w:val="000000" w:themeColor="text1"/>
                <w:szCs w:val="21"/>
                <w:highlight w:val="none"/>
                <w14:textFill>
                  <w14:solidFill>
                    <w14:schemeClr w14:val="tx1"/>
                  </w14:solidFill>
                </w14:textFill>
              </w:rPr>
            </w:pPr>
          </w:p>
        </w:tc>
        <w:tc>
          <w:tcPr>
            <w:tcW w:w="747" w:type="dxa"/>
            <w:vMerge w:val="continue"/>
            <w:noWrap w:val="0"/>
            <w:tcMar>
              <w:left w:w="108" w:type="dxa"/>
              <w:right w:w="108" w:type="dxa"/>
            </w:tcMar>
            <w:vAlign w:val="center"/>
          </w:tcPr>
          <w:p>
            <w:pPr>
              <w:jc w:val="center"/>
              <w:rPr>
                <w:rFonts w:ascii="黑体" w:hAnsi="黑体" w:eastAsia="黑体"/>
                <w:color w:val="000000" w:themeColor="text1"/>
                <w:szCs w:val="21"/>
                <w:highlight w:val="none"/>
                <w14:textFill>
                  <w14:solidFill>
                    <w14:schemeClr w14:val="tx1"/>
                  </w14:solidFill>
                </w14:textFill>
              </w:rPr>
            </w:pPr>
          </w:p>
        </w:tc>
        <w:tc>
          <w:tcPr>
            <w:tcW w:w="540" w:type="dxa"/>
            <w:gridSpan w:val="2"/>
            <w:noWrap w:val="0"/>
            <w:tcMar>
              <w:left w:w="108" w:type="dxa"/>
              <w:right w:w="108" w:type="dxa"/>
            </w:tcMar>
            <w:vAlign w:val="center"/>
          </w:tcPr>
          <w:p>
            <w:pPr>
              <w:widowControl/>
              <w:spacing w:line="320" w:lineRule="exact"/>
              <w:ind w:left="-106" w:leftChars="-51" w:right="-107" w:rightChars="-51" w:hanging="1"/>
              <w:jc w:val="center"/>
              <w:rPr>
                <w:rFonts w:ascii="黑体" w:hAnsi="黑体" w:eastAsia="黑体"/>
                <w:color w:val="000000" w:themeColor="text1"/>
                <w:szCs w:val="21"/>
                <w:highlight w:val="none"/>
                <w14:textFill>
                  <w14:solidFill>
                    <w14:schemeClr w14:val="tx1"/>
                  </w14:solidFill>
                </w14:textFill>
              </w:rPr>
            </w:pPr>
            <w:r>
              <w:rPr>
                <w:rFonts w:hint="eastAsia" w:ascii="黑体" w:hAnsi="黑体" w:eastAsia="黑体"/>
                <w:color w:val="000000" w:themeColor="text1"/>
                <w:kern w:val="0"/>
                <w:szCs w:val="21"/>
                <w:highlight w:val="none"/>
                <w14:textFill>
                  <w14:solidFill>
                    <w14:schemeClr w14:val="tx1"/>
                  </w14:solidFill>
                </w14:textFill>
              </w:rPr>
              <w:t>商业企业</w:t>
            </w:r>
          </w:p>
        </w:tc>
        <w:tc>
          <w:tcPr>
            <w:tcW w:w="540" w:type="dxa"/>
            <w:noWrap w:val="0"/>
            <w:tcMar>
              <w:left w:w="108" w:type="dxa"/>
              <w:right w:w="108" w:type="dxa"/>
            </w:tcMar>
            <w:vAlign w:val="center"/>
          </w:tcPr>
          <w:p>
            <w:pPr>
              <w:widowControl/>
              <w:spacing w:line="320" w:lineRule="exact"/>
              <w:ind w:left="-107" w:leftChars="-51" w:right="-107" w:rightChars="-51"/>
              <w:jc w:val="center"/>
              <w:rPr>
                <w:rFonts w:ascii="黑体" w:hAnsi="黑体" w:eastAsia="黑体"/>
                <w:color w:val="000000" w:themeColor="text1"/>
                <w:szCs w:val="21"/>
                <w:highlight w:val="none"/>
                <w14:textFill>
                  <w14:solidFill>
                    <w14:schemeClr w14:val="tx1"/>
                  </w14:solidFill>
                </w14:textFill>
              </w:rPr>
            </w:pPr>
            <w:r>
              <w:rPr>
                <w:rFonts w:hint="eastAsia" w:ascii="黑体" w:hAnsi="黑体" w:eastAsia="黑体"/>
                <w:color w:val="000000" w:themeColor="text1"/>
                <w:kern w:val="0"/>
                <w:szCs w:val="21"/>
                <w:highlight w:val="none"/>
                <w14:textFill>
                  <w14:solidFill>
                    <w14:schemeClr w14:val="tx1"/>
                  </w14:solidFill>
                </w14:textFill>
              </w:rPr>
              <w:t>科研机构</w:t>
            </w:r>
          </w:p>
        </w:tc>
        <w:tc>
          <w:tcPr>
            <w:tcW w:w="720" w:type="dxa"/>
            <w:noWrap w:val="0"/>
            <w:tcMar>
              <w:left w:w="108" w:type="dxa"/>
              <w:right w:w="108" w:type="dxa"/>
            </w:tcMar>
            <w:vAlign w:val="center"/>
          </w:tcPr>
          <w:p>
            <w:pPr>
              <w:widowControl/>
              <w:spacing w:line="320" w:lineRule="exact"/>
              <w:ind w:left="-107" w:leftChars="-51" w:right="-107" w:rightChars="-51"/>
              <w:jc w:val="center"/>
              <w:rPr>
                <w:rFonts w:ascii="黑体" w:hAnsi="黑体" w:eastAsia="黑体"/>
                <w:color w:val="000000" w:themeColor="text1"/>
                <w:szCs w:val="21"/>
                <w:highlight w:val="none"/>
                <w14:textFill>
                  <w14:solidFill>
                    <w14:schemeClr w14:val="tx1"/>
                  </w14:solidFill>
                </w14:textFill>
              </w:rPr>
            </w:pPr>
            <w:r>
              <w:rPr>
                <w:rFonts w:hint="eastAsia" w:ascii="黑体" w:hAnsi="黑体" w:eastAsia="黑体"/>
                <w:color w:val="000000" w:themeColor="text1"/>
                <w:kern w:val="0"/>
                <w:szCs w:val="21"/>
                <w:highlight w:val="none"/>
                <w14:textFill>
                  <w14:solidFill>
                    <w14:schemeClr w14:val="tx1"/>
                  </w14:solidFill>
                </w14:textFill>
              </w:rPr>
              <w:t>社会公益组织</w:t>
            </w:r>
          </w:p>
        </w:tc>
        <w:tc>
          <w:tcPr>
            <w:tcW w:w="675" w:type="dxa"/>
            <w:noWrap w:val="0"/>
            <w:tcMar>
              <w:left w:w="108" w:type="dxa"/>
              <w:right w:w="108" w:type="dxa"/>
            </w:tcMar>
            <w:vAlign w:val="center"/>
          </w:tcPr>
          <w:p>
            <w:pPr>
              <w:widowControl/>
              <w:spacing w:line="320" w:lineRule="exact"/>
              <w:ind w:left="-106" w:leftChars="-51" w:right="-107" w:rightChars="-51" w:hanging="1"/>
              <w:jc w:val="center"/>
              <w:rPr>
                <w:rFonts w:ascii="黑体" w:hAnsi="黑体" w:eastAsia="黑体"/>
                <w:color w:val="000000" w:themeColor="text1"/>
                <w:szCs w:val="21"/>
                <w:highlight w:val="none"/>
                <w14:textFill>
                  <w14:solidFill>
                    <w14:schemeClr w14:val="tx1"/>
                  </w14:solidFill>
                </w14:textFill>
              </w:rPr>
            </w:pPr>
            <w:r>
              <w:rPr>
                <w:rFonts w:hint="eastAsia" w:ascii="黑体" w:hAnsi="黑体" w:eastAsia="黑体"/>
                <w:color w:val="000000" w:themeColor="text1"/>
                <w:kern w:val="0"/>
                <w:szCs w:val="21"/>
                <w:highlight w:val="none"/>
                <w14:textFill>
                  <w14:solidFill>
                    <w14:schemeClr w14:val="tx1"/>
                  </w14:solidFill>
                </w14:textFill>
              </w:rPr>
              <w:t>法律服务机构</w:t>
            </w:r>
          </w:p>
        </w:tc>
        <w:tc>
          <w:tcPr>
            <w:tcW w:w="525" w:type="dxa"/>
            <w:noWrap w:val="0"/>
            <w:tcMar>
              <w:left w:w="108" w:type="dxa"/>
              <w:right w:w="108" w:type="dxa"/>
            </w:tcMar>
            <w:vAlign w:val="center"/>
          </w:tcPr>
          <w:p>
            <w:pPr>
              <w:widowControl/>
              <w:spacing w:line="360" w:lineRule="exact"/>
              <w:ind w:left="-63" w:leftChars="-30" w:right="-134" w:rightChars="-64"/>
              <w:jc w:val="center"/>
              <w:rPr>
                <w:rFonts w:ascii="黑体" w:hAnsi="黑体" w:eastAsia="黑体"/>
                <w:color w:val="000000" w:themeColor="text1"/>
                <w:szCs w:val="21"/>
                <w:highlight w:val="none"/>
                <w14:textFill>
                  <w14:solidFill>
                    <w14:schemeClr w14:val="tx1"/>
                  </w14:solidFill>
                </w14:textFill>
              </w:rPr>
            </w:pPr>
            <w:r>
              <w:rPr>
                <w:rFonts w:hint="eastAsia" w:ascii="黑体" w:hAnsi="黑体" w:eastAsia="黑体"/>
                <w:color w:val="000000" w:themeColor="text1"/>
                <w:kern w:val="0"/>
                <w:szCs w:val="21"/>
                <w:highlight w:val="none"/>
                <w14:textFill>
                  <w14:solidFill>
                    <w14:schemeClr w14:val="tx1"/>
                  </w14:solidFill>
                </w14:textFill>
              </w:rPr>
              <w:t>其他</w:t>
            </w:r>
          </w:p>
        </w:tc>
        <w:tc>
          <w:tcPr>
            <w:tcW w:w="701" w:type="dxa"/>
            <w:gridSpan w:val="2"/>
            <w:vMerge w:val="continue"/>
            <w:noWrap w:val="0"/>
            <w:tcMar>
              <w:left w:w="108" w:type="dxa"/>
              <w:right w:w="108" w:type="dxa"/>
            </w:tcMar>
            <w:vAlign w:val="center"/>
          </w:tcPr>
          <w:p>
            <w:pPr>
              <w:jc w:val="center"/>
              <w:rPr>
                <w:rFonts w:ascii="仿宋_GB2312" w:hAnsi="Times New Roman" w:eastAsia="仿宋_GB2312"/>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黑体" w:hAnsi="黑体" w:eastAsia="黑体"/>
                <w:color w:val="000000" w:themeColor="text1"/>
                <w:szCs w:val="21"/>
                <w:highlight w:val="none"/>
                <w14:textFill>
                  <w14:solidFill>
                    <w14:schemeClr w14:val="tx1"/>
                  </w14:solidFill>
                </w14:textFill>
              </w:rPr>
            </w:pPr>
            <w:r>
              <w:rPr>
                <w:rFonts w:hint="eastAsia" w:ascii="黑体" w:hAnsi="黑体" w:eastAsia="黑体"/>
                <w:color w:val="000000" w:themeColor="text1"/>
                <w:kern w:val="0"/>
                <w:szCs w:val="21"/>
                <w:highlight w:val="none"/>
                <w14:textFill>
                  <w14:solidFill>
                    <w14:schemeClr w14:val="tx1"/>
                  </w14:solidFill>
                </w14:textFill>
              </w:rPr>
              <w:t>一、</w:t>
            </w:r>
            <w:bookmarkStart w:id="0" w:name="_Hlk66973412"/>
            <w:r>
              <w:rPr>
                <w:rFonts w:hint="eastAsia" w:ascii="黑体" w:hAnsi="黑体" w:eastAsia="黑体"/>
                <w:color w:val="000000" w:themeColor="text1"/>
                <w:kern w:val="0"/>
                <w:szCs w:val="21"/>
                <w:highlight w:val="none"/>
                <w14:textFill>
                  <w14:solidFill>
                    <w14:schemeClr w14:val="tx1"/>
                  </w14:solidFill>
                </w14:textFill>
              </w:rPr>
              <w:t>本年新收政府信息公开申请数量</w:t>
            </w:r>
            <w:bookmarkEnd w:id="0"/>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89</w:t>
            </w:r>
          </w:p>
        </w:tc>
        <w:tc>
          <w:tcPr>
            <w:tcW w:w="540" w:type="dxa"/>
            <w:gridSpan w:val="2"/>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heme="minorBidi"/>
                <w:color w:val="000000" w:themeColor="text1"/>
                <w:kern w:val="2"/>
                <w:sz w:val="21"/>
                <w:szCs w:val="21"/>
                <w:highlight w:val="none"/>
                <w:lang w:val="en-US" w:eastAsia="zh-CN" w:bidi="ar-SA"/>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color w:val="000000" w:themeColor="text1"/>
                <w:kern w:val="2"/>
                <w:sz w:val="21"/>
                <w:szCs w:val="21"/>
                <w:highlight w:val="none"/>
                <w:lang w:val="en-US" w:eastAsia="zh-CN" w:bidi="ar-SA"/>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color w:val="000000" w:themeColor="text1"/>
                <w:kern w:val="2"/>
                <w:sz w:val="21"/>
                <w:szCs w:val="21"/>
                <w:highlight w:val="none"/>
                <w:lang w:val="en-US" w:eastAsia="zh-CN" w:bidi="ar-SA"/>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color w:val="000000" w:themeColor="text1"/>
                <w:kern w:val="2"/>
                <w:sz w:val="21"/>
                <w:szCs w:val="21"/>
                <w:highlight w:val="none"/>
                <w:lang w:val="en-US" w:eastAsia="zh-CN" w:bidi="ar-SA"/>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color w:val="000000" w:themeColor="text1"/>
                <w:kern w:val="2"/>
                <w:sz w:val="21"/>
                <w:szCs w:val="21"/>
                <w:highlight w:val="none"/>
                <w:lang w:val="en-US" w:eastAsia="zh-CN" w:bidi="ar-SA"/>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89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黑体" w:hAnsi="黑体" w:eastAsia="黑体"/>
                <w:color w:val="000000" w:themeColor="text1"/>
                <w:szCs w:val="21"/>
                <w:highlight w:val="none"/>
                <w14:textFill>
                  <w14:solidFill>
                    <w14:schemeClr w14:val="tx1"/>
                  </w14:solidFill>
                </w14:textFill>
              </w:rPr>
            </w:pPr>
            <w:r>
              <w:rPr>
                <w:rFonts w:hint="eastAsia" w:ascii="黑体" w:hAnsi="黑体" w:eastAsia="黑体"/>
                <w:color w:val="000000" w:themeColor="text1"/>
                <w:kern w:val="0"/>
                <w:szCs w:val="21"/>
                <w:highlight w:val="none"/>
                <w14:textFill>
                  <w14:solidFill>
                    <w14:schemeClr w14:val="tx1"/>
                  </w14:solidFill>
                </w14:textFill>
              </w:rPr>
              <w:t>二、上年结转政府信息公开申请数量</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color w:val="000000" w:themeColor="text1"/>
                <w:kern w:val="2"/>
                <w:sz w:val="21"/>
                <w:szCs w:val="21"/>
                <w:highlight w:val="none"/>
                <w:lang w:val="en-US" w:eastAsia="zh-CN" w:bidi="ar-SA"/>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color w:val="000000" w:themeColor="text1"/>
                <w:kern w:val="2"/>
                <w:sz w:val="21"/>
                <w:szCs w:val="21"/>
                <w:highlight w:val="none"/>
                <w:lang w:val="en-US" w:eastAsia="zh-CN" w:bidi="ar-SA"/>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color w:val="000000" w:themeColor="text1"/>
                <w:kern w:val="2"/>
                <w:sz w:val="21"/>
                <w:szCs w:val="21"/>
                <w:highlight w:val="none"/>
                <w:lang w:val="en-US" w:eastAsia="zh-CN" w:bidi="ar-SA"/>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color w:val="000000" w:themeColor="text1"/>
                <w:kern w:val="2"/>
                <w:sz w:val="21"/>
                <w:szCs w:val="21"/>
                <w:highlight w:val="none"/>
                <w:lang w:val="en-US" w:eastAsia="zh-CN" w:bidi="ar-SA"/>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color w:val="000000" w:themeColor="text1"/>
                <w:kern w:val="2"/>
                <w:sz w:val="21"/>
                <w:szCs w:val="21"/>
                <w:highlight w:val="none"/>
                <w:lang w:val="en-US" w:eastAsia="zh-CN" w:bidi="ar-SA"/>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pPr>
              <w:widowControl/>
              <w:spacing w:after="180"/>
              <w:rPr>
                <w:rFonts w:ascii="黑体" w:hAnsi="黑体" w:eastAsia="黑体"/>
                <w:color w:val="000000" w:themeColor="text1"/>
                <w:szCs w:val="21"/>
                <w:highlight w:val="none"/>
                <w14:textFill>
                  <w14:solidFill>
                    <w14:schemeClr w14:val="tx1"/>
                  </w14:solidFill>
                </w14:textFill>
              </w:rPr>
            </w:pPr>
            <w:r>
              <w:rPr>
                <w:rFonts w:hint="eastAsia" w:ascii="黑体" w:hAnsi="黑体" w:eastAsia="黑体"/>
                <w:color w:val="000000" w:themeColor="text1"/>
                <w:kern w:val="0"/>
                <w:szCs w:val="21"/>
                <w:highlight w:val="none"/>
                <w14:textFill>
                  <w14:solidFill>
                    <w14:schemeClr w14:val="tx1"/>
                  </w14:solidFill>
                </w14:textFill>
              </w:rPr>
              <w:t>三、本年度办理结果</w:t>
            </w:r>
          </w:p>
        </w:tc>
        <w:tc>
          <w:tcPr>
            <w:tcW w:w="4677" w:type="dxa"/>
            <w:gridSpan w:val="2"/>
            <w:noWrap w:val="0"/>
            <w:tcMar>
              <w:left w:w="108" w:type="dxa"/>
              <w:right w:w="108" w:type="dxa"/>
            </w:tcMar>
            <w:vAlign w:val="center"/>
          </w:tcPr>
          <w:p>
            <w:pPr>
              <w:widowControl/>
              <w:rPr>
                <w:rFonts w:ascii="黑体" w:hAnsi="黑体" w:eastAsia="黑体"/>
                <w:color w:val="000000" w:themeColor="text1"/>
                <w:szCs w:val="21"/>
                <w:highlight w:val="none"/>
                <w14:textFill>
                  <w14:solidFill>
                    <w14:schemeClr w14:val="tx1"/>
                  </w14:solidFill>
                </w14:textFill>
              </w:rPr>
            </w:pPr>
            <w:r>
              <w:rPr>
                <w:rFonts w:hint="eastAsia" w:ascii="黑体" w:hAnsi="黑体" w:eastAsia="黑体"/>
                <w:color w:val="000000" w:themeColor="text1"/>
                <w:kern w:val="0"/>
                <w:szCs w:val="21"/>
                <w:highlight w:val="none"/>
                <w14:textFill>
                  <w14:solidFill>
                    <w14:schemeClr w14:val="tx1"/>
                  </w14:solidFill>
                </w14:textFill>
              </w:rPr>
              <w:t>（一）予以公开</w:t>
            </w:r>
          </w:p>
        </w:tc>
        <w:tc>
          <w:tcPr>
            <w:tcW w:w="752"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36</w:t>
            </w:r>
          </w:p>
        </w:tc>
        <w:tc>
          <w:tcPr>
            <w:tcW w:w="5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6"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36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highlight w:val="none"/>
                <w14:textFill>
                  <w14:solidFill>
                    <w14:schemeClr w14:val="tx1"/>
                  </w14:solidFill>
                </w14:textFill>
              </w:rPr>
            </w:pPr>
          </w:p>
        </w:tc>
        <w:tc>
          <w:tcPr>
            <w:tcW w:w="4677" w:type="dxa"/>
            <w:gridSpan w:val="2"/>
            <w:noWrap w:val="0"/>
            <w:tcMar>
              <w:left w:w="108" w:type="dxa"/>
              <w:right w:w="108" w:type="dxa"/>
            </w:tcMar>
            <w:vAlign w:val="center"/>
          </w:tcPr>
          <w:p>
            <w:pPr>
              <w:widowControl/>
              <w:rPr>
                <w:rFonts w:ascii="黑体" w:hAnsi="黑体" w:eastAsia="黑体"/>
                <w:color w:val="000000" w:themeColor="text1"/>
                <w:szCs w:val="21"/>
                <w:highlight w:val="none"/>
                <w14:textFill>
                  <w14:solidFill>
                    <w14:schemeClr w14:val="tx1"/>
                  </w14:solidFill>
                </w14:textFill>
              </w:rPr>
            </w:pPr>
            <w:r>
              <w:rPr>
                <w:rFonts w:hint="eastAsia" w:ascii="黑体" w:hAnsi="黑体" w:eastAsia="黑体"/>
                <w:color w:val="000000" w:themeColor="text1"/>
                <w:kern w:val="0"/>
                <w:szCs w:val="21"/>
                <w:highlight w:val="none"/>
                <w14:textFill>
                  <w14:solidFill>
                    <w14:schemeClr w14:val="tx1"/>
                  </w14:solidFill>
                </w14:textFill>
              </w:rPr>
              <w:t>（二）部分公开（</w:t>
            </w:r>
            <w:bookmarkStart w:id="1" w:name="_Hlk66973981"/>
            <w:r>
              <w:rPr>
                <w:rFonts w:hint="eastAsia" w:ascii="黑体" w:hAnsi="黑体" w:eastAsia="黑体"/>
                <w:color w:val="000000" w:themeColor="text1"/>
                <w:kern w:val="0"/>
                <w:szCs w:val="21"/>
                <w:highlight w:val="none"/>
                <w14:textFill>
                  <w14:solidFill>
                    <w14:schemeClr w14:val="tx1"/>
                  </w14:solidFill>
                </w14:textFill>
              </w:rPr>
              <w:t>区分处理的，只计这一情形，不计其他情形</w:t>
            </w:r>
            <w:bookmarkEnd w:id="1"/>
            <w:r>
              <w:rPr>
                <w:rFonts w:hint="eastAsia" w:ascii="黑体" w:hAnsi="黑体" w:eastAsia="黑体"/>
                <w:color w:val="000000" w:themeColor="text1"/>
                <w:kern w:val="0"/>
                <w:szCs w:val="21"/>
                <w:highlight w:val="none"/>
                <w14:textFill>
                  <w14:solidFill>
                    <w14:schemeClr w14:val="tx1"/>
                  </w14:solidFill>
                </w14:textFill>
              </w:rPr>
              <w:t>）</w:t>
            </w:r>
          </w:p>
        </w:tc>
        <w:tc>
          <w:tcPr>
            <w:tcW w:w="752"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22</w:t>
            </w:r>
          </w:p>
        </w:tc>
        <w:tc>
          <w:tcPr>
            <w:tcW w:w="5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6"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highlight w:val="none"/>
                <w14:textFill>
                  <w14:solidFill>
                    <w14:schemeClr w14:val="tx1"/>
                  </w14:solidFill>
                </w14:textFill>
              </w:rPr>
            </w:pPr>
          </w:p>
        </w:tc>
        <w:tc>
          <w:tcPr>
            <w:tcW w:w="1701" w:type="dxa"/>
            <w:vMerge w:val="restart"/>
            <w:noWrap w:val="0"/>
            <w:tcMar>
              <w:left w:w="108" w:type="dxa"/>
              <w:right w:w="108" w:type="dxa"/>
            </w:tcMar>
            <w:vAlign w:val="center"/>
          </w:tcPr>
          <w:p>
            <w:pPr>
              <w:widowControl/>
              <w:spacing w:line="200" w:lineRule="exact"/>
              <w:ind w:left="-107" w:leftChars="-51"/>
              <w:rPr>
                <w:rFonts w:ascii="黑体" w:hAnsi="黑体" w:eastAsia="黑体"/>
                <w:color w:val="000000" w:themeColor="text1"/>
                <w:szCs w:val="21"/>
                <w:highlight w:val="none"/>
                <w14:textFill>
                  <w14:solidFill>
                    <w14:schemeClr w14:val="tx1"/>
                  </w14:solidFill>
                </w14:textFill>
              </w:rPr>
            </w:pPr>
            <w:r>
              <w:rPr>
                <w:rFonts w:hint="eastAsia" w:ascii="黑体" w:hAnsi="黑体" w:eastAsia="黑体"/>
                <w:color w:val="000000" w:themeColor="text1"/>
                <w:kern w:val="0"/>
                <w:szCs w:val="21"/>
                <w:highlight w:val="none"/>
                <w14:textFill>
                  <w14:solidFill>
                    <w14:schemeClr w14:val="tx1"/>
                  </w14:solidFill>
                </w14:textFill>
              </w:rPr>
              <w:t>（三）不予公开</w:t>
            </w:r>
          </w:p>
        </w:tc>
        <w:tc>
          <w:tcPr>
            <w:tcW w:w="2976" w:type="dxa"/>
            <w:noWrap w:val="0"/>
            <w:tcMar>
              <w:left w:w="108" w:type="dxa"/>
              <w:right w:w="108" w:type="dxa"/>
            </w:tcMar>
            <w:vAlign w:val="center"/>
          </w:tcPr>
          <w:p>
            <w:pPr>
              <w:widowControl/>
              <w:spacing w:line="200" w:lineRule="exact"/>
              <w:rPr>
                <w:rFonts w:ascii="仿宋_GB2312" w:hAnsi="黑体" w:eastAsia="仿宋_GB2312"/>
                <w:color w:val="000000" w:themeColor="text1"/>
                <w:kern w:val="0"/>
                <w:szCs w:val="21"/>
                <w:highlight w:val="none"/>
                <w14:textFill>
                  <w14:solidFill>
                    <w14:schemeClr w14:val="tx1"/>
                  </w14:solidFill>
                </w14:textFill>
              </w:rPr>
            </w:pPr>
            <w:r>
              <w:rPr>
                <w:rFonts w:hint="eastAsia" w:ascii="仿宋_GB2312" w:hAnsi="黑体" w:eastAsia="仿宋_GB2312"/>
                <w:color w:val="000000" w:themeColor="text1"/>
                <w:kern w:val="0"/>
                <w:szCs w:val="21"/>
                <w:highlight w:val="none"/>
                <w14:textFill>
                  <w14:solidFill>
                    <w14:schemeClr w14:val="tx1"/>
                  </w14:solidFill>
                </w14:textFill>
              </w:rPr>
              <w:t>1.属于国家秘密</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highlight w:val="none"/>
                <w14:textFill>
                  <w14:solidFill>
                    <w14:schemeClr w14:val="tx1"/>
                  </w14:solidFill>
                </w14:textFill>
              </w:rPr>
            </w:pPr>
          </w:p>
        </w:tc>
        <w:tc>
          <w:tcPr>
            <w:tcW w:w="1701" w:type="dxa"/>
            <w:vMerge w:val="continue"/>
            <w:noWrap w:val="0"/>
            <w:tcMar>
              <w:left w:w="108" w:type="dxa"/>
              <w:right w:w="108" w:type="dxa"/>
            </w:tcMar>
            <w:vAlign w:val="center"/>
          </w:tcPr>
          <w:p>
            <w:pPr>
              <w:spacing w:line="200" w:lineRule="exact"/>
              <w:rPr>
                <w:rFonts w:ascii="黑体" w:hAnsi="黑体" w:eastAsia="黑体"/>
                <w:color w:val="000000" w:themeColor="text1"/>
                <w:szCs w:val="21"/>
                <w:highlight w:val="none"/>
                <w14:textFill>
                  <w14:solidFill>
                    <w14:schemeClr w14:val="tx1"/>
                  </w14:solidFill>
                </w14:textFill>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00000" w:themeColor="text1"/>
                <w:kern w:val="0"/>
                <w:szCs w:val="21"/>
                <w:highlight w:val="none"/>
                <w14:textFill>
                  <w14:solidFill>
                    <w14:schemeClr w14:val="tx1"/>
                  </w14:solidFill>
                </w14:textFill>
              </w:rPr>
            </w:pPr>
            <w:r>
              <w:rPr>
                <w:rFonts w:hint="eastAsia" w:ascii="仿宋_GB2312" w:hAnsi="黑体" w:eastAsia="仿宋_GB2312"/>
                <w:color w:val="000000" w:themeColor="text1"/>
                <w:kern w:val="0"/>
                <w:szCs w:val="21"/>
                <w:highlight w:val="none"/>
                <w14:textFill>
                  <w14:solidFill>
                    <w14:schemeClr w14:val="tx1"/>
                  </w14:solidFill>
                </w14:textFill>
              </w:rPr>
              <w:t>2.</w:t>
            </w:r>
            <w:bookmarkStart w:id="2" w:name="_Hlk66974104"/>
            <w:r>
              <w:rPr>
                <w:rFonts w:hint="eastAsia" w:ascii="仿宋_GB2312" w:hAnsi="黑体" w:eastAsia="仿宋_GB2312"/>
                <w:color w:val="000000" w:themeColor="text1"/>
                <w:kern w:val="0"/>
                <w:szCs w:val="21"/>
                <w:highlight w:val="none"/>
                <w14:textFill>
                  <w14:solidFill>
                    <w14:schemeClr w14:val="tx1"/>
                  </w14:solidFill>
                </w14:textFill>
              </w:rPr>
              <w:t>其他法律行政法规禁止公开</w:t>
            </w:r>
            <w:bookmarkEnd w:id="2"/>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highlight w:val="none"/>
                <w14:textFill>
                  <w14:solidFill>
                    <w14:schemeClr w14:val="tx1"/>
                  </w14:solidFill>
                </w14:textFill>
              </w:rPr>
            </w:pPr>
          </w:p>
        </w:tc>
        <w:tc>
          <w:tcPr>
            <w:tcW w:w="1701" w:type="dxa"/>
            <w:vMerge w:val="continue"/>
            <w:noWrap w:val="0"/>
            <w:tcMar>
              <w:left w:w="108" w:type="dxa"/>
              <w:right w:w="108" w:type="dxa"/>
            </w:tcMar>
            <w:vAlign w:val="center"/>
          </w:tcPr>
          <w:p>
            <w:pPr>
              <w:spacing w:line="200" w:lineRule="exact"/>
              <w:rPr>
                <w:rFonts w:ascii="黑体" w:hAnsi="黑体" w:eastAsia="黑体"/>
                <w:color w:val="000000" w:themeColor="text1"/>
                <w:szCs w:val="21"/>
                <w:highlight w:val="none"/>
                <w14:textFill>
                  <w14:solidFill>
                    <w14:schemeClr w14:val="tx1"/>
                  </w14:solidFill>
                </w14:textFill>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00000" w:themeColor="text1"/>
                <w:kern w:val="0"/>
                <w:szCs w:val="21"/>
                <w:highlight w:val="none"/>
                <w14:textFill>
                  <w14:solidFill>
                    <w14:schemeClr w14:val="tx1"/>
                  </w14:solidFill>
                </w14:textFill>
              </w:rPr>
            </w:pPr>
            <w:r>
              <w:rPr>
                <w:rFonts w:hint="eastAsia" w:ascii="仿宋_GB2312" w:hAnsi="黑体" w:eastAsia="仿宋_GB2312"/>
                <w:color w:val="000000" w:themeColor="text1"/>
                <w:kern w:val="0"/>
                <w:szCs w:val="21"/>
                <w:highlight w:val="none"/>
                <w14:textFill>
                  <w14:solidFill>
                    <w14:schemeClr w14:val="tx1"/>
                  </w14:solidFill>
                </w14:textFill>
              </w:rPr>
              <w:t>3.危及“三安全一稳定”</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highlight w:val="none"/>
                <w14:textFill>
                  <w14:solidFill>
                    <w14:schemeClr w14:val="tx1"/>
                  </w14:solidFill>
                </w14:textFill>
              </w:rPr>
            </w:pPr>
          </w:p>
        </w:tc>
        <w:tc>
          <w:tcPr>
            <w:tcW w:w="1701" w:type="dxa"/>
            <w:vMerge w:val="continue"/>
            <w:noWrap w:val="0"/>
            <w:tcMar>
              <w:left w:w="108" w:type="dxa"/>
              <w:right w:w="108" w:type="dxa"/>
            </w:tcMar>
            <w:vAlign w:val="center"/>
          </w:tcPr>
          <w:p>
            <w:pPr>
              <w:spacing w:line="200" w:lineRule="exact"/>
              <w:rPr>
                <w:rFonts w:ascii="黑体" w:hAnsi="黑体" w:eastAsia="黑体"/>
                <w:color w:val="000000" w:themeColor="text1"/>
                <w:szCs w:val="21"/>
                <w:highlight w:val="none"/>
                <w14:textFill>
                  <w14:solidFill>
                    <w14:schemeClr w14:val="tx1"/>
                  </w14:solidFill>
                </w14:textFill>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00000" w:themeColor="text1"/>
                <w:kern w:val="0"/>
                <w:szCs w:val="21"/>
                <w:highlight w:val="none"/>
                <w14:textFill>
                  <w14:solidFill>
                    <w14:schemeClr w14:val="tx1"/>
                  </w14:solidFill>
                </w14:textFill>
              </w:rPr>
            </w:pPr>
            <w:r>
              <w:rPr>
                <w:rFonts w:hint="eastAsia" w:ascii="仿宋_GB2312" w:hAnsi="黑体" w:eastAsia="仿宋_GB2312"/>
                <w:color w:val="000000" w:themeColor="text1"/>
                <w:kern w:val="0"/>
                <w:szCs w:val="21"/>
                <w:highlight w:val="none"/>
                <w14:textFill>
                  <w14:solidFill>
                    <w14:schemeClr w14:val="tx1"/>
                  </w14:solidFill>
                </w14:textFill>
              </w:rPr>
              <w:t>4.</w:t>
            </w:r>
            <w:bookmarkStart w:id="3" w:name="_Hlk66974290"/>
            <w:r>
              <w:rPr>
                <w:rFonts w:hint="eastAsia" w:ascii="仿宋_GB2312" w:hAnsi="黑体" w:eastAsia="仿宋_GB2312"/>
                <w:color w:val="000000" w:themeColor="text1"/>
                <w:kern w:val="0"/>
                <w:szCs w:val="21"/>
                <w:highlight w:val="none"/>
                <w14:textFill>
                  <w14:solidFill>
                    <w14:schemeClr w14:val="tx1"/>
                  </w14:solidFill>
                </w14:textFill>
              </w:rPr>
              <w:t>保护第三方合法权益</w:t>
            </w:r>
            <w:bookmarkEnd w:id="3"/>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highlight w:val="none"/>
                <w14:textFill>
                  <w14:solidFill>
                    <w14:schemeClr w14:val="tx1"/>
                  </w14:solidFill>
                </w14:textFill>
              </w:rPr>
            </w:pPr>
          </w:p>
        </w:tc>
        <w:tc>
          <w:tcPr>
            <w:tcW w:w="1701" w:type="dxa"/>
            <w:vMerge w:val="continue"/>
            <w:noWrap w:val="0"/>
            <w:tcMar>
              <w:left w:w="108" w:type="dxa"/>
              <w:right w:w="108" w:type="dxa"/>
            </w:tcMar>
            <w:vAlign w:val="center"/>
          </w:tcPr>
          <w:p>
            <w:pPr>
              <w:spacing w:line="200" w:lineRule="exact"/>
              <w:rPr>
                <w:rFonts w:ascii="黑体" w:hAnsi="黑体" w:eastAsia="黑体"/>
                <w:color w:val="000000" w:themeColor="text1"/>
                <w:szCs w:val="21"/>
                <w:highlight w:val="none"/>
                <w14:textFill>
                  <w14:solidFill>
                    <w14:schemeClr w14:val="tx1"/>
                  </w14:solidFill>
                </w14:textFill>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00000" w:themeColor="text1"/>
                <w:kern w:val="0"/>
                <w:szCs w:val="21"/>
                <w:highlight w:val="none"/>
                <w14:textFill>
                  <w14:solidFill>
                    <w14:schemeClr w14:val="tx1"/>
                  </w14:solidFill>
                </w14:textFill>
              </w:rPr>
            </w:pPr>
            <w:r>
              <w:rPr>
                <w:rFonts w:hint="eastAsia" w:ascii="仿宋_GB2312" w:hAnsi="黑体" w:eastAsia="仿宋_GB2312"/>
                <w:color w:val="000000" w:themeColor="text1"/>
                <w:kern w:val="0"/>
                <w:szCs w:val="21"/>
                <w:highlight w:val="none"/>
                <w14:textFill>
                  <w14:solidFill>
                    <w14:schemeClr w14:val="tx1"/>
                  </w14:solidFill>
                </w14:textFill>
              </w:rPr>
              <w:t>5.属于三类内部事务信息</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1</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highlight w:val="none"/>
                <w14:textFill>
                  <w14:solidFill>
                    <w14:schemeClr w14:val="tx1"/>
                  </w14:solidFill>
                </w14:textFill>
              </w:rPr>
            </w:pPr>
          </w:p>
        </w:tc>
        <w:tc>
          <w:tcPr>
            <w:tcW w:w="1701" w:type="dxa"/>
            <w:vMerge w:val="continue"/>
            <w:noWrap w:val="0"/>
            <w:tcMar>
              <w:left w:w="108" w:type="dxa"/>
              <w:right w:w="108" w:type="dxa"/>
            </w:tcMar>
            <w:vAlign w:val="center"/>
          </w:tcPr>
          <w:p>
            <w:pPr>
              <w:spacing w:line="200" w:lineRule="exact"/>
              <w:rPr>
                <w:rFonts w:ascii="黑体" w:hAnsi="黑体" w:eastAsia="黑体"/>
                <w:color w:val="000000" w:themeColor="text1"/>
                <w:szCs w:val="21"/>
                <w:highlight w:val="none"/>
                <w14:textFill>
                  <w14:solidFill>
                    <w14:schemeClr w14:val="tx1"/>
                  </w14:solidFill>
                </w14:textFill>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00000" w:themeColor="text1"/>
                <w:kern w:val="0"/>
                <w:szCs w:val="21"/>
                <w:highlight w:val="none"/>
                <w14:textFill>
                  <w14:solidFill>
                    <w14:schemeClr w14:val="tx1"/>
                  </w14:solidFill>
                </w14:textFill>
              </w:rPr>
            </w:pPr>
            <w:r>
              <w:rPr>
                <w:rFonts w:hint="eastAsia" w:ascii="仿宋_GB2312" w:hAnsi="黑体" w:eastAsia="仿宋_GB2312"/>
                <w:color w:val="000000" w:themeColor="text1"/>
                <w:kern w:val="0"/>
                <w:szCs w:val="21"/>
                <w:highlight w:val="none"/>
                <w14:textFill>
                  <w14:solidFill>
                    <w14:schemeClr w14:val="tx1"/>
                  </w14:solidFill>
                </w14:textFill>
              </w:rPr>
              <w:t>6.</w:t>
            </w:r>
            <w:bookmarkStart w:id="4" w:name="_Hlk66974555"/>
            <w:r>
              <w:rPr>
                <w:rFonts w:hint="eastAsia" w:ascii="仿宋_GB2312" w:hAnsi="黑体" w:eastAsia="仿宋_GB2312"/>
                <w:color w:val="000000" w:themeColor="text1"/>
                <w:kern w:val="0"/>
                <w:szCs w:val="21"/>
                <w:highlight w:val="none"/>
                <w14:textFill>
                  <w14:solidFill>
                    <w14:schemeClr w14:val="tx1"/>
                  </w14:solidFill>
                </w14:textFill>
              </w:rPr>
              <w:t>属于四类过程性信息</w:t>
            </w:r>
            <w:bookmarkEnd w:id="4"/>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highlight w:val="none"/>
                <w14:textFill>
                  <w14:solidFill>
                    <w14:schemeClr w14:val="tx1"/>
                  </w14:solidFill>
                </w14:textFill>
              </w:rPr>
            </w:pPr>
          </w:p>
        </w:tc>
        <w:tc>
          <w:tcPr>
            <w:tcW w:w="1701" w:type="dxa"/>
            <w:vMerge w:val="continue"/>
            <w:noWrap w:val="0"/>
            <w:tcMar>
              <w:left w:w="108" w:type="dxa"/>
              <w:right w:w="108" w:type="dxa"/>
            </w:tcMar>
            <w:vAlign w:val="center"/>
          </w:tcPr>
          <w:p>
            <w:pPr>
              <w:spacing w:line="200" w:lineRule="exact"/>
              <w:rPr>
                <w:rFonts w:ascii="黑体" w:hAnsi="黑体" w:eastAsia="黑体"/>
                <w:color w:val="000000" w:themeColor="text1"/>
                <w:szCs w:val="21"/>
                <w:highlight w:val="none"/>
                <w14:textFill>
                  <w14:solidFill>
                    <w14:schemeClr w14:val="tx1"/>
                  </w14:solidFill>
                </w14:textFill>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00000" w:themeColor="text1"/>
                <w:kern w:val="0"/>
                <w:szCs w:val="21"/>
                <w:highlight w:val="none"/>
                <w14:textFill>
                  <w14:solidFill>
                    <w14:schemeClr w14:val="tx1"/>
                  </w14:solidFill>
                </w14:textFill>
              </w:rPr>
            </w:pPr>
            <w:r>
              <w:rPr>
                <w:rFonts w:hint="eastAsia" w:ascii="仿宋_GB2312" w:hAnsi="黑体" w:eastAsia="仿宋_GB2312"/>
                <w:color w:val="000000" w:themeColor="text1"/>
                <w:kern w:val="0"/>
                <w:szCs w:val="21"/>
                <w:highlight w:val="none"/>
                <w14:textFill>
                  <w14:solidFill>
                    <w14:schemeClr w14:val="tx1"/>
                  </w14:solidFill>
                </w14:textFill>
              </w:rPr>
              <w:t>7.属于行政执法案卷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highlight w:val="none"/>
                <w14:textFill>
                  <w14:solidFill>
                    <w14:schemeClr w14:val="tx1"/>
                  </w14:solidFill>
                </w14:textFill>
              </w:rPr>
            </w:pPr>
          </w:p>
        </w:tc>
        <w:tc>
          <w:tcPr>
            <w:tcW w:w="1701" w:type="dxa"/>
            <w:vMerge w:val="continue"/>
            <w:noWrap w:val="0"/>
            <w:tcMar>
              <w:left w:w="108" w:type="dxa"/>
              <w:right w:w="108" w:type="dxa"/>
            </w:tcMar>
            <w:vAlign w:val="center"/>
          </w:tcPr>
          <w:p>
            <w:pPr>
              <w:spacing w:line="200" w:lineRule="exact"/>
              <w:rPr>
                <w:rFonts w:ascii="黑体" w:hAnsi="黑体" w:eastAsia="黑体"/>
                <w:color w:val="000000" w:themeColor="text1"/>
                <w:szCs w:val="21"/>
                <w:highlight w:val="none"/>
                <w14:textFill>
                  <w14:solidFill>
                    <w14:schemeClr w14:val="tx1"/>
                  </w14:solidFill>
                </w14:textFill>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00000" w:themeColor="text1"/>
                <w:kern w:val="0"/>
                <w:szCs w:val="21"/>
                <w:highlight w:val="none"/>
                <w14:textFill>
                  <w14:solidFill>
                    <w14:schemeClr w14:val="tx1"/>
                  </w14:solidFill>
                </w14:textFill>
              </w:rPr>
            </w:pPr>
            <w:r>
              <w:rPr>
                <w:rFonts w:hint="eastAsia" w:ascii="仿宋_GB2312" w:hAnsi="黑体" w:eastAsia="仿宋_GB2312"/>
                <w:color w:val="000000" w:themeColor="text1"/>
                <w:kern w:val="0"/>
                <w:szCs w:val="21"/>
                <w:highlight w:val="none"/>
                <w14:textFill>
                  <w14:solidFill>
                    <w14:schemeClr w14:val="tx1"/>
                  </w14:solidFill>
                </w14:textFill>
              </w:rPr>
              <w:t>8.</w:t>
            </w:r>
            <w:bookmarkStart w:id="5" w:name="_Hlk66975211"/>
            <w:r>
              <w:rPr>
                <w:rFonts w:hint="eastAsia" w:ascii="仿宋_GB2312" w:hAnsi="黑体" w:eastAsia="仿宋_GB2312"/>
                <w:color w:val="000000" w:themeColor="text1"/>
                <w:kern w:val="0"/>
                <w:szCs w:val="21"/>
                <w:highlight w:val="none"/>
                <w14:textFill>
                  <w14:solidFill>
                    <w14:schemeClr w14:val="tx1"/>
                  </w14:solidFill>
                </w14:textFill>
              </w:rPr>
              <w:t>属于行政查询事项</w:t>
            </w:r>
            <w:bookmarkEnd w:id="5"/>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highlight w:val="none"/>
                <w14:textFill>
                  <w14:solidFill>
                    <w14:schemeClr w14:val="tx1"/>
                  </w14:solidFill>
                </w14:textFill>
              </w:rPr>
            </w:pPr>
          </w:p>
        </w:tc>
        <w:tc>
          <w:tcPr>
            <w:tcW w:w="1701" w:type="dxa"/>
            <w:vMerge w:val="restart"/>
            <w:noWrap w:val="0"/>
            <w:tcMar>
              <w:left w:w="108" w:type="dxa"/>
              <w:right w:w="108" w:type="dxa"/>
            </w:tcMar>
            <w:vAlign w:val="center"/>
          </w:tcPr>
          <w:p>
            <w:pPr>
              <w:widowControl/>
              <w:spacing w:line="200" w:lineRule="exact"/>
              <w:ind w:left="-107" w:leftChars="-51"/>
              <w:rPr>
                <w:rFonts w:ascii="黑体" w:hAnsi="黑体" w:eastAsia="黑体"/>
                <w:color w:val="000000" w:themeColor="text1"/>
                <w:szCs w:val="21"/>
                <w:highlight w:val="none"/>
                <w14:textFill>
                  <w14:solidFill>
                    <w14:schemeClr w14:val="tx1"/>
                  </w14:solidFill>
                </w14:textFill>
              </w:rPr>
            </w:pPr>
            <w:r>
              <w:rPr>
                <w:rFonts w:hint="eastAsia" w:ascii="黑体" w:hAnsi="黑体" w:eastAsia="黑体"/>
                <w:color w:val="000000" w:themeColor="text1"/>
                <w:kern w:val="0"/>
                <w:szCs w:val="21"/>
                <w:highlight w:val="none"/>
                <w14:textFill>
                  <w14:solidFill>
                    <w14:schemeClr w14:val="tx1"/>
                  </w14:solidFill>
                </w14:textFill>
              </w:rPr>
              <w:t>（四）无法提供</w:t>
            </w:r>
          </w:p>
        </w:tc>
        <w:tc>
          <w:tcPr>
            <w:tcW w:w="2976" w:type="dxa"/>
            <w:noWrap w:val="0"/>
            <w:tcMar>
              <w:left w:w="108" w:type="dxa"/>
              <w:right w:w="108" w:type="dxa"/>
            </w:tcMar>
            <w:vAlign w:val="center"/>
          </w:tcPr>
          <w:p>
            <w:pPr>
              <w:widowControl/>
              <w:spacing w:line="200" w:lineRule="exact"/>
              <w:rPr>
                <w:rFonts w:ascii="仿宋_GB2312" w:hAnsi="黑体" w:eastAsia="仿宋_GB2312"/>
                <w:color w:val="000000" w:themeColor="text1"/>
                <w:kern w:val="0"/>
                <w:szCs w:val="21"/>
                <w:highlight w:val="none"/>
                <w14:textFill>
                  <w14:solidFill>
                    <w14:schemeClr w14:val="tx1"/>
                  </w14:solidFill>
                </w14:textFill>
              </w:rPr>
            </w:pPr>
            <w:r>
              <w:rPr>
                <w:rFonts w:hint="eastAsia" w:ascii="仿宋_GB2312" w:hAnsi="黑体" w:eastAsia="仿宋_GB2312"/>
                <w:color w:val="000000" w:themeColor="text1"/>
                <w:kern w:val="0"/>
                <w:szCs w:val="21"/>
                <w:highlight w:val="none"/>
                <w14:textFill>
                  <w14:solidFill>
                    <w14:schemeClr w14:val="tx1"/>
                  </w14:solidFill>
                </w14:textFill>
              </w:rPr>
              <w:t>1.本机关不掌握相关政府信息</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highlight w:val="none"/>
                <w:lang w:val="en-US"/>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17</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highlight w:val="none"/>
                <w:lang w:val="en-US"/>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highlight w:val="none"/>
                <w14:textFill>
                  <w14:solidFill>
                    <w14:schemeClr w14:val="tx1"/>
                  </w14:solidFill>
                </w14:textFill>
              </w:rPr>
            </w:pPr>
          </w:p>
        </w:tc>
        <w:tc>
          <w:tcPr>
            <w:tcW w:w="1701" w:type="dxa"/>
            <w:vMerge w:val="continue"/>
            <w:noWrap w:val="0"/>
            <w:tcMar>
              <w:left w:w="108" w:type="dxa"/>
              <w:right w:w="108" w:type="dxa"/>
            </w:tcMar>
            <w:vAlign w:val="center"/>
          </w:tcPr>
          <w:p>
            <w:pPr>
              <w:spacing w:line="200" w:lineRule="exact"/>
              <w:ind w:left="-107" w:leftChars="-51"/>
              <w:rPr>
                <w:rFonts w:ascii="黑体" w:hAnsi="黑体" w:eastAsia="黑体"/>
                <w:color w:val="000000" w:themeColor="text1"/>
                <w:szCs w:val="21"/>
                <w:highlight w:val="none"/>
                <w14:textFill>
                  <w14:solidFill>
                    <w14:schemeClr w14:val="tx1"/>
                  </w14:solidFill>
                </w14:textFill>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00000" w:themeColor="text1"/>
                <w:kern w:val="0"/>
                <w:szCs w:val="21"/>
                <w:highlight w:val="none"/>
                <w14:textFill>
                  <w14:solidFill>
                    <w14:schemeClr w14:val="tx1"/>
                  </w14:solidFill>
                </w14:textFill>
              </w:rPr>
            </w:pPr>
            <w:r>
              <w:rPr>
                <w:rFonts w:hint="eastAsia" w:ascii="仿宋_GB2312" w:hAnsi="黑体" w:eastAsia="仿宋_GB2312"/>
                <w:color w:val="000000" w:themeColor="text1"/>
                <w:kern w:val="0"/>
                <w:szCs w:val="21"/>
                <w:highlight w:val="none"/>
                <w14:textFill>
                  <w14:solidFill>
                    <w14:schemeClr w14:val="tx1"/>
                  </w14:solidFill>
                </w14:textFill>
              </w:rPr>
              <w:t>2.</w:t>
            </w:r>
            <w:bookmarkStart w:id="6" w:name="_Hlk66975392"/>
            <w:r>
              <w:rPr>
                <w:rFonts w:hint="eastAsia" w:ascii="仿宋_GB2312" w:hAnsi="黑体" w:eastAsia="仿宋_GB2312"/>
                <w:color w:val="000000" w:themeColor="text1"/>
                <w:kern w:val="0"/>
                <w:szCs w:val="21"/>
                <w:highlight w:val="none"/>
                <w14:textFill>
                  <w14:solidFill>
                    <w14:schemeClr w14:val="tx1"/>
                  </w14:solidFill>
                </w14:textFill>
              </w:rPr>
              <w:t>没有现成信息需要另行制作</w:t>
            </w:r>
            <w:bookmarkEnd w:id="6"/>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highlight w:val="none"/>
                <w14:textFill>
                  <w14:solidFill>
                    <w14:schemeClr w14:val="tx1"/>
                  </w14:solidFill>
                </w14:textFill>
              </w:rPr>
            </w:pPr>
          </w:p>
        </w:tc>
        <w:tc>
          <w:tcPr>
            <w:tcW w:w="1701" w:type="dxa"/>
            <w:vMerge w:val="continue"/>
            <w:noWrap w:val="0"/>
            <w:tcMar>
              <w:left w:w="108" w:type="dxa"/>
              <w:right w:w="108" w:type="dxa"/>
            </w:tcMar>
            <w:vAlign w:val="center"/>
          </w:tcPr>
          <w:p>
            <w:pPr>
              <w:spacing w:line="200" w:lineRule="exact"/>
              <w:ind w:left="-107" w:leftChars="-51"/>
              <w:rPr>
                <w:rFonts w:ascii="黑体" w:hAnsi="黑体" w:eastAsia="黑体"/>
                <w:color w:val="000000" w:themeColor="text1"/>
                <w:szCs w:val="21"/>
                <w:highlight w:val="none"/>
                <w14:textFill>
                  <w14:solidFill>
                    <w14:schemeClr w14:val="tx1"/>
                  </w14:solidFill>
                </w14:textFill>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00000" w:themeColor="text1"/>
                <w:kern w:val="0"/>
                <w:szCs w:val="21"/>
                <w:highlight w:val="none"/>
                <w14:textFill>
                  <w14:solidFill>
                    <w14:schemeClr w14:val="tx1"/>
                  </w14:solidFill>
                </w14:textFill>
              </w:rPr>
            </w:pPr>
            <w:r>
              <w:rPr>
                <w:rFonts w:hint="eastAsia" w:ascii="仿宋_GB2312" w:hAnsi="黑体" w:eastAsia="仿宋_GB2312"/>
                <w:color w:val="000000" w:themeColor="text1"/>
                <w:kern w:val="0"/>
                <w:szCs w:val="21"/>
                <w:highlight w:val="none"/>
                <w14:textFill>
                  <w14:solidFill>
                    <w14:schemeClr w14:val="tx1"/>
                  </w14:solidFill>
                </w14:textFill>
              </w:rPr>
              <w:t>3.</w:t>
            </w:r>
            <w:bookmarkStart w:id="7" w:name="_Hlk66975466"/>
            <w:r>
              <w:rPr>
                <w:rFonts w:hint="eastAsia" w:ascii="仿宋_GB2312" w:hAnsi="黑体" w:eastAsia="仿宋_GB2312"/>
                <w:color w:val="000000" w:themeColor="text1"/>
                <w:kern w:val="0"/>
                <w:szCs w:val="21"/>
                <w:highlight w:val="none"/>
                <w14:textFill>
                  <w14:solidFill>
                    <w14:schemeClr w14:val="tx1"/>
                  </w14:solidFill>
                </w14:textFill>
              </w:rPr>
              <w:t>补正后申请内容仍不明确</w:t>
            </w:r>
            <w:bookmarkEnd w:id="7"/>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highlight w:val="none"/>
                <w14:textFill>
                  <w14:solidFill>
                    <w14:schemeClr w14:val="tx1"/>
                  </w14:solidFill>
                </w14:textFill>
              </w:rPr>
            </w:pPr>
          </w:p>
        </w:tc>
        <w:tc>
          <w:tcPr>
            <w:tcW w:w="1701" w:type="dxa"/>
            <w:vMerge w:val="restart"/>
            <w:noWrap w:val="0"/>
            <w:tcMar>
              <w:left w:w="108" w:type="dxa"/>
              <w:right w:w="108" w:type="dxa"/>
            </w:tcMar>
            <w:vAlign w:val="center"/>
          </w:tcPr>
          <w:p>
            <w:pPr>
              <w:widowControl/>
              <w:spacing w:line="200" w:lineRule="exact"/>
              <w:ind w:left="-107" w:leftChars="-51"/>
              <w:rPr>
                <w:rFonts w:ascii="黑体" w:hAnsi="黑体" w:eastAsia="黑体"/>
                <w:color w:val="000000" w:themeColor="text1"/>
                <w:szCs w:val="21"/>
                <w:highlight w:val="none"/>
                <w14:textFill>
                  <w14:solidFill>
                    <w14:schemeClr w14:val="tx1"/>
                  </w14:solidFill>
                </w14:textFill>
              </w:rPr>
            </w:pPr>
            <w:r>
              <w:rPr>
                <w:rFonts w:hint="eastAsia" w:ascii="黑体" w:hAnsi="黑体" w:eastAsia="黑体"/>
                <w:color w:val="000000" w:themeColor="text1"/>
                <w:kern w:val="0"/>
                <w:szCs w:val="21"/>
                <w:highlight w:val="none"/>
                <w14:textFill>
                  <w14:solidFill>
                    <w14:schemeClr w14:val="tx1"/>
                  </w14:solidFill>
                </w14:textFill>
              </w:rPr>
              <w:t>（五）不予处理</w:t>
            </w:r>
          </w:p>
        </w:tc>
        <w:tc>
          <w:tcPr>
            <w:tcW w:w="2976" w:type="dxa"/>
            <w:noWrap w:val="0"/>
            <w:tcMar>
              <w:left w:w="108" w:type="dxa"/>
              <w:right w:w="108" w:type="dxa"/>
            </w:tcMar>
            <w:vAlign w:val="center"/>
          </w:tcPr>
          <w:p>
            <w:pPr>
              <w:widowControl/>
              <w:spacing w:line="200" w:lineRule="exact"/>
              <w:rPr>
                <w:rFonts w:ascii="仿宋_GB2312" w:hAnsi="黑体" w:eastAsia="仿宋_GB2312"/>
                <w:color w:val="000000" w:themeColor="text1"/>
                <w:kern w:val="0"/>
                <w:szCs w:val="21"/>
                <w:highlight w:val="none"/>
                <w14:textFill>
                  <w14:solidFill>
                    <w14:schemeClr w14:val="tx1"/>
                  </w14:solidFill>
                </w14:textFill>
              </w:rPr>
            </w:pPr>
            <w:r>
              <w:rPr>
                <w:rFonts w:hint="eastAsia" w:ascii="仿宋_GB2312" w:hAnsi="黑体" w:eastAsia="仿宋_GB2312"/>
                <w:color w:val="000000" w:themeColor="text1"/>
                <w:kern w:val="0"/>
                <w:szCs w:val="21"/>
                <w:highlight w:val="none"/>
                <w14:textFill>
                  <w14:solidFill>
                    <w14:schemeClr w14:val="tx1"/>
                  </w14:solidFill>
                </w14:textFill>
              </w:rPr>
              <w:t>1.</w:t>
            </w:r>
            <w:bookmarkStart w:id="8" w:name="_Hlk66975537"/>
            <w:r>
              <w:rPr>
                <w:rFonts w:hint="eastAsia" w:ascii="仿宋_GB2312" w:hAnsi="黑体" w:eastAsia="仿宋_GB2312"/>
                <w:color w:val="000000" w:themeColor="text1"/>
                <w:kern w:val="0"/>
                <w:szCs w:val="21"/>
                <w:highlight w:val="none"/>
                <w14:textFill>
                  <w14:solidFill>
                    <w14:schemeClr w14:val="tx1"/>
                  </w14:solidFill>
                </w14:textFill>
              </w:rPr>
              <w:t>信访举报投诉类申请</w:t>
            </w:r>
            <w:bookmarkEnd w:id="8"/>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highlight w:val="none"/>
                <w14:textFill>
                  <w14:solidFill>
                    <w14:schemeClr w14:val="tx1"/>
                  </w14:solidFill>
                </w14:textFill>
              </w:rPr>
            </w:pPr>
          </w:p>
        </w:tc>
        <w:tc>
          <w:tcPr>
            <w:tcW w:w="1701" w:type="dxa"/>
            <w:vMerge w:val="continue"/>
            <w:noWrap w:val="0"/>
            <w:tcMar>
              <w:left w:w="108" w:type="dxa"/>
              <w:right w:w="108" w:type="dxa"/>
            </w:tcMar>
            <w:vAlign w:val="center"/>
          </w:tcPr>
          <w:p>
            <w:pPr>
              <w:spacing w:line="200" w:lineRule="exact"/>
              <w:rPr>
                <w:rFonts w:ascii="黑体" w:hAnsi="黑体" w:eastAsia="黑体"/>
                <w:color w:val="000000" w:themeColor="text1"/>
                <w:szCs w:val="21"/>
                <w:highlight w:val="none"/>
                <w14:textFill>
                  <w14:solidFill>
                    <w14:schemeClr w14:val="tx1"/>
                  </w14:solidFill>
                </w14:textFill>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00000" w:themeColor="text1"/>
                <w:kern w:val="0"/>
                <w:szCs w:val="21"/>
                <w:highlight w:val="none"/>
                <w14:textFill>
                  <w14:solidFill>
                    <w14:schemeClr w14:val="tx1"/>
                  </w14:solidFill>
                </w14:textFill>
              </w:rPr>
            </w:pPr>
            <w:r>
              <w:rPr>
                <w:rFonts w:hint="eastAsia" w:ascii="仿宋_GB2312" w:hAnsi="黑体" w:eastAsia="仿宋_GB2312"/>
                <w:color w:val="000000" w:themeColor="text1"/>
                <w:kern w:val="0"/>
                <w:szCs w:val="21"/>
                <w:highlight w:val="none"/>
                <w14:textFill>
                  <w14:solidFill>
                    <w14:schemeClr w14:val="tx1"/>
                  </w14:solidFill>
                </w14:textFill>
              </w:rPr>
              <w:t>2.重复申请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1</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highlight w:val="none"/>
                <w14:textFill>
                  <w14:solidFill>
                    <w14:schemeClr w14:val="tx1"/>
                  </w14:solidFill>
                </w14:textFill>
              </w:rPr>
            </w:pPr>
          </w:p>
        </w:tc>
        <w:tc>
          <w:tcPr>
            <w:tcW w:w="1701" w:type="dxa"/>
            <w:vMerge w:val="continue"/>
            <w:noWrap w:val="0"/>
            <w:tcMar>
              <w:left w:w="108" w:type="dxa"/>
              <w:right w:w="108" w:type="dxa"/>
            </w:tcMar>
            <w:vAlign w:val="center"/>
          </w:tcPr>
          <w:p>
            <w:pPr>
              <w:spacing w:line="200" w:lineRule="exact"/>
              <w:rPr>
                <w:rFonts w:ascii="黑体" w:hAnsi="黑体" w:eastAsia="黑体"/>
                <w:color w:val="000000" w:themeColor="text1"/>
                <w:szCs w:val="21"/>
                <w:highlight w:val="none"/>
                <w14:textFill>
                  <w14:solidFill>
                    <w14:schemeClr w14:val="tx1"/>
                  </w14:solidFill>
                </w14:textFill>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00000" w:themeColor="text1"/>
                <w:szCs w:val="21"/>
                <w:highlight w:val="none"/>
                <w14:textFill>
                  <w14:solidFill>
                    <w14:schemeClr w14:val="tx1"/>
                  </w14:solidFill>
                </w14:textFill>
              </w:rPr>
            </w:pPr>
            <w:r>
              <w:rPr>
                <w:rFonts w:hint="eastAsia" w:ascii="仿宋_GB2312" w:hAnsi="黑体" w:eastAsia="仿宋_GB2312"/>
                <w:color w:val="000000" w:themeColor="text1"/>
                <w:kern w:val="0"/>
                <w:szCs w:val="21"/>
                <w:highlight w:val="none"/>
                <w14:textFill>
                  <w14:solidFill>
                    <w14:schemeClr w14:val="tx1"/>
                  </w14:solidFill>
                </w14:textFill>
              </w:rPr>
              <w:t>3.要求提供公开出版物</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highlight w:val="none"/>
                <w14:textFill>
                  <w14:solidFill>
                    <w14:schemeClr w14:val="tx1"/>
                  </w14:solidFill>
                </w14:textFill>
              </w:rPr>
            </w:pPr>
          </w:p>
        </w:tc>
        <w:tc>
          <w:tcPr>
            <w:tcW w:w="1701" w:type="dxa"/>
            <w:vMerge w:val="continue"/>
            <w:noWrap w:val="0"/>
            <w:tcMar>
              <w:left w:w="108" w:type="dxa"/>
              <w:right w:w="108" w:type="dxa"/>
            </w:tcMar>
            <w:vAlign w:val="center"/>
          </w:tcPr>
          <w:p>
            <w:pPr>
              <w:spacing w:line="200" w:lineRule="exact"/>
              <w:rPr>
                <w:rFonts w:ascii="黑体" w:hAnsi="黑体" w:eastAsia="黑体"/>
                <w:color w:val="000000" w:themeColor="text1"/>
                <w:szCs w:val="21"/>
                <w:highlight w:val="none"/>
                <w14:textFill>
                  <w14:solidFill>
                    <w14:schemeClr w14:val="tx1"/>
                  </w14:solidFill>
                </w14:textFill>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00000" w:themeColor="text1"/>
                <w:szCs w:val="21"/>
                <w:highlight w:val="none"/>
                <w14:textFill>
                  <w14:solidFill>
                    <w14:schemeClr w14:val="tx1"/>
                  </w14:solidFill>
                </w14:textFill>
              </w:rPr>
            </w:pPr>
            <w:r>
              <w:rPr>
                <w:rFonts w:hint="eastAsia" w:ascii="仿宋_GB2312" w:hAnsi="黑体" w:eastAsia="仿宋_GB2312"/>
                <w:color w:val="000000" w:themeColor="text1"/>
                <w:kern w:val="0"/>
                <w:szCs w:val="21"/>
                <w:highlight w:val="none"/>
                <w14:textFill>
                  <w14:solidFill>
                    <w14:schemeClr w14:val="tx1"/>
                  </w14:solidFill>
                </w14:textFill>
              </w:rPr>
              <w:t>4.无正当理由大量反复申请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highlight w:val="none"/>
                <w14:textFill>
                  <w14:solidFill>
                    <w14:schemeClr w14:val="tx1"/>
                  </w14:solidFill>
                </w14:textFill>
              </w:rPr>
            </w:pPr>
          </w:p>
        </w:tc>
        <w:tc>
          <w:tcPr>
            <w:tcW w:w="1701" w:type="dxa"/>
            <w:vMerge w:val="continue"/>
            <w:noWrap w:val="0"/>
            <w:tcMar>
              <w:left w:w="108" w:type="dxa"/>
              <w:right w:w="108" w:type="dxa"/>
            </w:tcMar>
            <w:vAlign w:val="center"/>
          </w:tcPr>
          <w:p>
            <w:pPr>
              <w:spacing w:line="200" w:lineRule="exact"/>
              <w:rPr>
                <w:rFonts w:ascii="黑体" w:hAnsi="黑体" w:eastAsia="黑体"/>
                <w:color w:val="000000" w:themeColor="text1"/>
                <w:szCs w:val="21"/>
                <w:highlight w:val="none"/>
                <w14:textFill>
                  <w14:solidFill>
                    <w14:schemeClr w14:val="tx1"/>
                  </w14:solidFill>
                </w14:textFill>
              </w:rPr>
            </w:pPr>
          </w:p>
        </w:tc>
        <w:tc>
          <w:tcPr>
            <w:tcW w:w="2976" w:type="dxa"/>
            <w:noWrap w:val="0"/>
            <w:tcMar>
              <w:left w:w="108" w:type="dxa"/>
              <w:right w:w="108" w:type="dxa"/>
            </w:tcMar>
            <w:vAlign w:val="center"/>
          </w:tcPr>
          <w:p>
            <w:pPr>
              <w:widowControl/>
              <w:spacing w:line="300" w:lineRule="exact"/>
              <w:rPr>
                <w:rFonts w:ascii="仿宋_GB2312" w:hAnsi="黑体" w:eastAsia="仿宋_GB2312"/>
                <w:color w:val="000000" w:themeColor="text1"/>
                <w:kern w:val="0"/>
                <w:szCs w:val="21"/>
                <w:highlight w:val="none"/>
                <w14:textFill>
                  <w14:solidFill>
                    <w14:schemeClr w14:val="tx1"/>
                  </w14:solidFill>
                </w14:textFill>
              </w:rPr>
            </w:pPr>
            <w:r>
              <w:rPr>
                <w:rFonts w:hint="eastAsia" w:ascii="仿宋_GB2312" w:hAnsi="黑体" w:eastAsia="仿宋_GB2312"/>
                <w:color w:val="000000" w:themeColor="text1"/>
                <w:kern w:val="0"/>
                <w:szCs w:val="21"/>
                <w:highlight w:val="none"/>
                <w14:textFill>
                  <w14:solidFill>
                    <w14:schemeClr w14:val="tx1"/>
                  </w14:solidFill>
                </w14:textFill>
              </w:rPr>
              <w:t>5.要求行政机关确认或重新</w:t>
            </w:r>
          </w:p>
          <w:p>
            <w:pPr>
              <w:widowControl/>
              <w:spacing w:line="300" w:lineRule="exact"/>
              <w:ind w:firstLine="210" w:firstLineChars="100"/>
              <w:rPr>
                <w:rFonts w:ascii="仿宋_GB2312" w:hAnsi="黑体" w:eastAsia="仿宋_GB2312"/>
                <w:color w:val="000000" w:themeColor="text1"/>
                <w:szCs w:val="21"/>
                <w:highlight w:val="none"/>
                <w14:textFill>
                  <w14:solidFill>
                    <w14:schemeClr w14:val="tx1"/>
                  </w14:solidFill>
                </w14:textFill>
              </w:rPr>
            </w:pPr>
            <w:r>
              <w:rPr>
                <w:rFonts w:hint="eastAsia" w:ascii="仿宋_GB2312" w:hAnsi="黑体" w:eastAsia="仿宋_GB2312"/>
                <w:color w:val="000000" w:themeColor="text1"/>
                <w:kern w:val="0"/>
                <w:szCs w:val="21"/>
                <w:highlight w:val="none"/>
                <w14:textFill>
                  <w14:solidFill>
                    <w14:schemeClr w14:val="tx1"/>
                  </w14:solidFill>
                </w14:textFill>
              </w:rPr>
              <w:t>出具已获取信息</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highlight w:val="none"/>
                <w14:textFill>
                  <w14:solidFill>
                    <w14:schemeClr w14:val="tx1"/>
                  </w14:solidFill>
                </w14:textFill>
              </w:rPr>
            </w:pPr>
          </w:p>
        </w:tc>
        <w:tc>
          <w:tcPr>
            <w:tcW w:w="1701" w:type="dxa"/>
            <w:vMerge w:val="restart"/>
            <w:noWrap w:val="0"/>
            <w:tcMar>
              <w:left w:w="108" w:type="dxa"/>
              <w:right w:w="108" w:type="dxa"/>
            </w:tcMar>
            <w:vAlign w:val="center"/>
          </w:tcPr>
          <w:p>
            <w:pPr>
              <w:widowControl/>
              <w:spacing w:line="300" w:lineRule="exact"/>
              <w:rPr>
                <w:rFonts w:ascii="黑体" w:hAnsi="黑体" w:eastAsia="黑体"/>
                <w:color w:val="000000" w:themeColor="text1"/>
                <w:kern w:val="0"/>
                <w:szCs w:val="21"/>
                <w:highlight w:val="none"/>
                <w14:textFill>
                  <w14:solidFill>
                    <w14:schemeClr w14:val="tx1"/>
                  </w14:solidFill>
                </w14:textFill>
              </w:rPr>
            </w:pPr>
            <w:r>
              <w:rPr>
                <w:rFonts w:hint="eastAsia" w:ascii="黑体" w:hAnsi="黑体" w:eastAsia="黑体"/>
                <w:color w:val="000000" w:themeColor="text1"/>
                <w:kern w:val="0"/>
                <w:szCs w:val="21"/>
                <w:highlight w:val="none"/>
                <w14:textFill>
                  <w14:solidFill>
                    <w14:schemeClr w14:val="tx1"/>
                  </w14:solidFill>
                </w14:textFill>
              </w:rPr>
              <w:t>（六）其他处理</w:t>
            </w:r>
          </w:p>
        </w:tc>
        <w:tc>
          <w:tcPr>
            <w:tcW w:w="2976" w:type="dxa"/>
            <w:noWrap w:val="0"/>
            <w:vAlign w:val="center"/>
          </w:tcPr>
          <w:p>
            <w:pPr>
              <w:widowControl/>
              <w:spacing w:line="300" w:lineRule="exact"/>
              <w:rPr>
                <w:rFonts w:ascii="仿宋_GB2312" w:hAnsi="楷体" w:eastAsia="仿宋_GB2312"/>
                <w:color w:val="000000" w:themeColor="text1"/>
                <w:highlight w:val="none"/>
                <w14:textFill>
                  <w14:solidFill>
                    <w14:schemeClr w14:val="tx1"/>
                  </w14:solidFill>
                </w14:textFill>
              </w:rPr>
            </w:pPr>
            <w:r>
              <w:rPr>
                <w:rFonts w:hint="eastAsia" w:ascii="仿宋_GB2312" w:hAnsi="楷体" w:eastAsia="仿宋_GB2312"/>
                <w:color w:val="000000" w:themeColor="text1"/>
                <w:highlight w:val="none"/>
                <w14:textFill>
                  <w14:solidFill>
                    <w14:schemeClr w14:val="tx1"/>
                  </w14:solidFill>
                </w14:textFill>
              </w:rPr>
              <w:t>1.申请人无正当理由逾期不补正、行政机关不再处理其政府信息公开申请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1</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highlight w:val="none"/>
                <w14:textFill>
                  <w14:solidFill>
                    <w14:schemeClr w14:val="tx1"/>
                  </w14:solidFill>
                </w14:textFill>
              </w:rPr>
            </w:pPr>
          </w:p>
        </w:tc>
        <w:tc>
          <w:tcPr>
            <w:tcW w:w="1701" w:type="dxa"/>
            <w:vMerge w:val="continue"/>
            <w:noWrap w:val="0"/>
            <w:tcMar>
              <w:left w:w="108" w:type="dxa"/>
              <w:right w:w="108" w:type="dxa"/>
            </w:tcMar>
            <w:vAlign w:val="center"/>
          </w:tcPr>
          <w:p>
            <w:pPr>
              <w:widowControl/>
              <w:spacing w:line="300" w:lineRule="exact"/>
              <w:rPr>
                <w:rFonts w:ascii="黑体" w:hAnsi="黑体" w:eastAsia="黑体"/>
                <w:color w:val="000000" w:themeColor="text1"/>
                <w:kern w:val="0"/>
                <w:szCs w:val="21"/>
                <w:highlight w:val="none"/>
                <w14:textFill>
                  <w14:solidFill>
                    <w14:schemeClr w14:val="tx1"/>
                  </w14:solidFill>
                </w14:textFill>
              </w:rPr>
            </w:pPr>
          </w:p>
        </w:tc>
        <w:tc>
          <w:tcPr>
            <w:tcW w:w="2976" w:type="dxa"/>
            <w:noWrap w:val="0"/>
            <w:vAlign w:val="center"/>
          </w:tcPr>
          <w:p>
            <w:pPr>
              <w:widowControl/>
              <w:spacing w:line="300" w:lineRule="exact"/>
              <w:rPr>
                <w:rFonts w:ascii="仿宋_GB2312" w:hAnsi="黑体" w:eastAsia="仿宋_GB2312"/>
                <w:color w:val="000000" w:themeColor="text1"/>
                <w:kern w:val="0"/>
                <w:szCs w:val="21"/>
                <w:highlight w:val="none"/>
                <w14:textFill>
                  <w14:solidFill>
                    <w14:schemeClr w14:val="tx1"/>
                  </w14:solidFill>
                </w14:textFill>
              </w:rPr>
            </w:pPr>
            <w:r>
              <w:rPr>
                <w:rFonts w:hint="eastAsia" w:ascii="仿宋_GB2312" w:hAnsi="楷体" w:eastAsia="仿宋_GB2312"/>
                <w:color w:val="000000" w:themeColor="text1"/>
                <w:highlight w:val="none"/>
                <w14:textFill>
                  <w14:solidFill>
                    <w14:schemeClr w14:val="tx1"/>
                  </w14:solidFill>
                </w14:textFill>
              </w:rPr>
              <w:t>2.申请人逾期未按收费通知要求缴纳费用、行政机关不再处理其政府信息公开申请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4</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highlight w:val="none"/>
                <w14:textFill>
                  <w14:solidFill>
                    <w14:schemeClr w14:val="tx1"/>
                  </w14:solidFill>
                </w14:textFill>
              </w:rPr>
            </w:pPr>
          </w:p>
        </w:tc>
        <w:tc>
          <w:tcPr>
            <w:tcW w:w="1701" w:type="dxa"/>
            <w:vMerge w:val="continue"/>
            <w:noWrap w:val="0"/>
            <w:tcMar>
              <w:left w:w="108" w:type="dxa"/>
              <w:right w:w="108" w:type="dxa"/>
            </w:tcMar>
            <w:vAlign w:val="center"/>
          </w:tcPr>
          <w:p>
            <w:pPr>
              <w:widowControl/>
              <w:spacing w:line="300" w:lineRule="exact"/>
              <w:rPr>
                <w:rFonts w:ascii="黑体" w:hAnsi="黑体" w:eastAsia="黑体"/>
                <w:color w:val="000000" w:themeColor="text1"/>
                <w:kern w:val="0"/>
                <w:szCs w:val="21"/>
                <w:highlight w:val="none"/>
                <w14:textFill>
                  <w14:solidFill>
                    <w14:schemeClr w14:val="tx1"/>
                  </w14:solidFill>
                </w14:textFill>
              </w:rPr>
            </w:pPr>
          </w:p>
        </w:tc>
        <w:tc>
          <w:tcPr>
            <w:tcW w:w="2976" w:type="dxa"/>
            <w:noWrap w:val="0"/>
            <w:vAlign w:val="center"/>
          </w:tcPr>
          <w:p>
            <w:pPr>
              <w:widowControl/>
              <w:spacing w:line="300" w:lineRule="exact"/>
              <w:rPr>
                <w:rFonts w:ascii="仿宋_GB2312" w:hAnsi="黑体" w:eastAsia="仿宋_GB2312"/>
                <w:color w:val="000000" w:themeColor="text1"/>
                <w:kern w:val="0"/>
                <w:szCs w:val="21"/>
                <w:highlight w:val="none"/>
                <w14:textFill>
                  <w14:solidFill>
                    <w14:schemeClr w14:val="tx1"/>
                  </w14:solidFill>
                </w14:textFill>
              </w:rPr>
            </w:pPr>
            <w:r>
              <w:rPr>
                <w:rFonts w:hint="eastAsia" w:ascii="仿宋_GB2312" w:hAnsi="楷体" w:eastAsia="仿宋_GB2312"/>
                <w:color w:val="000000" w:themeColor="text1"/>
                <w:highlight w:val="none"/>
                <w14:textFill>
                  <w14:solidFill>
                    <w14:schemeClr w14:val="tx1"/>
                  </w14:solidFill>
                </w14:textFill>
              </w:rPr>
              <w:t>3.其他</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2</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color w:val="000000" w:themeColor="text1"/>
                <w:szCs w:val="21"/>
                <w:highlight w:val="none"/>
                <w14:textFill>
                  <w14:solidFill>
                    <w14:schemeClr w14:val="tx1"/>
                  </w14:solidFill>
                </w14:textFill>
              </w:rPr>
            </w:pPr>
          </w:p>
        </w:tc>
        <w:tc>
          <w:tcPr>
            <w:tcW w:w="4677" w:type="dxa"/>
            <w:gridSpan w:val="2"/>
            <w:noWrap w:val="0"/>
            <w:tcMar>
              <w:left w:w="108" w:type="dxa"/>
              <w:right w:w="108" w:type="dxa"/>
            </w:tcMar>
            <w:vAlign w:val="center"/>
          </w:tcPr>
          <w:p>
            <w:pPr>
              <w:widowControl/>
              <w:spacing w:line="300" w:lineRule="exact"/>
              <w:rPr>
                <w:rFonts w:ascii="黑体" w:hAnsi="黑体" w:eastAsia="黑体"/>
                <w:color w:val="000000" w:themeColor="text1"/>
                <w:kern w:val="0"/>
                <w:szCs w:val="21"/>
                <w:highlight w:val="none"/>
                <w14:textFill>
                  <w14:solidFill>
                    <w14:schemeClr w14:val="tx1"/>
                  </w14:solidFill>
                </w14:textFill>
              </w:rPr>
            </w:pPr>
            <w:r>
              <w:rPr>
                <w:rFonts w:hint="eastAsia" w:ascii="黑体" w:hAnsi="黑体" w:eastAsia="黑体"/>
                <w:color w:val="000000" w:themeColor="text1"/>
                <w:kern w:val="0"/>
                <w:szCs w:val="21"/>
                <w:highlight w:val="none"/>
                <w14:textFill>
                  <w14:solidFill>
                    <w14:schemeClr w14:val="tx1"/>
                  </w14:solidFill>
                </w14:textFill>
              </w:rPr>
              <w:t>（七）总计</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84</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1</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pPr>
              <w:widowControl/>
              <w:spacing w:line="300" w:lineRule="exact"/>
              <w:rPr>
                <w:rFonts w:ascii="黑体" w:hAnsi="黑体" w:eastAsia="黑体"/>
                <w:color w:val="000000" w:themeColor="text1"/>
                <w:kern w:val="0"/>
                <w:szCs w:val="21"/>
                <w:highlight w:val="none"/>
                <w14:textFill>
                  <w14:solidFill>
                    <w14:schemeClr w14:val="tx1"/>
                  </w14:solidFill>
                </w14:textFill>
              </w:rPr>
            </w:pPr>
            <w:r>
              <w:rPr>
                <w:rFonts w:hint="eastAsia" w:ascii="黑体" w:hAnsi="黑体" w:eastAsia="黑体"/>
                <w:color w:val="000000" w:themeColor="text1"/>
                <w:kern w:val="0"/>
                <w:szCs w:val="21"/>
                <w:highlight w:val="none"/>
                <w14:textFill>
                  <w14:solidFill>
                    <w14:schemeClr w14:val="tx1"/>
                  </w14:solidFill>
                </w14:textFill>
              </w:rPr>
              <w:t>四、结转下年度继续办理</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5</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highlight w:val="none"/>
                <w:lang w:val="en-US"/>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5</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6" w:firstLineChars="0"/>
        <w:textAlignment w:val="auto"/>
        <w:rPr>
          <w:rFonts w:ascii="黑体" w:hAnsi="宋体" w:eastAsia="黑体" w:cs="黑体"/>
          <w:i w:val="0"/>
          <w:iCs w:val="0"/>
          <w:caps w:val="0"/>
          <w:color w:val="000000"/>
          <w:spacing w:val="0"/>
          <w:sz w:val="31"/>
          <w:szCs w:val="31"/>
          <w:highlight w:val="none"/>
          <w:shd w:val="clear" w:fill="FFFFFF"/>
        </w:rPr>
      </w:pPr>
      <w:r>
        <w:rPr>
          <w:rFonts w:ascii="黑体" w:hAnsi="宋体" w:eastAsia="黑体" w:cs="黑体"/>
          <w:i w:val="0"/>
          <w:iCs w:val="0"/>
          <w:caps w:val="0"/>
          <w:color w:val="000000"/>
          <w:spacing w:val="0"/>
          <w:sz w:val="31"/>
          <w:szCs w:val="31"/>
          <w:highlight w:val="none"/>
          <w:shd w:val="clear" w:fill="FFFFFF"/>
        </w:rPr>
        <w:t>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highlight w:val="none"/>
              </w:rPr>
            </w:pPr>
            <w:r>
              <w:rPr>
                <w:rFonts w:ascii="黑体" w:hAnsi="黑体" w:eastAsia="黑体"/>
                <w:kern w:val="0"/>
                <w:sz w:val="20"/>
                <w:szCs w:val="20"/>
                <w:highlight w:val="none"/>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highlight w:val="none"/>
              </w:rPr>
            </w:pPr>
            <w:r>
              <w:rPr>
                <w:rFonts w:ascii="黑体" w:hAnsi="黑体" w:eastAsia="黑体"/>
                <w:kern w:val="0"/>
                <w:sz w:val="20"/>
                <w:szCs w:val="20"/>
                <w:highlight w:val="none"/>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ascii="黑体" w:hAnsi="黑体" w:eastAsia="黑体"/>
                <w:kern w:val="0"/>
                <w:sz w:val="20"/>
                <w:szCs w:val="20"/>
                <w:highlight w:val="none"/>
              </w:rPr>
            </w:pPr>
            <w:r>
              <w:rPr>
                <w:rFonts w:ascii="黑体" w:hAnsi="黑体" w:eastAsia="黑体"/>
                <w:kern w:val="0"/>
                <w:sz w:val="20"/>
                <w:szCs w:val="20"/>
                <w:highlight w:val="none"/>
              </w:rPr>
              <w:t>结果</w:t>
            </w:r>
          </w:p>
          <w:p>
            <w:pPr>
              <w:widowControl/>
              <w:ind w:left="-149" w:leftChars="-71" w:right="-170" w:rightChars="-81"/>
              <w:jc w:val="center"/>
              <w:rPr>
                <w:rFonts w:ascii="黑体" w:hAnsi="黑体" w:eastAsia="黑体"/>
                <w:highlight w:val="none"/>
              </w:rPr>
            </w:pPr>
            <w:r>
              <w:rPr>
                <w:rFonts w:ascii="黑体" w:hAnsi="黑体" w:eastAsia="黑体"/>
                <w:kern w:val="0"/>
                <w:sz w:val="20"/>
                <w:szCs w:val="20"/>
                <w:highlight w:val="none"/>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ind w:left="-43" w:leftChars="-21" w:right="-132" w:rightChars="-63" w:hanging="1"/>
              <w:jc w:val="center"/>
              <w:rPr>
                <w:rFonts w:ascii="黑体" w:hAnsi="黑体" w:eastAsia="黑体"/>
                <w:highlight w:val="none"/>
              </w:rPr>
            </w:pPr>
            <w:r>
              <w:rPr>
                <w:rFonts w:ascii="黑体" w:hAnsi="黑体" w:eastAsia="黑体"/>
                <w:kern w:val="0"/>
                <w:sz w:val="20"/>
                <w:szCs w:val="20"/>
                <w:highlight w:val="none"/>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82" w:leftChars="-39" w:right="-97" w:rightChars="-46"/>
              <w:jc w:val="center"/>
              <w:rPr>
                <w:rFonts w:ascii="黑体" w:hAnsi="黑体" w:eastAsia="黑体"/>
                <w:highlight w:val="none"/>
              </w:rPr>
            </w:pPr>
            <w:r>
              <w:rPr>
                <w:rFonts w:ascii="黑体" w:hAnsi="黑体" w:eastAsia="黑体"/>
                <w:kern w:val="0"/>
                <w:sz w:val="20"/>
                <w:szCs w:val="20"/>
                <w:highlight w:val="none"/>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18" w:leftChars="-56" w:right="-118" w:rightChars="-56"/>
              <w:jc w:val="center"/>
              <w:rPr>
                <w:rFonts w:ascii="黑体" w:hAnsi="黑体" w:eastAsia="黑体"/>
                <w:kern w:val="0"/>
                <w:sz w:val="20"/>
                <w:szCs w:val="20"/>
                <w:highlight w:val="none"/>
              </w:rPr>
            </w:pPr>
            <w:r>
              <w:rPr>
                <w:rFonts w:ascii="黑体" w:hAnsi="黑体" w:eastAsia="黑体"/>
                <w:kern w:val="0"/>
                <w:sz w:val="20"/>
                <w:szCs w:val="20"/>
                <w:highlight w:val="none"/>
              </w:rPr>
              <w:t>尚未</w:t>
            </w:r>
          </w:p>
          <w:p>
            <w:pPr>
              <w:widowControl/>
              <w:ind w:left="-118" w:leftChars="-56" w:right="-118" w:rightChars="-56"/>
              <w:jc w:val="center"/>
              <w:rPr>
                <w:rFonts w:ascii="黑体" w:hAnsi="黑体" w:eastAsia="黑体"/>
                <w:highlight w:val="none"/>
              </w:rPr>
            </w:pPr>
            <w:r>
              <w:rPr>
                <w:rFonts w:ascii="黑体" w:hAnsi="黑体" w:eastAsia="黑体"/>
                <w:kern w:val="0"/>
                <w:sz w:val="20"/>
                <w:szCs w:val="20"/>
                <w:highlight w:val="none"/>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rFonts w:ascii="黑体" w:hAnsi="黑体" w:eastAsia="黑体"/>
                <w:kern w:val="0"/>
                <w:sz w:val="20"/>
                <w:szCs w:val="20"/>
                <w:highlight w:val="none"/>
              </w:rPr>
            </w:pPr>
            <w:r>
              <w:rPr>
                <w:rFonts w:ascii="黑体" w:hAnsi="黑体" w:eastAsia="黑体"/>
                <w:kern w:val="0"/>
                <w:sz w:val="20"/>
                <w:szCs w:val="20"/>
                <w:highlight w:val="none"/>
              </w:rPr>
              <w:t>总</w:t>
            </w:r>
          </w:p>
          <w:p>
            <w:pPr>
              <w:widowControl/>
              <w:spacing w:line="320" w:lineRule="exact"/>
              <w:jc w:val="center"/>
              <w:rPr>
                <w:rFonts w:ascii="黑体" w:hAnsi="黑体" w:eastAsia="黑体"/>
                <w:highlight w:val="none"/>
              </w:rPr>
            </w:pPr>
            <w:r>
              <w:rPr>
                <w:rFonts w:ascii="黑体" w:hAnsi="黑体" w:eastAsia="黑体"/>
                <w:kern w:val="0"/>
                <w:sz w:val="20"/>
                <w:szCs w:val="20"/>
                <w:highlight w:val="none"/>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highlight w:val="none"/>
              </w:rPr>
            </w:pPr>
            <w:r>
              <w:rPr>
                <w:rFonts w:ascii="黑体" w:hAnsi="黑体" w:eastAsia="黑体"/>
                <w:kern w:val="0"/>
                <w:sz w:val="20"/>
                <w:szCs w:val="20"/>
                <w:highlight w:val="none"/>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highlight w:val="none"/>
              </w:rPr>
            </w:pPr>
            <w:bookmarkStart w:id="9" w:name="_Hlk67039688"/>
            <w:r>
              <w:rPr>
                <w:rFonts w:ascii="黑体" w:hAnsi="黑体" w:eastAsia="黑体"/>
                <w:kern w:val="0"/>
                <w:sz w:val="20"/>
                <w:szCs w:val="20"/>
                <w:highlight w:val="none"/>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黑体" w:hAnsi="黑体" w:eastAsia="黑体"/>
                <w:sz w:val="24"/>
                <w:highlight w:val="none"/>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highlight w:val="none"/>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highlight w:val="none"/>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highlight w:val="none"/>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highlight w:val="none"/>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ind w:left="-105" w:leftChars="-50" w:right="-126" w:rightChars="-60"/>
              <w:jc w:val="center"/>
              <w:rPr>
                <w:rFonts w:ascii="黑体" w:hAnsi="黑体" w:eastAsia="黑体"/>
                <w:highlight w:val="none"/>
              </w:rPr>
            </w:pPr>
            <w:r>
              <w:rPr>
                <w:rFonts w:ascii="黑体" w:hAnsi="黑体" w:eastAsia="黑体"/>
                <w:kern w:val="0"/>
                <w:sz w:val="20"/>
                <w:szCs w:val="20"/>
                <w:highlight w:val="none"/>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ind w:left="-86" w:leftChars="-41" w:right="-88" w:rightChars="-42"/>
              <w:jc w:val="center"/>
              <w:rPr>
                <w:rFonts w:ascii="黑体" w:hAnsi="黑体" w:eastAsia="黑体"/>
                <w:highlight w:val="none"/>
              </w:rPr>
            </w:pPr>
            <w:r>
              <w:rPr>
                <w:rFonts w:ascii="黑体" w:hAnsi="黑体" w:eastAsia="黑体"/>
                <w:kern w:val="0"/>
                <w:sz w:val="20"/>
                <w:szCs w:val="20"/>
                <w:highlight w:val="none"/>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26" w:leftChars="-60" w:right="-136" w:rightChars="-65"/>
              <w:jc w:val="center"/>
              <w:rPr>
                <w:rFonts w:ascii="黑体" w:hAnsi="黑体" w:eastAsia="黑体"/>
                <w:kern w:val="0"/>
                <w:sz w:val="20"/>
                <w:szCs w:val="20"/>
                <w:highlight w:val="none"/>
              </w:rPr>
            </w:pPr>
            <w:r>
              <w:rPr>
                <w:rFonts w:ascii="黑体" w:hAnsi="黑体" w:eastAsia="黑体"/>
                <w:kern w:val="0"/>
                <w:sz w:val="20"/>
                <w:szCs w:val="20"/>
                <w:highlight w:val="none"/>
              </w:rPr>
              <w:t>其他</w:t>
            </w:r>
          </w:p>
          <w:p>
            <w:pPr>
              <w:widowControl/>
              <w:ind w:left="-126" w:leftChars="-60" w:right="-136" w:rightChars="-65"/>
              <w:jc w:val="center"/>
              <w:rPr>
                <w:rFonts w:ascii="黑体" w:hAnsi="黑体" w:eastAsia="黑体"/>
                <w:highlight w:val="none"/>
              </w:rPr>
            </w:pPr>
            <w:r>
              <w:rPr>
                <w:rFonts w:ascii="黑体" w:hAnsi="黑体" w:eastAsia="黑体"/>
                <w:kern w:val="0"/>
                <w:sz w:val="20"/>
                <w:szCs w:val="20"/>
                <w:highlight w:val="none"/>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64" w:leftChars="-78" w:right="-153" w:rightChars="-73"/>
              <w:jc w:val="center"/>
              <w:rPr>
                <w:rFonts w:ascii="黑体" w:hAnsi="黑体" w:eastAsia="黑体"/>
                <w:kern w:val="0"/>
                <w:sz w:val="20"/>
                <w:szCs w:val="20"/>
                <w:highlight w:val="none"/>
              </w:rPr>
            </w:pPr>
            <w:r>
              <w:rPr>
                <w:rFonts w:ascii="黑体" w:hAnsi="黑体" w:eastAsia="黑体"/>
                <w:kern w:val="0"/>
                <w:sz w:val="20"/>
                <w:szCs w:val="20"/>
                <w:highlight w:val="none"/>
              </w:rPr>
              <w:t>尚未</w:t>
            </w:r>
          </w:p>
          <w:p>
            <w:pPr>
              <w:widowControl/>
              <w:ind w:left="-164" w:leftChars="-78" w:right="-153" w:rightChars="-73"/>
              <w:jc w:val="center"/>
              <w:rPr>
                <w:rFonts w:ascii="黑体" w:hAnsi="黑体" w:eastAsia="黑体"/>
                <w:highlight w:val="none"/>
              </w:rPr>
            </w:pPr>
            <w:r>
              <w:rPr>
                <w:rFonts w:ascii="黑体" w:hAnsi="黑体" w:eastAsia="黑体"/>
                <w:kern w:val="0"/>
                <w:sz w:val="20"/>
                <w:szCs w:val="20"/>
                <w:highlight w:val="none"/>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highlight w:val="none"/>
              </w:rPr>
            </w:pPr>
            <w:r>
              <w:rPr>
                <w:rFonts w:ascii="黑体" w:hAnsi="黑体" w:eastAsia="黑体"/>
                <w:kern w:val="0"/>
                <w:sz w:val="20"/>
                <w:szCs w:val="20"/>
                <w:highlight w:val="none"/>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99" w:leftChars="-47" w:right="-78" w:rightChars="-37"/>
              <w:jc w:val="center"/>
              <w:rPr>
                <w:rFonts w:ascii="黑体" w:hAnsi="黑体" w:eastAsia="黑体"/>
                <w:highlight w:val="none"/>
              </w:rPr>
            </w:pPr>
            <w:r>
              <w:rPr>
                <w:rFonts w:ascii="黑体" w:hAnsi="黑体" w:eastAsia="黑体"/>
                <w:kern w:val="0"/>
                <w:sz w:val="20"/>
                <w:szCs w:val="20"/>
                <w:highlight w:val="none"/>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36" w:leftChars="-65" w:right="-124" w:rightChars="-59"/>
              <w:jc w:val="center"/>
              <w:rPr>
                <w:rFonts w:ascii="黑体" w:hAnsi="黑体" w:eastAsia="黑体"/>
                <w:kern w:val="0"/>
                <w:sz w:val="20"/>
                <w:szCs w:val="20"/>
                <w:highlight w:val="none"/>
              </w:rPr>
            </w:pPr>
            <w:r>
              <w:rPr>
                <w:rFonts w:ascii="黑体" w:hAnsi="黑体" w:eastAsia="黑体"/>
                <w:kern w:val="0"/>
                <w:sz w:val="20"/>
                <w:szCs w:val="20"/>
                <w:highlight w:val="none"/>
              </w:rPr>
              <w:t>结果</w:t>
            </w:r>
          </w:p>
          <w:p>
            <w:pPr>
              <w:widowControl/>
              <w:ind w:left="-136" w:leftChars="-65" w:right="-124" w:rightChars="-59"/>
              <w:jc w:val="center"/>
              <w:rPr>
                <w:rFonts w:ascii="黑体" w:hAnsi="黑体" w:eastAsia="黑体"/>
                <w:highlight w:val="none"/>
              </w:rPr>
            </w:pPr>
            <w:r>
              <w:rPr>
                <w:rFonts w:ascii="黑体" w:hAnsi="黑体" w:eastAsia="黑体"/>
                <w:kern w:val="0"/>
                <w:sz w:val="20"/>
                <w:szCs w:val="20"/>
                <w:highlight w:val="none"/>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73" w:leftChars="-83" w:right="-134" w:rightChars="-64" w:hanging="1"/>
              <w:jc w:val="center"/>
              <w:rPr>
                <w:rFonts w:ascii="黑体" w:hAnsi="黑体" w:eastAsia="黑体"/>
                <w:kern w:val="0"/>
                <w:sz w:val="20"/>
                <w:szCs w:val="20"/>
                <w:highlight w:val="none"/>
              </w:rPr>
            </w:pPr>
            <w:r>
              <w:rPr>
                <w:rFonts w:ascii="黑体" w:hAnsi="黑体" w:eastAsia="黑体"/>
                <w:kern w:val="0"/>
                <w:sz w:val="20"/>
                <w:szCs w:val="20"/>
                <w:highlight w:val="none"/>
              </w:rPr>
              <w:t>其他</w:t>
            </w:r>
          </w:p>
          <w:p>
            <w:pPr>
              <w:widowControl/>
              <w:ind w:left="-173" w:leftChars="-83" w:right="-134" w:rightChars="-64" w:hanging="1"/>
              <w:jc w:val="center"/>
              <w:rPr>
                <w:rFonts w:ascii="黑体" w:hAnsi="黑体" w:eastAsia="黑体"/>
                <w:highlight w:val="none"/>
              </w:rPr>
            </w:pPr>
            <w:r>
              <w:rPr>
                <w:rFonts w:ascii="黑体" w:hAnsi="黑体" w:eastAsia="黑体"/>
                <w:kern w:val="0"/>
                <w:sz w:val="20"/>
                <w:szCs w:val="20"/>
                <w:highlight w:val="none"/>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67" w:leftChars="-33" w:right="-105" w:rightChars="-50" w:hanging="2" w:hangingChars="1"/>
              <w:jc w:val="center"/>
              <w:rPr>
                <w:rFonts w:ascii="黑体" w:hAnsi="黑体" w:eastAsia="黑体"/>
                <w:highlight w:val="none"/>
              </w:rPr>
            </w:pPr>
            <w:r>
              <w:rPr>
                <w:rFonts w:ascii="黑体" w:hAnsi="黑体" w:eastAsia="黑体"/>
                <w:kern w:val="0"/>
                <w:sz w:val="20"/>
                <w:szCs w:val="20"/>
                <w:highlight w:val="none"/>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highlight w:val="none"/>
              </w:rPr>
            </w:pPr>
            <w:r>
              <w:rPr>
                <w:rFonts w:ascii="黑体" w:hAnsi="黑体" w:eastAsia="黑体"/>
                <w:kern w:val="0"/>
                <w:sz w:val="20"/>
                <w:szCs w:val="20"/>
                <w:highlight w:val="none"/>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highlight w:val="none"/>
                <w:lang w:val="en-US" w:eastAsia="zh-CN"/>
              </w:rPr>
            </w:pPr>
            <w:r>
              <w:rPr>
                <w:rFonts w:hint="eastAsia" w:ascii="Times New Roman" w:hAnsi="Times New Roman"/>
                <w:highlight w:val="none"/>
                <w:lang w:val="en-US" w:eastAsia="zh-CN"/>
              </w:rPr>
              <w:t>1</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highlight w:val="none"/>
                <w:lang w:val="en-US" w:eastAsia="zh-CN"/>
              </w:rPr>
            </w:pPr>
            <w:r>
              <w:rPr>
                <w:rFonts w:hint="eastAsia" w:ascii="Times New Roman" w:hAnsi="Times New Roman"/>
                <w:highlight w:val="none"/>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highlight w:val="none"/>
                <w:lang w:val="en-US" w:eastAsia="zh-CN"/>
              </w:rPr>
            </w:pPr>
            <w:r>
              <w:rPr>
                <w:rFonts w:hint="eastAsia" w:ascii="Times New Roman" w:hAnsi="Times New Roman"/>
                <w:highlight w:val="none"/>
                <w:lang w:val="en-US" w:eastAsia="zh-CN"/>
              </w:rPr>
              <w:t>1</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highlight w:val="none"/>
                <w:lang w:val="en-US" w:eastAsia="zh-CN"/>
              </w:rPr>
            </w:pPr>
            <w:r>
              <w:rPr>
                <w:rFonts w:hint="eastAsia" w:ascii="Times New Roman" w:hAnsi="Times New Roman"/>
                <w:highlight w:val="none"/>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highlight w:val="none"/>
                <w:lang w:val="en-US" w:eastAsia="zh-CN"/>
              </w:rPr>
            </w:pPr>
            <w:r>
              <w:rPr>
                <w:rFonts w:hint="eastAsia" w:ascii="Times New Roman" w:hAnsi="Times New Roman"/>
                <w:highlight w:val="none"/>
                <w:lang w:val="en-US" w:eastAsia="zh-CN"/>
              </w:rPr>
              <w:t>2</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Theme="minorEastAsia"/>
                <w:highlight w:val="none"/>
                <w:lang w:val="en-US" w:eastAsia="zh-CN"/>
              </w:rPr>
            </w:pPr>
            <w:r>
              <w:rPr>
                <w:rFonts w:hint="eastAsia" w:ascii="Times New Roman" w:hAnsi="Times New Roman"/>
                <w:highlight w:val="none"/>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highlight w:val="none"/>
                <w:lang w:val="en-US" w:eastAsia="zh-CN"/>
              </w:rPr>
            </w:pPr>
            <w:r>
              <w:rPr>
                <w:rFonts w:hint="eastAsia" w:ascii="Times New Roman" w:hAnsi="Times New Roman"/>
                <w:highlight w:val="none"/>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highlight w:val="none"/>
                <w:lang w:val="en-US" w:eastAsia="zh-CN"/>
              </w:rPr>
            </w:pPr>
            <w:r>
              <w:rPr>
                <w:rFonts w:hint="eastAsia" w:ascii="Times New Roman" w:hAnsi="Times New Roman"/>
                <w:highlight w:val="none"/>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highlight w:val="none"/>
                <w:lang w:val="en-US" w:eastAsia="zh-CN"/>
              </w:rPr>
            </w:pPr>
            <w:r>
              <w:rPr>
                <w:rFonts w:hint="eastAsia" w:ascii="Times New Roman" w:hAnsi="Times New Roman"/>
                <w:highlight w:val="none"/>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Theme="minorEastAsia"/>
                <w:highlight w:val="none"/>
                <w:lang w:val="en-US" w:eastAsia="zh-CN"/>
              </w:rPr>
            </w:pPr>
            <w:r>
              <w:rPr>
                <w:rFonts w:hint="eastAsia" w:ascii="Times New Roman" w:hAnsi="Times New Roman"/>
                <w:highlight w:val="none"/>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rPr>
                <w:rFonts w:hint="default" w:ascii="Times New Roman" w:hAnsi="Times New Roman" w:eastAsiaTheme="minorEastAsia"/>
                <w:highlight w:val="none"/>
                <w:lang w:val="en-US" w:eastAsia="zh-CN"/>
              </w:rPr>
            </w:pPr>
            <w:r>
              <w:rPr>
                <w:rFonts w:hint="eastAsia" w:ascii="Times New Roman" w:hAnsi="Times New Roman"/>
                <w:highlight w:val="none"/>
                <w:lang w:val="en-US" w:eastAsia="zh-CN"/>
              </w:rPr>
              <w:t xml:space="preserve"> 1</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highlight w:val="none"/>
                <w:lang w:val="en-US" w:eastAsia="zh-CN"/>
              </w:rPr>
            </w:pPr>
            <w:r>
              <w:rPr>
                <w:rFonts w:hint="eastAsia" w:ascii="Times New Roman" w:hAnsi="Times New Roman"/>
                <w:highlight w:val="none"/>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highlight w:val="none"/>
                <w:lang w:val="en-US" w:eastAsia="zh-CN"/>
              </w:rPr>
            </w:pPr>
            <w:r>
              <w:rPr>
                <w:rFonts w:hint="eastAsia" w:ascii="Times New Roman" w:hAnsi="Times New Roman"/>
                <w:highlight w:val="none"/>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highlight w:val="none"/>
                <w:lang w:val="en-US" w:eastAsia="zh-CN"/>
              </w:rPr>
            </w:pPr>
            <w:r>
              <w:rPr>
                <w:rFonts w:hint="eastAsia" w:ascii="Times New Roman" w:hAnsi="Times New Roman"/>
                <w:highlight w:val="none"/>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highlight w:val="none"/>
                <w:lang w:val="en-US" w:eastAsia="zh-CN"/>
              </w:rPr>
            </w:pPr>
            <w:r>
              <w:rPr>
                <w:rFonts w:hint="eastAsia" w:ascii="Times New Roman" w:hAnsi="Times New Roman"/>
                <w:highlight w:val="none"/>
                <w:lang w:val="en-US" w:eastAsia="zh-CN"/>
              </w:rPr>
              <w:t xml:space="preserve">1 </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黑体" w:hAnsi="黑体" w:eastAsia="黑体" w:cs="黑体"/>
          <w:i w:val="0"/>
          <w:iCs w:val="0"/>
          <w:caps w:val="0"/>
          <w:color w:val="auto"/>
          <w:spacing w:val="0"/>
          <w:sz w:val="32"/>
          <w:szCs w:val="32"/>
          <w:shd w:val="clear" w:fill="FFFFFF"/>
          <w:vertAlign w:val="baseline"/>
        </w:rPr>
      </w:pPr>
      <w:r>
        <w:rPr>
          <w:rFonts w:hint="eastAsia" w:ascii="黑体" w:hAnsi="黑体" w:eastAsia="黑体" w:cs="黑体"/>
          <w:i w:val="0"/>
          <w:iCs w:val="0"/>
          <w:caps w:val="0"/>
          <w:color w:val="auto"/>
          <w:spacing w:val="0"/>
          <w:sz w:val="32"/>
          <w:szCs w:val="32"/>
          <w:shd w:val="clear" w:fill="FFFFFF"/>
          <w:vertAlign w:val="baseline"/>
        </w:rPr>
        <w:t>五、存在的主要问题及改进情况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highlight w:val="none"/>
          <w:shd w:val="clear" w:fill="FFFFFF"/>
        </w:rPr>
        <w:t>202</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5</w:t>
      </w:r>
      <w:r>
        <w:rPr>
          <w:rFonts w:hint="eastAsia" w:ascii="仿宋_GB2312" w:hAnsi="仿宋_GB2312" w:eastAsia="仿宋_GB2312" w:cs="仿宋_GB2312"/>
          <w:i w:val="0"/>
          <w:iCs w:val="0"/>
          <w:caps w:val="0"/>
          <w:color w:val="auto"/>
          <w:spacing w:val="0"/>
          <w:sz w:val="32"/>
          <w:szCs w:val="32"/>
          <w:highlight w:val="none"/>
          <w:shd w:val="clear" w:fill="FFFFFF"/>
        </w:rPr>
        <w:t>年，</w:t>
      </w:r>
      <w:r>
        <w:rPr>
          <w:rFonts w:hint="eastAsia" w:ascii="仿宋_GB2312" w:hAnsi="仿宋_GB2312" w:eastAsia="仿宋_GB2312" w:cs="仿宋_GB2312"/>
          <w:i w:val="0"/>
          <w:iCs w:val="0"/>
          <w:caps w:val="0"/>
          <w:color w:val="auto"/>
          <w:spacing w:val="0"/>
          <w:sz w:val="32"/>
          <w:szCs w:val="32"/>
          <w:highlight w:val="none"/>
          <w:shd w:val="clear" w:fill="FFFFFF"/>
          <w:lang w:eastAsia="zh-CN"/>
        </w:rPr>
        <w:t>我</w:t>
      </w:r>
      <w:r>
        <w:rPr>
          <w:rFonts w:hint="eastAsia" w:ascii="仿宋_GB2312" w:hAnsi="仿宋_GB2312" w:eastAsia="仿宋_GB2312" w:cs="仿宋_GB2312"/>
          <w:i w:val="0"/>
          <w:iCs w:val="0"/>
          <w:caps w:val="0"/>
          <w:color w:val="auto"/>
          <w:spacing w:val="0"/>
          <w:sz w:val="32"/>
          <w:szCs w:val="32"/>
          <w:highlight w:val="none"/>
          <w:shd w:val="clear" w:fill="FFFFFF"/>
        </w:rPr>
        <w:t>局政府信息公开工作在</w:t>
      </w:r>
      <w:r>
        <w:rPr>
          <w:rFonts w:hint="eastAsia" w:ascii="仿宋_GB2312" w:hAnsi="仿宋_GB2312" w:eastAsia="仿宋_GB2312" w:cs="仿宋_GB2312"/>
          <w:i w:val="0"/>
          <w:iCs w:val="0"/>
          <w:caps w:val="0"/>
          <w:color w:val="auto"/>
          <w:spacing w:val="0"/>
          <w:sz w:val="32"/>
          <w:szCs w:val="32"/>
          <w:shd w:val="clear" w:fill="FFFFFF"/>
        </w:rPr>
        <w:t>服务群众、促进沟通等方面取得了一定成绩，但仍存在一些不足之处。一是部分科室、单位工作人员信息公开意识不强，信息发布、政策解读存在滞后现象。二是政务新媒体专业知识不足，没能充分发挥利用政务新媒体解读回应、宣传引导的作用。下一步，一是加大培训力度，组织政府信息公开专题培训，切实提高干部职工对信息公开重要性的认识，增强工作的主动性和自觉性。二是加强督促指导，督促各科室、单位按照“谁起草、谁解读”原则，及时跟进发布权威解读，积极回应群众关切。三是强化平台建设，提升政务新媒体运营业务水平，借助媒体在线访谈、政策现场宣传活动、报刊专题报道等形式，拓宽信息公开渠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黑体" w:hAnsi="黑体" w:eastAsia="黑体" w:cs="黑体"/>
          <w:i w:val="0"/>
          <w:iCs w:val="0"/>
          <w:caps w:val="0"/>
          <w:color w:val="auto"/>
          <w:spacing w:val="0"/>
          <w:sz w:val="32"/>
          <w:szCs w:val="32"/>
          <w:shd w:val="clear" w:fill="FFFFFF"/>
          <w:vertAlign w:val="baseline"/>
        </w:rPr>
      </w:pPr>
      <w:r>
        <w:rPr>
          <w:rFonts w:hint="eastAsia" w:ascii="黑体" w:hAnsi="黑体" w:eastAsia="黑体" w:cs="黑体"/>
          <w:i w:val="0"/>
          <w:iCs w:val="0"/>
          <w:caps w:val="0"/>
          <w:color w:val="auto"/>
          <w:spacing w:val="0"/>
          <w:sz w:val="32"/>
          <w:szCs w:val="32"/>
          <w:shd w:val="clear" w:fill="FFFFFF"/>
          <w:vertAlign w:val="baseline"/>
        </w:rPr>
        <w:t>六、其他需要报告的事项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1.</w:t>
      </w:r>
      <w:r>
        <w:rPr>
          <w:rFonts w:hint="eastAsia" w:ascii="仿宋_GB2312" w:hAnsi="仿宋_GB2312" w:eastAsia="仿宋_GB2312" w:cs="仿宋_GB2312"/>
          <w:i w:val="0"/>
          <w:iCs w:val="0"/>
          <w:caps w:val="0"/>
          <w:color w:val="auto"/>
          <w:spacing w:val="0"/>
          <w:sz w:val="32"/>
          <w:szCs w:val="32"/>
          <w:shd w:val="clear" w:fill="FFFFFF"/>
          <w:lang w:eastAsia="zh-CN"/>
        </w:rPr>
        <w:t>收取信息处理费情况方面。</w:t>
      </w: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lang w:eastAsia="zh-CN"/>
        </w:rPr>
        <w:t>年度，本单位收取信息处</w:t>
      </w:r>
      <w:r>
        <w:rPr>
          <w:rFonts w:hint="eastAsia" w:ascii="仿宋_GB2312" w:hAnsi="仿宋_GB2312" w:eastAsia="仿宋_GB2312" w:cs="仿宋_GB2312"/>
          <w:i w:val="0"/>
          <w:iCs w:val="0"/>
          <w:caps w:val="0"/>
          <w:color w:val="auto"/>
          <w:spacing w:val="0"/>
          <w:sz w:val="32"/>
          <w:szCs w:val="32"/>
          <w:highlight w:val="none"/>
          <w:shd w:val="clear" w:fill="FFFFFF"/>
          <w:lang w:eastAsia="zh-CN"/>
        </w:rPr>
        <w:t>理费</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450</w:t>
      </w:r>
      <w:r>
        <w:rPr>
          <w:rFonts w:hint="eastAsia" w:ascii="仿宋_GB2312" w:hAnsi="仿宋_GB2312" w:eastAsia="仿宋_GB2312" w:cs="仿宋_GB2312"/>
          <w:i w:val="0"/>
          <w:iCs w:val="0"/>
          <w:caps w:val="0"/>
          <w:color w:val="auto"/>
          <w:spacing w:val="0"/>
          <w:sz w:val="32"/>
          <w:szCs w:val="32"/>
          <w:highlight w:val="none"/>
          <w:shd w:val="clear" w:fill="FFFFFF"/>
          <w:lang w:eastAsia="zh-CN"/>
        </w:rPr>
        <w:t>元整</w:t>
      </w:r>
      <w:r>
        <w:rPr>
          <w:rFonts w:hint="eastAsia" w:ascii="仿宋_GB2312" w:hAnsi="仿宋_GB2312" w:eastAsia="仿宋_GB2312" w:cs="仿宋_GB2312"/>
          <w:i w:val="0"/>
          <w:iCs w:val="0"/>
          <w:caps w:val="0"/>
          <w:color w:val="auto"/>
          <w:spacing w:val="0"/>
          <w:sz w:val="32"/>
          <w:szCs w:val="32"/>
          <w:shd w:val="clear" w:fill="FFFFFF"/>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2.</w:t>
      </w:r>
      <w:r>
        <w:rPr>
          <w:rFonts w:hint="eastAsia" w:ascii="仿宋_GB2312" w:hAnsi="仿宋_GB2312" w:eastAsia="仿宋_GB2312" w:cs="仿宋_GB2312"/>
          <w:i w:val="0"/>
          <w:iCs w:val="0"/>
          <w:caps w:val="0"/>
          <w:color w:val="auto"/>
          <w:spacing w:val="0"/>
          <w:sz w:val="32"/>
          <w:szCs w:val="32"/>
          <w:shd w:val="clear" w:fill="FFFFFF"/>
          <w:lang w:eastAsia="zh-CN"/>
        </w:rPr>
        <w:t>落实上级年度政务公开工作要点情况。围绕重点领域信息公开、政策发布解读与回应、政民互动、基层政务公开标准化规范化建设和工作保障和落实逐项明确责任主体和完成时限。</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3.</w:t>
      </w:r>
      <w:r>
        <w:rPr>
          <w:rFonts w:hint="eastAsia" w:ascii="仿宋_GB2312" w:hAnsi="仿宋_GB2312" w:eastAsia="仿宋_GB2312" w:cs="仿宋_GB2312"/>
          <w:i w:val="0"/>
          <w:iCs w:val="0"/>
          <w:caps w:val="0"/>
          <w:color w:val="auto"/>
          <w:spacing w:val="0"/>
          <w:sz w:val="32"/>
          <w:szCs w:val="32"/>
          <w:shd w:val="clear" w:fill="FFFFFF"/>
          <w:lang w:eastAsia="zh-CN"/>
        </w:rPr>
        <w:t>人大代表建议和政协提案办理情况方面。</w:t>
      </w:r>
      <w:r>
        <w:rPr>
          <w:rFonts w:hint="eastAsia" w:ascii="仿宋_GB2312" w:hAnsi="仿宋_GB2312" w:eastAsia="仿宋_GB2312" w:cs="仿宋_GB2312"/>
          <w:b w:val="0"/>
          <w:bCs w:val="0"/>
          <w:color w:val="auto"/>
          <w:sz w:val="32"/>
          <w:szCs w:val="32"/>
          <w:highlight w:val="none"/>
          <w:lang w:val="en-US" w:eastAsia="zh-CN"/>
        </w:rPr>
        <w:t>2025年人大代表建议和政协委员提案办理工作。共办理滕州市人大代表建议10件、滕州市政协委员提案47件</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b w:val="0"/>
          <w:bCs w:val="0"/>
          <w:color w:val="auto"/>
          <w:sz w:val="32"/>
          <w:szCs w:val="32"/>
          <w:highlight w:val="none"/>
          <w:lang w:val="en-US" w:eastAsia="zh-CN"/>
        </w:rPr>
        <w:t>全部完成面复，满意率达到100%。</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4.</w:t>
      </w:r>
      <w:r>
        <w:rPr>
          <w:rFonts w:hint="eastAsia" w:ascii="仿宋_GB2312" w:hAnsi="仿宋_GB2312" w:eastAsia="仿宋_GB2312" w:cs="仿宋_GB2312"/>
          <w:i w:val="0"/>
          <w:iCs w:val="0"/>
          <w:caps w:val="0"/>
          <w:color w:val="auto"/>
          <w:spacing w:val="0"/>
          <w:sz w:val="32"/>
          <w:szCs w:val="32"/>
          <w:shd w:val="clear" w:fill="FFFFFF"/>
          <w:lang w:eastAsia="zh-CN"/>
        </w:rPr>
        <w:t>开展政务公开创新方面。市住建局严格落实市政府信息公开办公室的要求，报送了群众关心的用气供暖类问答视频，让群众更直观的了解相关问题。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5.</w:t>
      </w:r>
      <w:r>
        <w:rPr>
          <w:rFonts w:hint="eastAsia" w:ascii="仿宋_GB2312" w:hAnsi="仿宋_GB2312" w:eastAsia="仿宋_GB2312" w:cs="仿宋_GB2312"/>
          <w:i w:val="0"/>
          <w:iCs w:val="0"/>
          <w:caps w:val="0"/>
          <w:color w:val="auto"/>
          <w:spacing w:val="0"/>
          <w:sz w:val="32"/>
          <w:szCs w:val="32"/>
          <w:shd w:val="clear" w:fill="FFFFFF"/>
          <w:lang w:eastAsia="zh-CN"/>
        </w:rPr>
        <w:t>本单位政府信息公开工作年度报告数据统计需要说明的事项：无。</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6.</w:t>
      </w:r>
      <w:r>
        <w:rPr>
          <w:rFonts w:hint="eastAsia" w:ascii="仿宋_GB2312" w:hAnsi="仿宋_GB2312" w:eastAsia="仿宋_GB2312" w:cs="仿宋_GB2312"/>
          <w:i w:val="0"/>
          <w:iCs w:val="0"/>
          <w:caps w:val="0"/>
          <w:color w:val="auto"/>
          <w:spacing w:val="0"/>
          <w:sz w:val="32"/>
          <w:szCs w:val="32"/>
          <w:shd w:val="clear" w:fill="FFFFFF"/>
          <w:lang w:eastAsia="zh-CN"/>
        </w:rPr>
        <w:t>其他有关文件专门要求通过政府信息公开工作年度报告予以报告的事项：无。</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eastAsia="zh-CN"/>
        </w:rPr>
        <w:t>如对本报告有任何疑问，请与滕州市住房和城乡建设局联系（地址：滕州市善国中路</w:t>
      </w:r>
      <w:r>
        <w:rPr>
          <w:rFonts w:hint="eastAsia" w:ascii="仿宋_GB2312" w:hAnsi="仿宋_GB2312" w:eastAsia="仿宋_GB2312" w:cs="仿宋_GB2312"/>
          <w:i w:val="0"/>
          <w:iCs w:val="0"/>
          <w:caps w:val="0"/>
          <w:color w:val="auto"/>
          <w:spacing w:val="0"/>
          <w:sz w:val="32"/>
          <w:szCs w:val="32"/>
          <w:shd w:val="clear" w:fill="FFFFFF"/>
        </w:rPr>
        <w:t>19</w:t>
      </w:r>
      <w:r>
        <w:rPr>
          <w:rFonts w:hint="eastAsia" w:ascii="仿宋_GB2312" w:hAnsi="仿宋_GB2312" w:eastAsia="仿宋_GB2312" w:cs="仿宋_GB2312"/>
          <w:i w:val="0"/>
          <w:iCs w:val="0"/>
          <w:caps w:val="0"/>
          <w:color w:val="auto"/>
          <w:spacing w:val="0"/>
          <w:sz w:val="32"/>
          <w:szCs w:val="32"/>
          <w:shd w:val="clear" w:fill="FFFFFF"/>
          <w:lang w:eastAsia="zh-CN"/>
        </w:rPr>
        <w:t>号，邮编：</w:t>
      </w:r>
      <w:r>
        <w:rPr>
          <w:rFonts w:hint="eastAsia" w:ascii="仿宋_GB2312" w:hAnsi="仿宋_GB2312" w:eastAsia="仿宋_GB2312" w:cs="仿宋_GB2312"/>
          <w:i w:val="0"/>
          <w:iCs w:val="0"/>
          <w:caps w:val="0"/>
          <w:color w:val="auto"/>
          <w:spacing w:val="0"/>
          <w:sz w:val="32"/>
          <w:szCs w:val="32"/>
          <w:shd w:val="clear" w:fill="FFFFFF"/>
        </w:rPr>
        <w:t>277599</w:t>
      </w:r>
      <w:r>
        <w:rPr>
          <w:rFonts w:hint="eastAsia" w:ascii="仿宋_GB2312" w:hAnsi="仿宋_GB2312" w:eastAsia="仿宋_GB2312" w:cs="仿宋_GB2312"/>
          <w:i w:val="0"/>
          <w:iCs w:val="0"/>
          <w:caps w:val="0"/>
          <w:color w:val="auto"/>
          <w:spacing w:val="0"/>
          <w:sz w:val="32"/>
          <w:szCs w:val="32"/>
          <w:shd w:val="clear" w:fill="FFFFFF"/>
          <w:lang w:eastAsia="zh-CN"/>
        </w:rPr>
        <w:t>，电话：</w:t>
      </w:r>
      <w:r>
        <w:rPr>
          <w:rFonts w:hint="eastAsia" w:ascii="仿宋_GB2312" w:hAnsi="仿宋_GB2312" w:eastAsia="仿宋_GB2312" w:cs="仿宋_GB2312"/>
          <w:i w:val="0"/>
          <w:iCs w:val="0"/>
          <w:caps w:val="0"/>
          <w:color w:val="auto"/>
          <w:spacing w:val="0"/>
          <w:sz w:val="32"/>
          <w:szCs w:val="32"/>
          <w:shd w:val="clear" w:fill="FFFFFF"/>
        </w:rPr>
        <w:t>0632-5584778</w:t>
      </w:r>
      <w:r>
        <w:rPr>
          <w:rFonts w:hint="eastAsia" w:ascii="仿宋_GB2312" w:hAnsi="仿宋_GB2312" w:eastAsia="仿宋_GB2312" w:cs="仿宋_GB2312"/>
          <w:i w:val="0"/>
          <w:iCs w:val="0"/>
          <w:caps w:val="0"/>
          <w:color w:val="auto"/>
          <w:spacing w:val="0"/>
          <w:sz w:val="32"/>
          <w:szCs w:val="32"/>
          <w:shd w:val="clear" w:fill="FFFFFF"/>
          <w:lang w:eastAsia="zh-CN"/>
        </w:rPr>
        <w:t>，电子邮箱：</w:t>
      </w:r>
      <w:r>
        <w:rPr>
          <w:rFonts w:hint="eastAsia" w:ascii="仿宋_GB2312" w:hAnsi="仿宋_GB2312" w:eastAsia="仿宋_GB2312" w:cs="仿宋_GB2312"/>
          <w:i w:val="0"/>
          <w:iCs w:val="0"/>
          <w:caps w:val="0"/>
          <w:color w:val="auto"/>
          <w:spacing w:val="0"/>
          <w:sz w:val="32"/>
          <w:szCs w:val="32"/>
          <w:shd w:val="clear" w:fill="FFFFFF"/>
        </w:rPr>
        <w:t>tzszjjbgs@163.com</w:t>
      </w:r>
      <w:r>
        <w:rPr>
          <w:rFonts w:hint="eastAsia" w:ascii="仿宋_GB2312" w:hAnsi="仿宋_GB2312" w:eastAsia="仿宋_GB2312" w:cs="仿宋_GB2312"/>
          <w:i w:val="0"/>
          <w:iCs w:val="0"/>
          <w:caps w:val="0"/>
          <w:color w:val="auto"/>
          <w:spacing w:val="0"/>
          <w:sz w:val="32"/>
          <w:szCs w:val="32"/>
          <w:shd w:val="clear" w:fill="FFFFFF"/>
          <w:lang w:eastAsia="zh-CN"/>
        </w:rPr>
        <w:t>。</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5B37CD"/>
    <w:multiLevelType w:val="singleLevel"/>
    <w:tmpl w:val="6F5B37C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D171EF"/>
    <w:rsid w:val="16FB4F26"/>
    <w:rsid w:val="21185AE2"/>
    <w:rsid w:val="2EC01A99"/>
    <w:rsid w:val="36DE86AE"/>
    <w:rsid w:val="479C6C4D"/>
    <w:rsid w:val="524B1B69"/>
    <w:rsid w:val="5DC3282F"/>
    <w:rsid w:val="5F8530C9"/>
    <w:rsid w:val="5FF9C8DD"/>
    <w:rsid w:val="674B173C"/>
    <w:rsid w:val="6DF157C3"/>
    <w:rsid w:val="71CE7DC0"/>
    <w:rsid w:val="783D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2026-01-17T01:16:00Z</dcterms:created>
  <dc:creator>Administrator</dc:creator>
  <cp:lastModifiedBy>告别从前</cp:lastModifiedBy>
  <dcterms:modified xsi:type="dcterms:W3CDTF">2026-01-28T01:41:24Z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20398DB2A9F44601B7601BEF15E57BD9</vt:lpwstr>
  </property>
</Properties>
</file>