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7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滕州市司法局</w:t>
      </w:r>
    </w:p>
    <w:p w14:paraId="2F3177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1B02AD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2E430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第五十条规定，现将市司法局2025年政府信息公开工作情况编制年度报告，向社会公布。本报告涵盖总体情况、主动公开、依申请公开、行政复议与行政诉讼、存在问题及改进措施、其他事项等内容，数据统计期限为2025年1月1日至12月31日。</w:t>
      </w:r>
    </w:p>
    <w:p w14:paraId="67916EB4">
      <w:pPr>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285B38A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2025年，市司法局深入贯彻</w:t>
      </w:r>
      <w:r>
        <w:rPr>
          <w:rFonts w:hint="eastAsia" w:ascii="仿宋_GB2312" w:hAnsi="仿宋_GB2312" w:eastAsia="仿宋_GB2312" w:cs="仿宋_GB2312"/>
          <w:sz w:val="32"/>
          <w:szCs w:val="32"/>
        </w:rPr>
        <w:t>《中华人民共和国政府信息公开条例》</w:t>
      </w:r>
      <w:r>
        <w:rPr>
          <w:rFonts w:hint="eastAsia" w:ascii="仿宋_GB2312" w:hAnsi="仿宋_GB2312" w:eastAsia="仿宋_GB2312" w:cs="仿宋_GB2312"/>
          <w:sz w:val="32"/>
          <w:szCs w:val="32"/>
          <w:lang w:eastAsia="zh-CN"/>
        </w:rPr>
        <w:t>要求及上级政务公开工作部署，将政府信息公开与司法行政核心职能深度融合，聚焦法治建设、政务服务、执法监督等重点领域，全面推进主动公开、规范依申请公开、强化平台建设、健全监督保障，以公开促落实、促规范、促服务，为法治城市建设提供了透明高效的信息支撑。</w:t>
      </w:r>
    </w:p>
    <w:p w14:paraId="46DEF386">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主动公开政府信息情况</w:t>
      </w:r>
    </w:p>
    <w:p w14:paraId="08CA9B6F">
      <w:pPr>
        <w:ind w:firstLine="640" w:firstLineChars="20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滕州市司法局在滕州市人民政府官网司法局栏目、滕州市人民政府官网</w:t>
      </w:r>
      <w:r>
        <w:rPr>
          <w:rFonts w:hint="eastAsia" w:ascii="仿宋_GB2312" w:hAnsi="仿宋_GB2312" w:eastAsia="仿宋_GB2312" w:cs="仿宋_GB2312"/>
          <w:sz w:val="32"/>
          <w:szCs w:val="32"/>
          <w:lang w:eastAsia="zh-CN"/>
        </w:rPr>
        <w:t>全年累计主动公开政府信息</w:t>
      </w:r>
      <w:r>
        <w:rPr>
          <w:rFonts w:hint="eastAsia" w:ascii="仿宋_GB2312" w:hAnsi="仿宋_GB2312" w:eastAsia="仿宋_GB2312" w:cs="仿宋_GB2312"/>
          <w:sz w:val="32"/>
          <w:szCs w:val="32"/>
          <w:lang w:val="en-US" w:eastAsia="zh-CN"/>
        </w:rPr>
        <w:t>278</w:t>
      </w:r>
      <w:r>
        <w:rPr>
          <w:rFonts w:hint="eastAsia" w:ascii="仿宋_GB2312" w:hAnsi="仿宋_GB2312" w:eastAsia="仿宋_GB2312" w:cs="仿宋_GB2312"/>
          <w:sz w:val="32"/>
          <w:szCs w:val="32"/>
          <w:lang w:eastAsia="zh-CN"/>
        </w:rPr>
        <w:t>条。其中工作动态</w:t>
      </w:r>
      <w:r>
        <w:rPr>
          <w:rFonts w:hint="eastAsia" w:ascii="仿宋_GB2312" w:hAnsi="仿宋_GB2312" w:eastAsia="仿宋_GB2312" w:cs="仿宋_GB2312"/>
          <w:sz w:val="32"/>
          <w:szCs w:val="32"/>
          <w:lang w:val="en-US" w:eastAsia="zh-CN"/>
        </w:rPr>
        <w:t>170条，矫务</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lang w:val="en-US" w:eastAsia="zh-CN"/>
        </w:rPr>
        <w:t>51条，市司法局网站政务公开专题版块主动公开政府信息57余条，</w:t>
      </w:r>
      <w:r>
        <w:rPr>
          <w:rFonts w:hint="eastAsia" w:ascii="仿宋_GB2312" w:hAnsi="仿宋_GB2312" w:eastAsia="仿宋_GB2312" w:cs="仿宋_GB2312"/>
          <w:sz w:val="32"/>
          <w:szCs w:val="32"/>
        </w:rPr>
        <w:t>其中通知公告</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rPr>
        <w:t>条，规范性文件</w:t>
      </w:r>
      <w:r>
        <w:rPr>
          <w:rFonts w:hint="eastAsia" w:ascii="仿宋_GB2312" w:hAnsi="仿宋_GB2312" w:eastAsia="仿宋_GB2312" w:cs="仿宋_GB2312"/>
          <w:sz w:val="32"/>
          <w:szCs w:val="32"/>
          <w:lang w:val="en-US" w:eastAsia="zh-CN"/>
        </w:rPr>
        <w:t>备案目录和</w:t>
      </w:r>
      <w:r>
        <w:rPr>
          <w:rFonts w:hint="eastAsia" w:ascii="仿宋_GB2312" w:hAnsi="仿宋_GB2312" w:eastAsia="仿宋_GB2312" w:cs="仿宋_GB2312"/>
          <w:sz w:val="32"/>
          <w:szCs w:val="32"/>
        </w:rPr>
        <w:t>清理结果</w:t>
      </w:r>
      <w:r>
        <w:rPr>
          <w:rFonts w:hint="eastAsia" w:ascii="仿宋_GB2312" w:hAnsi="仿宋_GB2312" w:eastAsia="仿宋_GB2312" w:cs="仿宋_GB2312"/>
          <w:sz w:val="32"/>
          <w:szCs w:val="32"/>
          <w:lang w:val="en-US" w:eastAsia="zh-CN"/>
        </w:rPr>
        <w:t>11条，规划</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条，政府工作报告及惠民实事执行落实情况</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条，部门政务公开</w:t>
      </w:r>
      <w:r>
        <w:rPr>
          <w:rFonts w:hint="eastAsia" w:ascii="仿宋_GB2312" w:hAnsi="仿宋_GB2312" w:eastAsia="仿宋_GB2312" w:cs="仿宋_GB2312"/>
          <w:sz w:val="32"/>
          <w:szCs w:val="32"/>
          <w:lang w:val="en-US" w:eastAsia="zh-CN"/>
        </w:rPr>
        <w:t>培训2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建议提案工作7</w:t>
      </w:r>
      <w:r>
        <w:rPr>
          <w:rFonts w:hint="eastAsia" w:ascii="仿宋_GB2312" w:hAnsi="仿宋_GB2312" w:eastAsia="仿宋_GB2312" w:cs="仿宋_GB2312"/>
          <w:sz w:val="32"/>
          <w:szCs w:val="32"/>
        </w:rPr>
        <w:t>条，其他</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发布及修改15余</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。开展政务公开业务培训4次，组织政府开放日活动2场，信息公开工作规范化、专业化水平持续提升。</w:t>
      </w:r>
    </w:p>
    <w:p w14:paraId="74E2024F">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（二）依申请公开工作</w:t>
      </w:r>
      <w:r>
        <w:rPr>
          <w:rFonts w:hint="eastAsia" w:ascii="楷体_GB2312" w:hAnsi="楷体_GB2312" w:eastAsia="楷体_GB2312" w:cs="楷体_GB2312"/>
          <w:b w:val="0"/>
          <w:bCs w:val="0"/>
          <w:sz w:val="32"/>
          <w:szCs w:val="32"/>
          <w:lang w:val="en-US" w:eastAsia="zh-CN"/>
        </w:rPr>
        <w:t>情况</w:t>
      </w:r>
    </w:p>
    <w:p w14:paraId="1C4D2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，市司法局受理政府信息公开申请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包括邮寄申请等方式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，结转上年政府信息公开申请0件</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10件，与上年相比，数量略有下降</w:t>
      </w:r>
      <w:r>
        <w:rPr>
          <w:rFonts w:hint="eastAsia" w:ascii="仿宋_GB2312" w:hAnsi="仿宋_GB2312" w:eastAsia="仿宋_GB2312" w:cs="仿宋_GB2312"/>
          <w:sz w:val="32"/>
          <w:szCs w:val="32"/>
        </w:rPr>
        <w:t>。</w:t>
      </w:r>
    </w:p>
    <w:p w14:paraId="33BCC53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2、处理情况。共答复政府信息公开申请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均为无正当理由大量反复申请件。</w:t>
      </w:r>
    </w:p>
    <w:p w14:paraId="5259755E">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因政府信息公开行政申请提起行政复议、行政诉讼的情况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，针对滕州市司法局有关政府信息公开事务的行政复议案件</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rPr>
        <w:t>。</w:t>
      </w:r>
    </w:p>
    <w:p w14:paraId="3B08C847">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政府信息管理情况</w:t>
      </w:r>
    </w:p>
    <w:p w14:paraId="43ACF1D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参照上级政府信息主动公开目录，结合本单位实际，完善了本单位信息公开目录；严格落实信息公开保密审查制度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严格执行“三审三校”制度，</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专人</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信息公开的编辑、审核与发布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对敏感信息、身份信息等数据进行必要的“脱敏”处理。</w:t>
      </w:r>
    </w:p>
    <w:p w14:paraId="6A13C569">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（四）政府信息公开平台建设</w:t>
      </w:r>
    </w:p>
    <w:p w14:paraId="5C6A39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今年以来，滕州市司法局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官方</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中国滕州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w:t>
      </w:r>
      <w:r>
        <w:rPr>
          <w:rFonts w:hint="eastAsia" w:ascii="仿宋_GB2312" w:hAnsi="仿宋_GB2312" w:eastAsia="仿宋_GB2312" w:cs="仿宋_GB2312"/>
          <w:sz w:val="32"/>
          <w:szCs w:val="32"/>
          <w:lang w:val="en-US" w:eastAsia="zh-CN"/>
        </w:rPr>
        <w:t>订阅号（法治滕州）</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color w:val="000000"/>
          <w:kern w:val="0"/>
          <w:sz w:val="32"/>
          <w:szCs w:val="32"/>
          <w:lang w:val="en-US" w:eastAsia="zh-CN" w:bidi="ar-SA"/>
        </w:rPr>
        <w:t>累计推送</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信息（工作动态）</w:t>
      </w:r>
      <w:r>
        <w:rPr>
          <w:rFonts w:hint="eastAsia" w:ascii="仿宋_GB2312" w:hAnsi="仿宋_GB2312" w:eastAsia="仿宋_GB2312" w:cs="仿宋_GB2312"/>
          <w:color w:val="000000"/>
          <w:kern w:val="0"/>
          <w:sz w:val="32"/>
          <w:szCs w:val="32"/>
          <w:lang w:val="en-US" w:eastAsia="zh-CN" w:bidi="ar-SA"/>
        </w:rPr>
        <w:t>732条</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形成多平台联动传播效应。5月21日上午，市司法局走进《政风行风热线》节目，通过直播与听众交流，倾听民意民声，接受百姓监督。</w:t>
      </w:r>
      <w:r>
        <w:rPr>
          <w:rFonts w:hint="eastAsia" w:ascii="仿宋_GB2312" w:hAnsi="仿宋_GB2312" w:eastAsia="仿宋_GB2312" w:cs="仿宋_GB2312"/>
          <w:sz w:val="32"/>
          <w:szCs w:val="32"/>
        </w:rPr>
        <w:t>直播过程中，针对群众来电咨询的关于法律援助、委托公证、行政复议、房产过户、邻里纠纷以及其他有关自身合法权益保障等方面的问题，相关负责人一一进行了认真讲解和耐心解答。6月25日，市司法局组织举办“社区矫正中心开放日”</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邀请了市人大代表、政协委员和政法委、公检法相关业务科室负责人等10余人走进社区矫正中心，零距离接触社区矫正工作。</w:t>
      </w:r>
      <w:r>
        <w:rPr>
          <w:rFonts w:hint="eastAsia" w:ascii="仿宋_GB2312" w:hAnsi="仿宋_GB2312" w:eastAsia="仿宋_GB2312" w:cs="仿宋_GB2312"/>
          <w:sz w:val="32"/>
          <w:szCs w:val="32"/>
          <w:lang w:val="en-US" w:eastAsia="zh-CN"/>
        </w:rPr>
        <w:t>8月7日，市司法局举办“政府开放日”活动，邀请人大代表、政协委员、法治环境监督员、行政执法与执法复议监督员、人民调解员、人民陪审员、人民监督员、党员基层群众代表等11名代表走进司法行政一线，“面对面”共商法治建设良策。</w:t>
      </w:r>
      <w:r>
        <w:rPr>
          <w:rFonts w:hint="eastAsia" w:ascii="仿宋_GB2312" w:hAnsi="仿宋_GB2312" w:eastAsia="仿宋_GB2312" w:cs="仿宋_GB2312"/>
          <w:sz w:val="32"/>
          <w:szCs w:val="32"/>
          <w:lang w:eastAsia="zh-CN"/>
        </w:rPr>
        <w:t>同时，市司法局</w:t>
      </w:r>
      <w:r>
        <w:rPr>
          <w:rFonts w:hint="eastAsia" w:ascii="仿宋_GB2312" w:hAnsi="仿宋_GB2312" w:eastAsia="仿宋_GB2312" w:cs="仿宋_GB2312"/>
          <w:sz w:val="32"/>
          <w:szCs w:val="32"/>
        </w:rPr>
        <w:t>常态化</w:t>
      </w:r>
      <w:r>
        <w:rPr>
          <w:rFonts w:hint="eastAsia" w:ascii="仿宋_GB2312" w:hAnsi="仿宋_GB2312" w:eastAsia="仿宋_GB2312" w:cs="仿宋_GB2312"/>
          <w:sz w:val="32"/>
          <w:szCs w:val="32"/>
          <w:lang w:eastAsia="zh-CN"/>
        </w:rPr>
        <w:t>推送</w:t>
      </w:r>
      <w:r>
        <w:rPr>
          <w:rFonts w:hint="eastAsia" w:ascii="仿宋_GB2312" w:hAnsi="仿宋_GB2312" w:eastAsia="仿宋_GB2312" w:cs="仿宋_GB2312"/>
          <w:sz w:val="32"/>
          <w:szCs w:val="32"/>
        </w:rPr>
        <w:t>公共法律服务、法律援助、公证服务等民生领域信息，发布免费法律咨询指引、特殊群体援助流程等便民信息。</w:t>
      </w:r>
    </w:p>
    <w:p w14:paraId="2BAA3D2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790440" cy="4790440"/>
            <wp:effectExtent l="0" t="0" r="10160" b="10160"/>
            <wp:docPr id="2" name="图片 2" descr="ab1b75a074a78dc0eb46285363c328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1b75a074a78dc0eb46285363c328d4"/>
                    <pic:cNvPicPr>
                      <a:picLocks noChangeAspect="1"/>
                    </pic:cNvPicPr>
                  </pic:nvPicPr>
                  <pic:blipFill>
                    <a:blip r:embed="rId5"/>
                    <a:stretch>
                      <a:fillRect/>
                    </a:stretch>
                  </pic:blipFill>
                  <pic:spPr>
                    <a:xfrm>
                      <a:off x="0" y="0"/>
                      <a:ext cx="4790440" cy="4790440"/>
                    </a:xfrm>
                    <a:prstGeom prst="rect">
                      <a:avLst/>
                    </a:prstGeom>
                  </pic:spPr>
                </pic:pic>
              </a:graphicData>
            </a:graphic>
          </wp:inline>
        </w:drawing>
      </w:r>
    </w:p>
    <w:p w14:paraId="408EEF22">
      <w:pPr>
        <w:numPr>
          <w:ilvl w:val="0"/>
          <w:numId w:val="0"/>
        </w:numPr>
        <w:ind w:firstLine="640" w:firstLineChars="200"/>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五）监督保障工作</w:t>
      </w:r>
    </w:p>
    <w:p w14:paraId="581CA4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市司法局信息化建设办公室具体负责政府信息公开工作；市司法</w:t>
      </w:r>
      <w:r>
        <w:rPr>
          <w:rFonts w:hint="eastAsia" w:ascii="仿宋_GB2312" w:hAnsi="仿宋_GB2312" w:eastAsia="仿宋_GB2312" w:cs="仿宋_GB2312"/>
          <w:sz w:val="32"/>
          <w:szCs w:val="32"/>
        </w:rPr>
        <w:t>局办公室为保密工作部门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信息公开保密审查工作，实行主要领导总负责、分管领导组织协调、责任科室和专门审查人员具体实施的管理机制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在“4</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15”全民国家安全教育日等关键时间节点开展保密安全教育，组织机关干部学习修订后的《中华人民共和国保守国家秘密法实施条例》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增强保密意识，防范数据泄露</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，市司法局在政府信息公开工作中未出现失密、泄密情况。纳入滕州市</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部门绩效考核，未进行社会评议，未发生责任追究情况。</w:t>
      </w:r>
    </w:p>
    <w:p w14:paraId="5E330157">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主动公开政府信息情况</w:t>
      </w: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1973"/>
        <w:gridCol w:w="1987"/>
        <w:gridCol w:w="1987"/>
        <w:gridCol w:w="2599"/>
      </w:tblGrid>
      <w:tr w14:paraId="163425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45" w:hRule="atLeast"/>
        </w:trPr>
        <w:tc>
          <w:tcPr>
            <w:tcW w:w="8580" w:type="dxa"/>
            <w:gridSpan w:val="4"/>
            <w:tcBorders>
              <w:top w:val="single" w:color="00000A" w:sz="6" w:space="0"/>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1DE908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第二十条第（一）项</w:t>
            </w:r>
          </w:p>
        </w:tc>
      </w:tr>
      <w:tr w14:paraId="650205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1801F1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772EAC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本年制发件数</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6BC9EC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本年废止件数</w:t>
            </w:r>
          </w:p>
        </w:tc>
        <w:tc>
          <w:tcPr>
            <w:tcW w:w="1980" w:type="dxa"/>
            <w:tcBorders>
              <w:top w:val="nil"/>
              <w:left w:val="nil"/>
              <w:bottom w:val="single" w:color="00000A" w:sz="6" w:space="0"/>
              <w:right w:val="single" w:color="00000A" w:sz="6" w:space="0"/>
            </w:tcBorders>
            <w:noWrap w:val="0"/>
            <w:tcMar>
              <w:left w:w="0" w:type="dxa"/>
              <w:bottom w:w="0" w:type="dxa"/>
              <w:right w:w="120" w:type="dxa"/>
            </w:tcMar>
            <w:vAlign w:val="center"/>
          </w:tcPr>
          <w:p w14:paraId="7BC8F8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现行有效件数</w:t>
            </w:r>
          </w:p>
        </w:tc>
      </w:tr>
      <w:tr w14:paraId="1DA3B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243135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规章</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0918CF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仿宋_GB2312" w:eastAsia="仿宋_GB2312" w:cs="仿宋_GB2312"/>
                <w:spacing w:val="0"/>
                <w:sz w:val="19"/>
                <w:szCs w:val="19"/>
                <w:lang w:val="en-US" w:eastAsia="zh-CN"/>
              </w:rPr>
              <w:t>0</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56073A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c>
          <w:tcPr>
            <w:tcW w:w="1980" w:type="dxa"/>
            <w:tcBorders>
              <w:top w:val="nil"/>
              <w:left w:val="nil"/>
              <w:bottom w:val="single" w:color="00000A" w:sz="6" w:space="0"/>
              <w:right w:val="single" w:color="00000A" w:sz="6" w:space="0"/>
            </w:tcBorders>
            <w:noWrap w:val="0"/>
            <w:tcMar>
              <w:left w:w="0" w:type="dxa"/>
              <w:bottom w:w="0" w:type="dxa"/>
              <w:right w:w="120" w:type="dxa"/>
            </w:tcMar>
            <w:vAlign w:val="center"/>
          </w:tcPr>
          <w:p w14:paraId="517A99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r>
      <w:tr w14:paraId="7DAFAD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08923E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行政规范性文件</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42BF9C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宋体" w:hAnsi="宋体" w:cs="宋体"/>
                <w:sz w:val="19"/>
                <w:szCs w:val="19"/>
                <w:lang w:val="en-US" w:eastAsia="zh-CN"/>
              </w:rPr>
              <w:t>0</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03C5BE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rPr>
              <w:t>0</w:t>
            </w:r>
          </w:p>
        </w:tc>
        <w:tc>
          <w:tcPr>
            <w:tcW w:w="1980" w:type="dxa"/>
            <w:tcBorders>
              <w:top w:val="nil"/>
              <w:left w:val="nil"/>
              <w:bottom w:val="single" w:color="00000A" w:sz="6" w:space="0"/>
              <w:right w:val="single" w:color="00000A" w:sz="6" w:space="0"/>
            </w:tcBorders>
            <w:noWrap w:val="0"/>
            <w:tcMar>
              <w:left w:w="0" w:type="dxa"/>
              <w:bottom w:w="0" w:type="dxa"/>
              <w:right w:w="120" w:type="dxa"/>
            </w:tcMar>
            <w:vAlign w:val="center"/>
          </w:tcPr>
          <w:p w14:paraId="5BF589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宋体"/>
                <w:lang w:val="en-US" w:eastAsia="zh-CN"/>
              </w:rPr>
            </w:pPr>
            <w:r>
              <w:rPr>
                <w:rFonts w:hint="eastAsia" w:ascii="宋体" w:hAnsi="宋体" w:cs="宋体"/>
                <w:sz w:val="19"/>
                <w:szCs w:val="19"/>
                <w:lang w:val="en-US" w:eastAsia="zh-CN"/>
              </w:rPr>
              <w:t>0</w:t>
            </w:r>
          </w:p>
        </w:tc>
      </w:tr>
      <w:tr w14:paraId="2069AA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580" w:type="dxa"/>
            <w:gridSpan w:val="4"/>
            <w:tcBorders>
              <w:top w:val="nil"/>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01D565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第二十条第（五）项</w:t>
            </w:r>
          </w:p>
        </w:tc>
      </w:tr>
      <w:tr w14:paraId="5F8989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2E1CD2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6390" w:type="dxa"/>
            <w:gridSpan w:val="3"/>
            <w:tcBorders>
              <w:top w:val="single" w:color="00000A" w:sz="6" w:space="0"/>
              <w:left w:val="nil"/>
              <w:bottom w:val="single" w:color="00000A" w:sz="6" w:space="0"/>
              <w:right w:val="single" w:color="000001" w:sz="6" w:space="0"/>
            </w:tcBorders>
            <w:noWrap w:val="0"/>
            <w:tcMar>
              <w:left w:w="0" w:type="dxa"/>
              <w:bottom w:w="0" w:type="dxa"/>
              <w:right w:w="120" w:type="dxa"/>
            </w:tcMar>
            <w:vAlign w:val="center"/>
          </w:tcPr>
          <w:p w14:paraId="72A981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本年处理决定数量</w:t>
            </w:r>
          </w:p>
        </w:tc>
      </w:tr>
      <w:tr w14:paraId="6432EB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69724E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行政许可</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51938A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r>
      <w:tr w14:paraId="6AD99D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580" w:type="dxa"/>
            <w:gridSpan w:val="4"/>
            <w:tcBorders>
              <w:top w:val="nil"/>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4FF342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第二十条第（六）项</w:t>
            </w:r>
          </w:p>
        </w:tc>
      </w:tr>
      <w:tr w14:paraId="6900E2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510FB7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6390" w:type="dxa"/>
            <w:gridSpan w:val="3"/>
            <w:tcBorders>
              <w:top w:val="single" w:color="00000A" w:sz="6" w:space="0"/>
              <w:left w:val="nil"/>
              <w:bottom w:val="single" w:color="00000A" w:sz="6" w:space="0"/>
              <w:right w:val="single" w:color="000001" w:sz="6" w:space="0"/>
            </w:tcBorders>
            <w:noWrap w:val="0"/>
            <w:tcMar>
              <w:left w:w="0" w:type="dxa"/>
              <w:bottom w:w="0" w:type="dxa"/>
              <w:right w:w="120" w:type="dxa"/>
            </w:tcMar>
            <w:vAlign w:val="center"/>
          </w:tcPr>
          <w:p w14:paraId="33FCB3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本年处理决定数量</w:t>
            </w:r>
          </w:p>
        </w:tc>
      </w:tr>
      <w:tr w14:paraId="569A2D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439BD8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行政处罚</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32EE61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宋体" w:hAnsi="宋体" w:cs="宋体"/>
                <w:sz w:val="19"/>
                <w:szCs w:val="19"/>
                <w:lang w:val="en-US" w:eastAsia="zh-CN"/>
              </w:rPr>
              <w:t>0</w:t>
            </w:r>
          </w:p>
        </w:tc>
      </w:tr>
      <w:tr w14:paraId="46C1C1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627897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行政强制</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661095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宋体" w:hAnsi="宋体" w:cs="宋体"/>
                <w:sz w:val="19"/>
                <w:szCs w:val="19"/>
                <w:lang w:val="en-US" w:eastAsia="zh-CN"/>
              </w:rPr>
              <w:t>0</w:t>
            </w:r>
          </w:p>
        </w:tc>
      </w:tr>
      <w:tr w14:paraId="420252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580" w:type="dxa"/>
            <w:gridSpan w:val="4"/>
            <w:tcBorders>
              <w:top w:val="nil"/>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7FDC30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第二十条第（八）项</w:t>
            </w:r>
          </w:p>
        </w:tc>
      </w:tr>
      <w:tr w14:paraId="0FB951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0A6344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6390" w:type="dxa"/>
            <w:gridSpan w:val="3"/>
            <w:tcBorders>
              <w:top w:val="single" w:color="00000A" w:sz="6" w:space="0"/>
              <w:left w:val="nil"/>
              <w:bottom w:val="single" w:color="00000A" w:sz="6" w:space="0"/>
              <w:right w:val="single" w:color="000001" w:sz="6" w:space="0"/>
            </w:tcBorders>
            <w:noWrap w:val="0"/>
            <w:tcMar>
              <w:left w:w="0" w:type="dxa"/>
              <w:bottom w:w="0" w:type="dxa"/>
              <w:right w:w="120" w:type="dxa"/>
            </w:tcMar>
            <w:vAlign w:val="center"/>
          </w:tcPr>
          <w:p w14:paraId="27392B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本年收费金额（单位：万元）</w:t>
            </w:r>
          </w:p>
        </w:tc>
      </w:tr>
      <w:tr w14:paraId="5EF448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45"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6E5723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行政事业性收费</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54D6D1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r>
    </w:tbl>
    <w:p w14:paraId="58C2C9E6">
      <w:pPr>
        <w:numPr>
          <w:ilvl w:val="0"/>
          <w:numId w:val="1"/>
        </w:numPr>
        <w:ind w:left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2"/>
        <w:gridCol w:w="545"/>
        <w:gridCol w:w="5"/>
        <w:gridCol w:w="535"/>
        <w:gridCol w:w="720"/>
        <w:gridCol w:w="675"/>
        <w:gridCol w:w="525"/>
        <w:gridCol w:w="1"/>
        <w:gridCol w:w="700"/>
      </w:tblGrid>
      <w:tr w14:paraId="62C4A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80CA693">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4BFF8A7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noWrap w:val="0"/>
            <w:tcMar>
              <w:left w:w="108" w:type="dxa"/>
              <w:right w:w="108" w:type="dxa"/>
            </w:tcMar>
            <w:vAlign w:val="center"/>
          </w:tcPr>
          <w:p w14:paraId="12DCC620">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127EB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9FEC41A">
            <w:pPr>
              <w:jc w:val="center"/>
              <w:rPr>
                <w:rFonts w:ascii="仿宋_GB2312" w:hAnsi="Times New Roman" w:eastAsia="仿宋_GB2312"/>
                <w:szCs w:val="21"/>
              </w:rPr>
            </w:pPr>
          </w:p>
        </w:tc>
        <w:tc>
          <w:tcPr>
            <w:tcW w:w="742" w:type="dxa"/>
            <w:vMerge w:val="restart"/>
            <w:noWrap w:val="0"/>
            <w:tcMar>
              <w:left w:w="108" w:type="dxa"/>
              <w:right w:w="108" w:type="dxa"/>
            </w:tcMar>
            <w:vAlign w:val="center"/>
          </w:tcPr>
          <w:p w14:paraId="49BF201A">
            <w:pPr>
              <w:widowControl/>
              <w:jc w:val="center"/>
              <w:rPr>
                <w:rFonts w:ascii="黑体" w:hAnsi="黑体" w:eastAsia="黑体"/>
                <w:szCs w:val="21"/>
              </w:rPr>
            </w:pPr>
            <w:r>
              <w:rPr>
                <w:rFonts w:hint="eastAsia" w:ascii="黑体" w:hAnsi="黑体" w:eastAsia="黑体"/>
                <w:kern w:val="0"/>
                <w:szCs w:val="21"/>
              </w:rPr>
              <w:t>自然人</w:t>
            </w:r>
          </w:p>
        </w:tc>
        <w:tc>
          <w:tcPr>
            <w:tcW w:w="3005" w:type="dxa"/>
            <w:gridSpan w:val="6"/>
            <w:noWrap w:val="0"/>
            <w:tcMar>
              <w:left w:w="108" w:type="dxa"/>
              <w:right w:w="108" w:type="dxa"/>
            </w:tcMar>
            <w:vAlign w:val="center"/>
          </w:tcPr>
          <w:p w14:paraId="6EF3AD63">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40F48C15">
            <w:pPr>
              <w:widowControl/>
              <w:jc w:val="center"/>
              <w:rPr>
                <w:rFonts w:ascii="黑体" w:hAnsi="黑体" w:eastAsia="黑体"/>
                <w:szCs w:val="21"/>
              </w:rPr>
            </w:pPr>
            <w:r>
              <w:rPr>
                <w:rFonts w:hint="eastAsia" w:ascii="黑体" w:hAnsi="黑体" w:eastAsia="黑体"/>
                <w:kern w:val="0"/>
                <w:szCs w:val="21"/>
              </w:rPr>
              <w:t>总计</w:t>
            </w:r>
          </w:p>
        </w:tc>
      </w:tr>
      <w:tr w14:paraId="7DD58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D7D917E">
            <w:pPr>
              <w:jc w:val="center"/>
              <w:rPr>
                <w:rFonts w:ascii="仿宋_GB2312" w:hAnsi="Times New Roman" w:eastAsia="仿宋_GB2312"/>
                <w:szCs w:val="21"/>
              </w:rPr>
            </w:pPr>
          </w:p>
        </w:tc>
        <w:tc>
          <w:tcPr>
            <w:tcW w:w="742" w:type="dxa"/>
            <w:vMerge w:val="continue"/>
            <w:noWrap w:val="0"/>
            <w:tcMar>
              <w:left w:w="108" w:type="dxa"/>
              <w:right w:w="108" w:type="dxa"/>
            </w:tcMar>
            <w:vAlign w:val="center"/>
          </w:tcPr>
          <w:p w14:paraId="156DEDCC">
            <w:pPr>
              <w:jc w:val="center"/>
              <w:rPr>
                <w:rFonts w:ascii="黑体" w:hAnsi="黑体" w:eastAsia="黑体"/>
                <w:szCs w:val="21"/>
              </w:rPr>
            </w:pPr>
          </w:p>
        </w:tc>
        <w:tc>
          <w:tcPr>
            <w:tcW w:w="545" w:type="dxa"/>
            <w:noWrap w:val="0"/>
            <w:tcMar>
              <w:left w:w="108" w:type="dxa"/>
              <w:right w:w="108" w:type="dxa"/>
            </w:tcMar>
            <w:vAlign w:val="center"/>
          </w:tcPr>
          <w:p w14:paraId="7FBA5E06">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3ED03465">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2DF12FF7">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4DA149FC">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73D0F2F1">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471C6074">
            <w:pPr>
              <w:jc w:val="center"/>
              <w:rPr>
                <w:rFonts w:ascii="仿宋_GB2312" w:hAnsi="Times New Roman" w:eastAsia="仿宋_GB2312"/>
                <w:szCs w:val="21"/>
              </w:rPr>
            </w:pPr>
          </w:p>
        </w:tc>
      </w:tr>
      <w:tr w14:paraId="602F0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63C49CF">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2" w:type="dxa"/>
            <w:noWrap w:val="0"/>
            <w:tcMar>
              <w:left w:w="108" w:type="dxa"/>
              <w:right w:w="108" w:type="dxa"/>
            </w:tcMar>
            <w:vAlign w:val="center"/>
          </w:tcPr>
          <w:p w14:paraId="1C820F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c>
          <w:tcPr>
            <w:tcW w:w="545" w:type="dxa"/>
            <w:noWrap w:val="0"/>
            <w:tcMar>
              <w:left w:w="108" w:type="dxa"/>
              <w:right w:w="108" w:type="dxa"/>
            </w:tcMar>
            <w:vAlign w:val="center"/>
          </w:tcPr>
          <w:p w14:paraId="741EB0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732D6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E2EBC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A1642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55702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660D8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r>
      <w:tr w14:paraId="5AA81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7FEEA07F">
            <w:pPr>
              <w:widowControl/>
              <w:rPr>
                <w:rFonts w:ascii="黑体" w:hAnsi="黑体" w:eastAsia="黑体"/>
                <w:szCs w:val="21"/>
              </w:rPr>
            </w:pPr>
            <w:r>
              <w:rPr>
                <w:rFonts w:hint="eastAsia" w:ascii="黑体" w:hAnsi="黑体" w:eastAsia="黑体"/>
                <w:kern w:val="0"/>
                <w:szCs w:val="21"/>
              </w:rPr>
              <w:t>二、上年结转政府信息公开申请数量</w:t>
            </w:r>
          </w:p>
        </w:tc>
        <w:tc>
          <w:tcPr>
            <w:tcW w:w="742" w:type="dxa"/>
            <w:noWrap w:val="0"/>
            <w:tcMar>
              <w:left w:w="108" w:type="dxa"/>
              <w:right w:w="108" w:type="dxa"/>
            </w:tcMar>
            <w:vAlign w:val="center"/>
          </w:tcPr>
          <w:p w14:paraId="73B752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7D157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2219A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5E0AF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1E25B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2ED90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976C9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04AE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2D016711">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68B079D8">
            <w:pPr>
              <w:widowControl/>
              <w:rPr>
                <w:rFonts w:ascii="黑体" w:hAnsi="黑体" w:eastAsia="黑体"/>
                <w:szCs w:val="21"/>
              </w:rPr>
            </w:pPr>
            <w:r>
              <w:rPr>
                <w:rFonts w:hint="eastAsia" w:ascii="黑体" w:hAnsi="黑体" w:eastAsia="黑体"/>
                <w:kern w:val="0"/>
                <w:szCs w:val="21"/>
              </w:rPr>
              <w:t>（一）予以公开</w:t>
            </w:r>
          </w:p>
        </w:tc>
        <w:tc>
          <w:tcPr>
            <w:tcW w:w="742" w:type="dxa"/>
            <w:noWrap w:val="0"/>
            <w:tcMar>
              <w:left w:w="108" w:type="dxa"/>
              <w:right w:w="108" w:type="dxa"/>
            </w:tcMar>
            <w:vAlign w:val="center"/>
          </w:tcPr>
          <w:p w14:paraId="0C1EB4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0" w:type="dxa"/>
            <w:gridSpan w:val="2"/>
            <w:noWrap w:val="0"/>
            <w:tcMar>
              <w:left w:w="108" w:type="dxa"/>
              <w:right w:w="108" w:type="dxa"/>
            </w:tcMar>
            <w:vAlign w:val="center"/>
          </w:tcPr>
          <w:p w14:paraId="0E4452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476678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005F4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5845A1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1643C0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56272A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B731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AA0FE5F">
            <w:pPr>
              <w:rPr>
                <w:rFonts w:ascii="黑体" w:hAnsi="黑体" w:eastAsia="黑体"/>
                <w:szCs w:val="21"/>
              </w:rPr>
            </w:pPr>
          </w:p>
        </w:tc>
        <w:tc>
          <w:tcPr>
            <w:tcW w:w="4677" w:type="dxa"/>
            <w:gridSpan w:val="2"/>
            <w:noWrap w:val="0"/>
            <w:tcMar>
              <w:left w:w="108" w:type="dxa"/>
              <w:right w:w="108" w:type="dxa"/>
            </w:tcMar>
            <w:vAlign w:val="center"/>
          </w:tcPr>
          <w:p w14:paraId="7A444340">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42" w:type="dxa"/>
            <w:noWrap w:val="0"/>
            <w:tcMar>
              <w:left w:w="108" w:type="dxa"/>
              <w:right w:w="108" w:type="dxa"/>
            </w:tcMar>
            <w:vAlign w:val="center"/>
          </w:tcPr>
          <w:p w14:paraId="288F98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0" w:type="dxa"/>
            <w:gridSpan w:val="2"/>
            <w:noWrap w:val="0"/>
            <w:tcMar>
              <w:left w:w="108" w:type="dxa"/>
              <w:right w:w="108" w:type="dxa"/>
            </w:tcMar>
            <w:vAlign w:val="center"/>
          </w:tcPr>
          <w:p w14:paraId="69C2CD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72CE0D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730B0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35616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5B76D7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592BDD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950F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863ABB">
            <w:pPr>
              <w:rPr>
                <w:rFonts w:ascii="黑体" w:hAnsi="黑体" w:eastAsia="黑体"/>
                <w:szCs w:val="21"/>
              </w:rPr>
            </w:pPr>
          </w:p>
        </w:tc>
        <w:tc>
          <w:tcPr>
            <w:tcW w:w="1701" w:type="dxa"/>
            <w:vMerge w:val="restart"/>
            <w:noWrap w:val="0"/>
            <w:tcMar>
              <w:left w:w="108" w:type="dxa"/>
              <w:right w:w="108" w:type="dxa"/>
            </w:tcMar>
            <w:vAlign w:val="center"/>
          </w:tcPr>
          <w:p w14:paraId="674EB260">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74518D88">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2" w:type="dxa"/>
            <w:noWrap w:val="0"/>
            <w:tcMar>
              <w:left w:w="108" w:type="dxa"/>
              <w:right w:w="108" w:type="dxa"/>
            </w:tcMar>
            <w:vAlign w:val="center"/>
          </w:tcPr>
          <w:p w14:paraId="06E473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CE3A9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D7E25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4A5E7B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5BD3E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3B9A17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716BB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6A74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A270144">
            <w:pPr>
              <w:rPr>
                <w:rFonts w:ascii="黑体" w:hAnsi="黑体" w:eastAsia="黑体"/>
                <w:szCs w:val="21"/>
              </w:rPr>
            </w:pPr>
          </w:p>
        </w:tc>
        <w:tc>
          <w:tcPr>
            <w:tcW w:w="1701" w:type="dxa"/>
            <w:vMerge w:val="continue"/>
            <w:noWrap w:val="0"/>
            <w:tcMar>
              <w:left w:w="108" w:type="dxa"/>
              <w:right w:w="108" w:type="dxa"/>
            </w:tcMar>
            <w:vAlign w:val="center"/>
          </w:tcPr>
          <w:p w14:paraId="0F982960">
            <w:pPr>
              <w:spacing w:line="200" w:lineRule="exact"/>
              <w:rPr>
                <w:rFonts w:ascii="黑体" w:hAnsi="黑体" w:eastAsia="黑体"/>
                <w:szCs w:val="21"/>
              </w:rPr>
            </w:pPr>
          </w:p>
        </w:tc>
        <w:tc>
          <w:tcPr>
            <w:tcW w:w="2976" w:type="dxa"/>
            <w:noWrap w:val="0"/>
            <w:tcMar>
              <w:left w:w="108" w:type="dxa"/>
              <w:right w:w="108" w:type="dxa"/>
            </w:tcMar>
            <w:vAlign w:val="center"/>
          </w:tcPr>
          <w:p w14:paraId="66DC3B6B">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2" w:type="dxa"/>
            <w:noWrap w:val="0"/>
            <w:tcMar>
              <w:left w:w="108" w:type="dxa"/>
              <w:right w:w="108" w:type="dxa"/>
            </w:tcMar>
            <w:vAlign w:val="center"/>
          </w:tcPr>
          <w:p w14:paraId="6ED72F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58257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7E2B2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E7372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55228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B2ABA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0BBDB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9ACE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269BDC4">
            <w:pPr>
              <w:rPr>
                <w:rFonts w:ascii="黑体" w:hAnsi="黑体" w:eastAsia="黑体"/>
                <w:szCs w:val="21"/>
              </w:rPr>
            </w:pPr>
          </w:p>
        </w:tc>
        <w:tc>
          <w:tcPr>
            <w:tcW w:w="1701" w:type="dxa"/>
            <w:vMerge w:val="continue"/>
            <w:noWrap w:val="0"/>
            <w:tcMar>
              <w:left w:w="108" w:type="dxa"/>
              <w:right w:w="108" w:type="dxa"/>
            </w:tcMar>
            <w:vAlign w:val="center"/>
          </w:tcPr>
          <w:p w14:paraId="4F2A0AF6">
            <w:pPr>
              <w:spacing w:line="200" w:lineRule="exact"/>
              <w:rPr>
                <w:rFonts w:ascii="黑体" w:hAnsi="黑体" w:eastAsia="黑体"/>
                <w:szCs w:val="21"/>
              </w:rPr>
            </w:pPr>
          </w:p>
        </w:tc>
        <w:tc>
          <w:tcPr>
            <w:tcW w:w="2976" w:type="dxa"/>
            <w:noWrap w:val="0"/>
            <w:tcMar>
              <w:left w:w="108" w:type="dxa"/>
              <w:right w:w="108" w:type="dxa"/>
            </w:tcMar>
            <w:vAlign w:val="center"/>
          </w:tcPr>
          <w:p w14:paraId="5AFDA4EB">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2" w:type="dxa"/>
            <w:noWrap w:val="0"/>
            <w:tcMar>
              <w:left w:w="108" w:type="dxa"/>
              <w:right w:w="108" w:type="dxa"/>
            </w:tcMar>
            <w:vAlign w:val="center"/>
          </w:tcPr>
          <w:p w14:paraId="09DD7E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4F8EAC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9A0C7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EA498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F75A4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3AB24A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7DD22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6C8CF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1E1A3E">
            <w:pPr>
              <w:rPr>
                <w:rFonts w:ascii="黑体" w:hAnsi="黑体" w:eastAsia="黑体"/>
                <w:szCs w:val="21"/>
              </w:rPr>
            </w:pPr>
          </w:p>
        </w:tc>
        <w:tc>
          <w:tcPr>
            <w:tcW w:w="1701" w:type="dxa"/>
            <w:vMerge w:val="continue"/>
            <w:noWrap w:val="0"/>
            <w:tcMar>
              <w:left w:w="108" w:type="dxa"/>
              <w:right w:w="108" w:type="dxa"/>
            </w:tcMar>
            <w:vAlign w:val="center"/>
          </w:tcPr>
          <w:p w14:paraId="064068B0">
            <w:pPr>
              <w:spacing w:line="200" w:lineRule="exact"/>
              <w:rPr>
                <w:rFonts w:ascii="黑体" w:hAnsi="黑体" w:eastAsia="黑体"/>
                <w:szCs w:val="21"/>
              </w:rPr>
            </w:pPr>
          </w:p>
        </w:tc>
        <w:tc>
          <w:tcPr>
            <w:tcW w:w="2976" w:type="dxa"/>
            <w:noWrap w:val="0"/>
            <w:tcMar>
              <w:left w:w="108" w:type="dxa"/>
              <w:right w:w="108" w:type="dxa"/>
            </w:tcMar>
            <w:vAlign w:val="center"/>
          </w:tcPr>
          <w:p w14:paraId="40844312">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2" w:type="dxa"/>
            <w:noWrap w:val="0"/>
            <w:tcMar>
              <w:left w:w="108" w:type="dxa"/>
              <w:right w:w="108" w:type="dxa"/>
            </w:tcMar>
            <w:vAlign w:val="center"/>
          </w:tcPr>
          <w:p w14:paraId="631C6E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3017FE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758FC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56E90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1BA3E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F1BDE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C15B2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668B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6F2A9C">
            <w:pPr>
              <w:rPr>
                <w:rFonts w:ascii="黑体" w:hAnsi="黑体" w:eastAsia="黑体"/>
                <w:szCs w:val="21"/>
              </w:rPr>
            </w:pPr>
          </w:p>
        </w:tc>
        <w:tc>
          <w:tcPr>
            <w:tcW w:w="1701" w:type="dxa"/>
            <w:vMerge w:val="continue"/>
            <w:noWrap w:val="0"/>
            <w:tcMar>
              <w:left w:w="108" w:type="dxa"/>
              <w:right w:w="108" w:type="dxa"/>
            </w:tcMar>
            <w:vAlign w:val="center"/>
          </w:tcPr>
          <w:p w14:paraId="34E0C51A">
            <w:pPr>
              <w:spacing w:line="200" w:lineRule="exact"/>
              <w:rPr>
                <w:rFonts w:ascii="黑体" w:hAnsi="黑体" w:eastAsia="黑体"/>
                <w:szCs w:val="21"/>
              </w:rPr>
            </w:pPr>
          </w:p>
        </w:tc>
        <w:tc>
          <w:tcPr>
            <w:tcW w:w="2976" w:type="dxa"/>
            <w:noWrap w:val="0"/>
            <w:tcMar>
              <w:left w:w="108" w:type="dxa"/>
              <w:right w:w="108" w:type="dxa"/>
            </w:tcMar>
            <w:vAlign w:val="center"/>
          </w:tcPr>
          <w:p w14:paraId="47FBBBD9">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2" w:type="dxa"/>
            <w:noWrap w:val="0"/>
            <w:tcMar>
              <w:left w:w="108" w:type="dxa"/>
              <w:right w:w="108" w:type="dxa"/>
            </w:tcMar>
            <w:vAlign w:val="center"/>
          </w:tcPr>
          <w:p w14:paraId="03162A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79509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73DA5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E116A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10194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341292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3BA9D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67AB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0C12BB3">
            <w:pPr>
              <w:rPr>
                <w:rFonts w:ascii="黑体" w:hAnsi="黑体" w:eastAsia="黑体"/>
                <w:szCs w:val="21"/>
              </w:rPr>
            </w:pPr>
          </w:p>
        </w:tc>
        <w:tc>
          <w:tcPr>
            <w:tcW w:w="1701" w:type="dxa"/>
            <w:vMerge w:val="continue"/>
            <w:noWrap w:val="0"/>
            <w:tcMar>
              <w:left w:w="108" w:type="dxa"/>
              <w:right w:w="108" w:type="dxa"/>
            </w:tcMar>
            <w:vAlign w:val="center"/>
          </w:tcPr>
          <w:p w14:paraId="700304CE">
            <w:pPr>
              <w:spacing w:line="200" w:lineRule="exact"/>
              <w:rPr>
                <w:rFonts w:ascii="黑体" w:hAnsi="黑体" w:eastAsia="黑体"/>
                <w:szCs w:val="21"/>
              </w:rPr>
            </w:pPr>
          </w:p>
        </w:tc>
        <w:tc>
          <w:tcPr>
            <w:tcW w:w="2976" w:type="dxa"/>
            <w:noWrap w:val="0"/>
            <w:tcMar>
              <w:left w:w="108" w:type="dxa"/>
              <w:right w:w="108" w:type="dxa"/>
            </w:tcMar>
            <w:vAlign w:val="center"/>
          </w:tcPr>
          <w:p w14:paraId="58584661">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2" w:type="dxa"/>
            <w:noWrap w:val="0"/>
            <w:tcMar>
              <w:left w:w="108" w:type="dxa"/>
              <w:right w:w="108" w:type="dxa"/>
            </w:tcMar>
            <w:vAlign w:val="center"/>
          </w:tcPr>
          <w:p w14:paraId="755204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D66B4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FE8A3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7C7B9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B43EA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D2FE6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15B20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0902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4B33F78">
            <w:pPr>
              <w:rPr>
                <w:rFonts w:ascii="黑体" w:hAnsi="黑体" w:eastAsia="黑体"/>
                <w:szCs w:val="21"/>
              </w:rPr>
            </w:pPr>
          </w:p>
        </w:tc>
        <w:tc>
          <w:tcPr>
            <w:tcW w:w="1701" w:type="dxa"/>
            <w:vMerge w:val="continue"/>
            <w:noWrap w:val="0"/>
            <w:tcMar>
              <w:left w:w="108" w:type="dxa"/>
              <w:right w:w="108" w:type="dxa"/>
            </w:tcMar>
            <w:vAlign w:val="center"/>
          </w:tcPr>
          <w:p w14:paraId="29C34E95">
            <w:pPr>
              <w:spacing w:line="200" w:lineRule="exact"/>
              <w:rPr>
                <w:rFonts w:ascii="黑体" w:hAnsi="黑体" w:eastAsia="黑体"/>
                <w:szCs w:val="21"/>
              </w:rPr>
            </w:pPr>
          </w:p>
        </w:tc>
        <w:tc>
          <w:tcPr>
            <w:tcW w:w="2976" w:type="dxa"/>
            <w:noWrap w:val="0"/>
            <w:tcMar>
              <w:left w:w="108" w:type="dxa"/>
              <w:right w:w="108" w:type="dxa"/>
            </w:tcMar>
            <w:vAlign w:val="center"/>
          </w:tcPr>
          <w:p w14:paraId="66E95A51">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2" w:type="dxa"/>
            <w:noWrap w:val="0"/>
            <w:tcMar>
              <w:left w:w="108" w:type="dxa"/>
              <w:right w:w="108" w:type="dxa"/>
            </w:tcMar>
            <w:vAlign w:val="center"/>
          </w:tcPr>
          <w:p w14:paraId="4E8848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6B19B2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1BE24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25C0D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24254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31B3B2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C9516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857F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88A2F2E">
            <w:pPr>
              <w:rPr>
                <w:rFonts w:ascii="黑体" w:hAnsi="黑体" w:eastAsia="黑体"/>
                <w:szCs w:val="21"/>
              </w:rPr>
            </w:pPr>
          </w:p>
        </w:tc>
        <w:tc>
          <w:tcPr>
            <w:tcW w:w="1701" w:type="dxa"/>
            <w:vMerge w:val="continue"/>
            <w:noWrap w:val="0"/>
            <w:tcMar>
              <w:left w:w="108" w:type="dxa"/>
              <w:right w:w="108" w:type="dxa"/>
            </w:tcMar>
            <w:vAlign w:val="center"/>
          </w:tcPr>
          <w:p w14:paraId="582B9459">
            <w:pPr>
              <w:spacing w:line="200" w:lineRule="exact"/>
              <w:rPr>
                <w:rFonts w:ascii="黑体" w:hAnsi="黑体" w:eastAsia="黑体"/>
                <w:szCs w:val="21"/>
              </w:rPr>
            </w:pPr>
          </w:p>
        </w:tc>
        <w:tc>
          <w:tcPr>
            <w:tcW w:w="2976" w:type="dxa"/>
            <w:noWrap w:val="0"/>
            <w:tcMar>
              <w:left w:w="108" w:type="dxa"/>
              <w:right w:w="108" w:type="dxa"/>
            </w:tcMar>
            <w:vAlign w:val="center"/>
          </w:tcPr>
          <w:p w14:paraId="51C9587D">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2" w:type="dxa"/>
            <w:noWrap w:val="0"/>
            <w:tcMar>
              <w:left w:w="108" w:type="dxa"/>
              <w:right w:w="108" w:type="dxa"/>
            </w:tcMar>
            <w:vAlign w:val="center"/>
          </w:tcPr>
          <w:p w14:paraId="00480F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685A70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C3075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BB2BA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86390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B05B9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679729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78A2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D21E9D0">
            <w:pPr>
              <w:rPr>
                <w:rFonts w:ascii="黑体" w:hAnsi="黑体" w:eastAsia="黑体"/>
                <w:szCs w:val="21"/>
              </w:rPr>
            </w:pPr>
          </w:p>
        </w:tc>
        <w:tc>
          <w:tcPr>
            <w:tcW w:w="1701" w:type="dxa"/>
            <w:vMerge w:val="restart"/>
            <w:noWrap w:val="0"/>
            <w:tcMar>
              <w:left w:w="108" w:type="dxa"/>
              <w:right w:w="108" w:type="dxa"/>
            </w:tcMar>
            <w:vAlign w:val="center"/>
          </w:tcPr>
          <w:p w14:paraId="181F2E27">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2F2B538A">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2" w:type="dxa"/>
            <w:noWrap w:val="0"/>
            <w:tcMar>
              <w:left w:w="108" w:type="dxa"/>
              <w:right w:w="108" w:type="dxa"/>
            </w:tcMar>
            <w:vAlign w:val="center"/>
          </w:tcPr>
          <w:p w14:paraId="30117F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27AD0B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FC5AF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02894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5F3C2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1FD6A4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064E3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C28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D47BFB4">
            <w:pPr>
              <w:rPr>
                <w:rFonts w:ascii="黑体" w:hAnsi="黑体" w:eastAsia="黑体"/>
                <w:szCs w:val="21"/>
              </w:rPr>
            </w:pPr>
          </w:p>
        </w:tc>
        <w:tc>
          <w:tcPr>
            <w:tcW w:w="1701" w:type="dxa"/>
            <w:vMerge w:val="continue"/>
            <w:noWrap w:val="0"/>
            <w:tcMar>
              <w:left w:w="108" w:type="dxa"/>
              <w:right w:w="108" w:type="dxa"/>
            </w:tcMar>
            <w:vAlign w:val="center"/>
          </w:tcPr>
          <w:p w14:paraId="384BDA34">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710F93E0">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2" w:type="dxa"/>
            <w:noWrap w:val="0"/>
            <w:tcMar>
              <w:left w:w="108" w:type="dxa"/>
              <w:right w:w="108" w:type="dxa"/>
            </w:tcMar>
            <w:vAlign w:val="center"/>
          </w:tcPr>
          <w:p w14:paraId="66C9F9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9620B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15C26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676F8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5E763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F9F08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423AE1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D5EF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25761FA">
            <w:pPr>
              <w:rPr>
                <w:rFonts w:ascii="黑体" w:hAnsi="黑体" w:eastAsia="黑体"/>
                <w:szCs w:val="21"/>
              </w:rPr>
            </w:pPr>
          </w:p>
        </w:tc>
        <w:tc>
          <w:tcPr>
            <w:tcW w:w="1701" w:type="dxa"/>
            <w:vMerge w:val="continue"/>
            <w:noWrap w:val="0"/>
            <w:tcMar>
              <w:left w:w="108" w:type="dxa"/>
              <w:right w:w="108" w:type="dxa"/>
            </w:tcMar>
            <w:vAlign w:val="center"/>
          </w:tcPr>
          <w:p w14:paraId="3C13C646">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7F52141D">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2" w:type="dxa"/>
            <w:noWrap w:val="0"/>
            <w:tcMar>
              <w:left w:w="108" w:type="dxa"/>
              <w:right w:w="108" w:type="dxa"/>
            </w:tcMar>
            <w:vAlign w:val="center"/>
          </w:tcPr>
          <w:p w14:paraId="098615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4BA3AD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09BCC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D592F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D600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55A35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1A4CD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A721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9BD29DA">
            <w:pPr>
              <w:rPr>
                <w:rFonts w:ascii="黑体" w:hAnsi="黑体" w:eastAsia="黑体"/>
                <w:szCs w:val="21"/>
              </w:rPr>
            </w:pPr>
          </w:p>
        </w:tc>
        <w:tc>
          <w:tcPr>
            <w:tcW w:w="1701" w:type="dxa"/>
            <w:vMerge w:val="restart"/>
            <w:noWrap w:val="0"/>
            <w:tcMar>
              <w:left w:w="108" w:type="dxa"/>
              <w:right w:w="108" w:type="dxa"/>
            </w:tcMar>
            <w:vAlign w:val="center"/>
          </w:tcPr>
          <w:p w14:paraId="0528493C">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4456B110">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2" w:type="dxa"/>
            <w:noWrap w:val="0"/>
            <w:tcMar>
              <w:left w:w="108" w:type="dxa"/>
              <w:right w:w="108" w:type="dxa"/>
            </w:tcMar>
            <w:vAlign w:val="center"/>
          </w:tcPr>
          <w:p w14:paraId="28A749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231DE1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20C90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038D4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31B1E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1BE59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CC1C8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737F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D018AE">
            <w:pPr>
              <w:rPr>
                <w:rFonts w:ascii="黑体" w:hAnsi="黑体" w:eastAsia="黑体"/>
                <w:szCs w:val="21"/>
              </w:rPr>
            </w:pPr>
          </w:p>
        </w:tc>
        <w:tc>
          <w:tcPr>
            <w:tcW w:w="1701" w:type="dxa"/>
            <w:vMerge w:val="continue"/>
            <w:noWrap w:val="0"/>
            <w:tcMar>
              <w:left w:w="108" w:type="dxa"/>
              <w:right w:w="108" w:type="dxa"/>
            </w:tcMar>
            <w:vAlign w:val="center"/>
          </w:tcPr>
          <w:p w14:paraId="51DEC69C">
            <w:pPr>
              <w:spacing w:line="200" w:lineRule="exact"/>
              <w:rPr>
                <w:rFonts w:ascii="黑体" w:hAnsi="黑体" w:eastAsia="黑体"/>
                <w:szCs w:val="21"/>
              </w:rPr>
            </w:pPr>
          </w:p>
        </w:tc>
        <w:tc>
          <w:tcPr>
            <w:tcW w:w="2976" w:type="dxa"/>
            <w:noWrap w:val="0"/>
            <w:tcMar>
              <w:left w:w="108" w:type="dxa"/>
              <w:right w:w="108" w:type="dxa"/>
            </w:tcMar>
            <w:vAlign w:val="center"/>
          </w:tcPr>
          <w:p w14:paraId="7396157D">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2" w:type="dxa"/>
            <w:noWrap w:val="0"/>
            <w:tcMar>
              <w:left w:w="108" w:type="dxa"/>
              <w:right w:w="108" w:type="dxa"/>
            </w:tcMar>
            <w:vAlign w:val="center"/>
          </w:tcPr>
          <w:p w14:paraId="3A6D88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74135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B234E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3A556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15BE9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05716D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C8037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68CF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1B7ADD2">
            <w:pPr>
              <w:rPr>
                <w:rFonts w:ascii="黑体" w:hAnsi="黑体" w:eastAsia="黑体"/>
                <w:szCs w:val="21"/>
              </w:rPr>
            </w:pPr>
          </w:p>
        </w:tc>
        <w:tc>
          <w:tcPr>
            <w:tcW w:w="1701" w:type="dxa"/>
            <w:vMerge w:val="continue"/>
            <w:noWrap w:val="0"/>
            <w:tcMar>
              <w:left w:w="108" w:type="dxa"/>
              <w:right w:w="108" w:type="dxa"/>
            </w:tcMar>
            <w:vAlign w:val="center"/>
          </w:tcPr>
          <w:p w14:paraId="524E68CD">
            <w:pPr>
              <w:spacing w:line="200" w:lineRule="exact"/>
              <w:rPr>
                <w:rFonts w:ascii="黑体" w:hAnsi="黑体" w:eastAsia="黑体"/>
                <w:szCs w:val="21"/>
              </w:rPr>
            </w:pPr>
          </w:p>
        </w:tc>
        <w:tc>
          <w:tcPr>
            <w:tcW w:w="2976" w:type="dxa"/>
            <w:noWrap w:val="0"/>
            <w:tcMar>
              <w:left w:w="108" w:type="dxa"/>
              <w:right w:w="108" w:type="dxa"/>
            </w:tcMar>
            <w:vAlign w:val="center"/>
          </w:tcPr>
          <w:p w14:paraId="6536C74F">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2" w:type="dxa"/>
            <w:noWrap w:val="0"/>
            <w:tcMar>
              <w:left w:w="108" w:type="dxa"/>
              <w:right w:w="108" w:type="dxa"/>
            </w:tcMar>
            <w:vAlign w:val="center"/>
          </w:tcPr>
          <w:p w14:paraId="79DD7F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8B342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BC41F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A645A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1318C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01F195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F27BB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1A65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3137B843">
            <w:pPr>
              <w:rPr>
                <w:rFonts w:ascii="黑体" w:hAnsi="黑体" w:eastAsia="黑体"/>
                <w:szCs w:val="21"/>
              </w:rPr>
            </w:pPr>
          </w:p>
        </w:tc>
        <w:tc>
          <w:tcPr>
            <w:tcW w:w="1701" w:type="dxa"/>
            <w:vMerge w:val="continue"/>
            <w:noWrap w:val="0"/>
            <w:tcMar>
              <w:left w:w="108" w:type="dxa"/>
              <w:right w:w="108" w:type="dxa"/>
            </w:tcMar>
            <w:vAlign w:val="center"/>
          </w:tcPr>
          <w:p w14:paraId="6873BDE2">
            <w:pPr>
              <w:spacing w:line="200" w:lineRule="exact"/>
              <w:rPr>
                <w:rFonts w:ascii="黑体" w:hAnsi="黑体" w:eastAsia="黑体"/>
                <w:szCs w:val="21"/>
              </w:rPr>
            </w:pPr>
          </w:p>
        </w:tc>
        <w:tc>
          <w:tcPr>
            <w:tcW w:w="2976" w:type="dxa"/>
            <w:noWrap w:val="0"/>
            <w:tcMar>
              <w:left w:w="108" w:type="dxa"/>
              <w:right w:w="108" w:type="dxa"/>
            </w:tcMar>
            <w:vAlign w:val="center"/>
          </w:tcPr>
          <w:p w14:paraId="6A138316">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2" w:type="dxa"/>
            <w:noWrap w:val="0"/>
            <w:tcMar>
              <w:left w:w="108" w:type="dxa"/>
              <w:right w:w="108" w:type="dxa"/>
            </w:tcMar>
            <w:vAlign w:val="center"/>
          </w:tcPr>
          <w:p w14:paraId="1CFCAF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7</w:t>
            </w:r>
          </w:p>
        </w:tc>
        <w:tc>
          <w:tcPr>
            <w:tcW w:w="545" w:type="dxa"/>
            <w:noWrap w:val="0"/>
            <w:tcMar>
              <w:left w:w="108" w:type="dxa"/>
              <w:right w:w="108" w:type="dxa"/>
            </w:tcMar>
            <w:vAlign w:val="center"/>
          </w:tcPr>
          <w:p w14:paraId="3E21FC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7132F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242C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E0F59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0768A7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0FBAF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7</w:t>
            </w:r>
          </w:p>
        </w:tc>
      </w:tr>
      <w:tr w14:paraId="036BB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CA6A629">
            <w:pPr>
              <w:rPr>
                <w:rFonts w:ascii="黑体" w:hAnsi="黑体" w:eastAsia="黑体"/>
                <w:szCs w:val="21"/>
              </w:rPr>
            </w:pPr>
          </w:p>
        </w:tc>
        <w:tc>
          <w:tcPr>
            <w:tcW w:w="1701" w:type="dxa"/>
            <w:vMerge w:val="continue"/>
            <w:noWrap w:val="0"/>
            <w:tcMar>
              <w:left w:w="108" w:type="dxa"/>
              <w:right w:w="108" w:type="dxa"/>
            </w:tcMar>
            <w:vAlign w:val="center"/>
          </w:tcPr>
          <w:p w14:paraId="346F2F33">
            <w:pPr>
              <w:spacing w:line="200" w:lineRule="exact"/>
              <w:rPr>
                <w:rFonts w:ascii="黑体" w:hAnsi="黑体" w:eastAsia="黑体"/>
                <w:szCs w:val="21"/>
              </w:rPr>
            </w:pPr>
          </w:p>
        </w:tc>
        <w:tc>
          <w:tcPr>
            <w:tcW w:w="2976" w:type="dxa"/>
            <w:noWrap w:val="0"/>
            <w:tcMar>
              <w:left w:w="108" w:type="dxa"/>
              <w:right w:w="108" w:type="dxa"/>
            </w:tcMar>
            <w:vAlign w:val="center"/>
          </w:tcPr>
          <w:p w14:paraId="42DEEA52">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1F4B7450">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2" w:type="dxa"/>
            <w:noWrap w:val="0"/>
            <w:tcMar>
              <w:left w:w="108" w:type="dxa"/>
              <w:right w:w="108" w:type="dxa"/>
            </w:tcMar>
            <w:vAlign w:val="center"/>
          </w:tcPr>
          <w:p w14:paraId="554C71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245AC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140DF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985FD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4ADE7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09034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1117D9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F2AC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BAA77D6">
            <w:pPr>
              <w:rPr>
                <w:rFonts w:ascii="黑体" w:hAnsi="黑体" w:eastAsia="黑体"/>
                <w:szCs w:val="21"/>
              </w:rPr>
            </w:pPr>
          </w:p>
        </w:tc>
        <w:tc>
          <w:tcPr>
            <w:tcW w:w="1701" w:type="dxa"/>
            <w:vMerge w:val="restart"/>
            <w:noWrap w:val="0"/>
            <w:tcMar>
              <w:left w:w="108" w:type="dxa"/>
              <w:right w:w="108" w:type="dxa"/>
            </w:tcMar>
            <w:vAlign w:val="center"/>
          </w:tcPr>
          <w:p w14:paraId="11DB29B1">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503CAF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2" w:type="dxa"/>
            <w:noWrap w:val="0"/>
            <w:tcMar>
              <w:left w:w="108" w:type="dxa"/>
              <w:right w:w="108" w:type="dxa"/>
            </w:tcMar>
            <w:vAlign w:val="center"/>
          </w:tcPr>
          <w:p w14:paraId="4948D0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215E9D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5F6B21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45847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092BD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86437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15BBD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B2AF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B1FDD8D">
            <w:pPr>
              <w:rPr>
                <w:rFonts w:ascii="黑体" w:hAnsi="黑体" w:eastAsia="黑体"/>
                <w:szCs w:val="21"/>
              </w:rPr>
            </w:pPr>
          </w:p>
        </w:tc>
        <w:tc>
          <w:tcPr>
            <w:tcW w:w="1701" w:type="dxa"/>
            <w:vMerge w:val="continue"/>
            <w:noWrap w:val="0"/>
            <w:tcMar>
              <w:left w:w="108" w:type="dxa"/>
              <w:right w:w="108" w:type="dxa"/>
            </w:tcMar>
            <w:vAlign w:val="center"/>
          </w:tcPr>
          <w:p w14:paraId="3799CD48">
            <w:pPr>
              <w:widowControl/>
              <w:spacing w:line="300" w:lineRule="exact"/>
              <w:rPr>
                <w:rFonts w:ascii="黑体" w:hAnsi="黑体" w:eastAsia="黑体"/>
                <w:kern w:val="0"/>
                <w:szCs w:val="21"/>
              </w:rPr>
            </w:pPr>
          </w:p>
        </w:tc>
        <w:tc>
          <w:tcPr>
            <w:tcW w:w="2976" w:type="dxa"/>
            <w:noWrap w:val="0"/>
            <w:vAlign w:val="center"/>
          </w:tcPr>
          <w:p w14:paraId="1D5799D0">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2" w:type="dxa"/>
            <w:noWrap w:val="0"/>
            <w:tcMar>
              <w:left w:w="108" w:type="dxa"/>
              <w:right w:w="108" w:type="dxa"/>
            </w:tcMar>
            <w:vAlign w:val="center"/>
          </w:tcPr>
          <w:p w14:paraId="640A39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00E99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87B2D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4F4EC0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8A73F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58AB8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48244D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4124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CEF607C">
            <w:pPr>
              <w:rPr>
                <w:rFonts w:ascii="黑体" w:hAnsi="黑体" w:eastAsia="黑体"/>
                <w:szCs w:val="21"/>
              </w:rPr>
            </w:pPr>
          </w:p>
        </w:tc>
        <w:tc>
          <w:tcPr>
            <w:tcW w:w="1701" w:type="dxa"/>
            <w:vMerge w:val="continue"/>
            <w:noWrap w:val="0"/>
            <w:tcMar>
              <w:left w:w="108" w:type="dxa"/>
              <w:right w:w="108" w:type="dxa"/>
            </w:tcMar>
            <w:vAlign w:val="center"/>
          </w:tcPr>
          <w:p w14:paraId="4761BFA0">
            <w:pPr>
              <w:widowControl/>
              <w:spacing w:line="300" w:lineRule="exact"/>
              <w:rPr>
                <w:rFonts w:ascii="黑体" w:hAnsi="黑体" w:eastAsia="黑体"/>
                <w:kern w:val="0"/>
                <w:szCs w:val="21"/>
              </w:rPr>
            </w:pPr>
          </w:p>
        </w:tc>
        <w:tc>
          <w:tcPr>
            <w:tcW w:w="2976" w:type="dxa"/>
            <w:noWrap w:val="0"/>
            <w:vAlign w:val="center"/>
          </w:tcPr>
          <w:p w14:paraId="78335D94">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2" w:type="dxa"/>
            <w:noWrap w:val="0"/>
            <w:tcMar>
              <w:left w:w="108" w:type="dxa"/>
              <w:right w:w="108" w:type="dxa"/>
            </w:tcMar>
            <w:vAlign w:val="center"/>
          </w:tcPr>
          <w:p w14:paraId="2EFFC0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3</w:t>
            </w:r>
          </w:p>
        </w:tc>
        <w:tc>
          <w:tcPr>
            <w:tcW w:w="545" w:type="dxa"/>
            <w:noWrap w:val="0"/>
            <w:tcMar>
              <w:left w:w="108" w:type="dxa"/>
              <w:right w:w="108" w:type="dxa"/>
            </w:tcMar>
            <w:vAlign w:val="center"/>
          </w:tcPr>
          <w:p w14:paraId="14B479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515EAE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0AD87D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76D19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6EA8C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82E0D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3</w:t>
            </w:r>
            <w:bookmarkStart w:id="10" w:name="_GoBack"/>
            <w:bookmarkEnd w:id="10"/>
          </w:p>
        </w:tc>
      </w:tr>
      <w:tr w14:paraId="69BE9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FBC374A">
            <w:pPr>
              <w:rPr>
                <w:rFonts w:ascii="黑体" w:hAnsi="黑体" w:eastAsia="黑体"/>
                <w:szCs w:val="21"/>
              </w:rPr>
            </w:pPr>
          </w:p>
        </w:tc>
        <w:tc>
          <w:tcPr>
            <w:tcW w:w="4677" w:type="dxa"/>
            <w:gridSpan w:val="2"/>
            <w:noWrap w:val="0"/>
            <w:tcMar>
              <w:left w:w="108" w:type="dxa"/>
              <w:right w:w="108" w:type="dxa"/>
            </w:tcMar>
            <w:vAlign w:val="center"/>
          </w:tcPr>
          <w:p w14:paraId="2EB508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（七）总计</w:t>
            </w:r>
          </w:p>
        </w:tc>
        <w:tc>
          <w:tcPr>
            <w:tcW w:w="742" w:type="dxa"/>
            <w:noWrap w:val="0"/>
            <w:tcMar>
              <w:left w:w="108" w:type="dxa"/>
              <w:right w:w="108" w:type="dxa"/>
            </w:tcMar>
            <w:vAlign w:val="center"/>
          </w:tcPr>
          <w:p w14:paraId="205052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c>
          <w:tcPr>
            <w:tcW w:w="545" w:type="dxa"/>
            <w:noWrap w:val="0"/>
            <w:tcMar>
              <w:left w:w="108" w:type="dxa"/>
              <w:right w:w="108" w:type="dxa"/>
            </w:tcMar>
            <w:vAlign w:val="center"/>
          </w:tcPr>
          <w:p w14:paraId="5042CC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926D9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6237D0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B6105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2CD99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174838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r>
      <w:tr w14:paraId="68BEE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A0A79B9">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2" w:type="dxa"/>
            <w:noWrap w:val="0"/>
            <w:tcMar>
              <w:left w:w="108" w:type="dxa"/>
              <w:right w:w="108" w:type="dxa"/>
            </w:tcMar>
            <w:vAlign w:val="center"/>
          </w:tcPr>
          <w:p w14:paraId="0A82C2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default"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5E009E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A6AD4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F2B94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16DC5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E7A74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6F85D7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14:paraId="0C29556F">
      <w:pPr>
        <w:numPr>
          <w:ilvl w:val="0"/>
          <w:numId w:val="0"/>
        </w:numPr>
        <w:jc w:val="center"/>
        <w:rPr>
          <w:rFonts w:hint="eastAsia" w:ascii="黑体" w:hAnsi="黑体" w:eastAsia="黑体" w:cs="黑体"/>
          <w:b/>
          <w:bCs/>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61"/>
        <w:gridCol w:w="561"/>
        <w:gridCol w:w="561"/>
        <w:gridCol w:w="561"/>
        <w:gridCol w:w="637"/>
        <w:gridCol w:w="522"/>
        <w:gridCol w:w="561"/>
        <w:gridCol w:w="561"/>
        <w:gridCol w:w="561"/>
        <w:gridCol w:w="586"/>
        <w:gridCol w:w="563"/>
        <w:gridCol w:w="561"/>
        <w:gridCol w:w="561"/>
        <w:gridCol w:w="561"/>
        <w:gridCol w:w="598"/>
      </w:tblGrid>
      <w:tr w14:paraId="6BDA96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307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DFF8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478AE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行政诉讼</w:t>
            </w:r>
          </w:p>
        </w:tc>
      </w:tr>
      <w:tr w14:paraId="49408C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600"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458BD7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eastAsia" w:ascii="黑体" w:hAnsi="宋体" w:eastAsia="黑体" w:cs="黑体"/>
                <w:sz w:val="19"/>
                <w:szCs w:val="19"/>
              </w:rPr>
              <w:t>结果</w:t>
            </w:r>
          </w:p>
          <w:p w14:paraId="1B6625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eastAsia" w:ascii="黑体" w:hAnsi="宋体" w:eastAsia="黑体" w:cs="黑体"/>
                <w:sz w:val="19"/>
                <w:szCs w:val="19"/>
              </w:rPr>
              <w:t>维持</w:t>
            </w:r>
          </w:p>
        </w:tc>
        <w:tc>
          <w:tcPr>
            <w:tcW w:w="60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ABD2B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135" w:firstLine="0"/>
              <w:jc w:val="center"/>
            </w:pPr>
            <w:r>
              <w:rPr>
                <w:rFonts w:hint="eastAsia" w:ascii="黑体" w:hAnsi="宋体" w:eastAsia="黑体" w:cs="黑体"/>
                <w:sz w:val="19"/>
                <w:szCs w:val="19"/>
              </w:rPr>
              <w:t>结果纠正</w:t>
            </w:r>
          </w:p>
        </w:tc>
        <w:tc>
          <w:tcPr>
            <w:tcW w:w="60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69F5A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5" w:right="-90"/>
              <w:jc w:val="center"/>
            </w:pPr>
            <w:r>
              <w:rPr>
                <w:rFonts w:hint="eastAsia" w:ascii="黑体" w:hAnsi="宋体" w:eastAsia="黑体" w:cs="黑体"/>
                <w:sz w:val="19"/>
                <w:szCs w:val="19"/>
              </w:rPr>
              <w:t>其他结果</w:t>
            </w:r>
          </w:p>
        </w:tc>
        <w:tc>
          <w:tcPr>
            <w:tcW w:w="60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60B07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eastAsia" w:ascii="黑体" w:hAnsi="宋体" w:eastAsia="黑体" w:cs="黑体"/>
                <w:sz w:val="19"/>
                <w:szCs w:val="19"/>
              </w:rPr>
              <w:t>尚未</w:t>
            </w:r>
          </w:p>
          <w:p w14:paraId="3154FB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eastAsia" w:ascii="黑体" w:hAnsi="宋体" w:eastAsia="黑体" w:cs="黑体"/>
                <w:sz w:val="19"/>
                <w:szCs w:val="19"/>
              </w:rPr>
              <w:t>审结</w:t>
            </w:r>
          </w:p>
        </w:tc>
        <w:tc>
          <w:tcPr>
            <w:tcW w:w="66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BA53F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w:t>
            </w:r>
          </w:p>
          <w:p w14:paraId="494AF6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80187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71AFF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bookmarkStart w:id="9" w:name="_Hlk67039688"/>
            <w:r>
              <w:rPr>
                <w:rFonts w:hint="eastAsia" w:ascii="黑体" w:hAnsi="宋体" w:eastAsia="黑体" w:cs="黑体"/>
                <w:sz w:val="19"/>
                <w:szCs w:val="19"/>
              </w:rPr>
              <w:t>复议后起诉</w:t>
            </w:r>
            <w:bookmarkEnd w:id="9"/>
          </w:p>
        </w:tc>
      </w:tr>
      <w:tr w14:paraId="74B1BD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600"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0D17F005">
            <w:pPr>
              <w:rPr>
                <w:rFonts w:hint="eastAsia" w:ascii="宋体"/>
                <w:sz w:val="24"/>
                <w:szCs w:val="24"/>
              </w:rPr>
            </w:pPr>
          </w:p>
        </w:tc>
        <w:tc>
          <w:tcPr>
            <w:tcW w:w="60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7F504ACD">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33C5320">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0EEC955">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75647EB">
            <w:pPr>
              <w:rPr>
                <w:rFonts w:hint="eastAsia" w:ascii="宋体"/>
                <w:sz w:val="24"/>
                <w:szCs w:val="24"/>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28F169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20"/>
              <w:jc w:val="center"/>
            </w:pPr>
            <w:r>
              <w:rPr>
                <w:rFonts w:hint="eastAsia" w:ascii="黑体" w:hAnsi="宋体" w:eastAsia="黑体" w:cs="黑体"/>
                <w:sz w:val="19"/>
                <w:szCs w:val="19"/>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FF985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0" w:right="-90"/>
              <w:jc w:val="center"/>
            </w:pPr>
            <w:r>
              <w:rPr>
                <w:rFonts w:hint="eastAsia" w:ascii="黑体" w:hAnsi="宋体" w:eastAsia="黑体" w:cs="黑体"/>
                <w:sz w:val="19"/>
                <w:szCs w:val="19"/>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74D0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eastAsia" w:ascii="黑体" w:hAnsi="宋体" w:eastAsia="黑体" w:cs="黑体"/>
                <w:sz w:val="19"/>
                <w:szCs w:val="19"/>
              </w:rPr>
              <w:t>其他</w:t>
            </w:r>
          </w:p>
          <w:p w14:paraId="101E08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206BF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eastAsia" w:ascii="黑体" w:hAnsi="宋体" w:eastAsia="黑体" w:cs="黑体"/>
                <w:sz w:val="19"/>
                <w:szCs w:val="19"/>
              </w:rPr>
              <w:t>尚未</w:t>
            </w:r>
          </w:p>
          <w:p w14:paraId="76D97C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eastAsia" w:ascii="黑体" w:hAnsi="宋体" w:eastAsia="黑体" w:cs="黑体"/>
                <w:sz w:val="19"/>
                <w:szCs w:val="19"/>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F9283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6135C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75"/>
              <w:jc w:val="center"/>
            </w:pPr>
            <w:r>
              <w:rPr>
                <w:rFonts w:hint="eastAsia" w:ascii="黑体" w:hAnsi="宋体" w:eastAsia="黑体" w:cs="黑体"/>
                <w:sz w:val="19"/>
                <w:szCs w:val="19"/>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6C004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eastAsia" w:ascii="黑体" w:hAnsi="宋体" w:eastAsia="黑体" w:cs="黑体"/>
                <w:sz w:val="19"/>
                <w:szCs w:val="19"/>
              </w:rPr>
              <w:t>结果</w:t>
            </w:r>
          </w:p>
          <w:p w14:paraId="4E03E1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eastAsia" w:ascii="黑体" w:hAnsi="宋体" w:eastAsia="黑体" w:cs="黑体"/>
                <w:sz w:val="19"/>
                <w:szCs w:val="19"/>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CE70A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eastAsia" w:ascii="黑体" w:hAnsi="宋体" w:eastAsia="黑体" w:cs="黑体"/>
                <w:sz w:val="19"/>
                <w:szCs w:val="19"/>
              </w:rPr>
              <w:t>其他</w:t>
            </w:r>
          </w:p>
          <w:p w14:paraId="0919E3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11747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105" w:firstLine="0"/>
              <w:jc w:val="center"/>
            </w:pPr>
            <w:r>
              <w:rPr>
                <w:rFonts w:hint="eastAsia"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4B991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总计</w:t>
            </w:r>
          </w:p>
        </w:tc>
      </w:tr>
      <w:tr w14:paraId="55EDC3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00"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062D52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73E092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5AD952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4F883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660" w:type="dxa"/>
            <w:tcBorders>
              <w:top w:val="nil"/>
              <w:left w:val="nil"/>
              <w:bottom w:val="single" w:color="auto" w:sz="6" w:space="0"/>
              <w:right w:val="single" w:color="auto" w:sz="6" w:space="0"/>
            </w:tcBorders>
            <w:noWrap w:val="0"/>
            <w:tcMar>
              <w:left w:w="105" w:type="dxa"/>
              <w:bottom w:w="0" w:type="dxa"/>
              <w:right w:w="105" w:type="dxa"/>
            </w:tcMar>
            <w:vAlign w:val="center"/>
          </w:tcPr>
          <w:p w14:paraId="1350F9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3DCED4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6840A9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55DE40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84633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1A53E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宋体"/>
                <w:lang w:val="en-US"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53D7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rPr>
                <w:rFonts w:hint="eastAsia" w:eastAsia="宋体"/>
                <w:lang w:val="en-US" w:eastAsia="zh-CN"/>
              </w:rPr>
            </w:pPr>
            <w:r>
              <w:rPr>
                <w:rFonts w:hint="eastAsia"/>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692686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1D29DB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EA009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E72C2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r>
    </w:tbl>
    <w:p w14:paraId="6600DE26">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16F685B1">
      <w:pPr>
        <w:numPr>
          <w:ilvl w:val="0"/>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存在的问题</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公开内容精准性不足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部分重点领域信息公开不够细化，政策解读针对性不强，对群众关切的核心条款阐释不够深入；</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公开渠道融合不够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线上线下公开渠道联动不足，政务新媒体互动回应效率有待提升；</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工作队伍能力有待加强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工作人员政务公开业务水平参差不齐，保密审查与公开范围界定能力需进一步提升。</w:t>
      </w:r>
    </w:p>
    <w:p w14:paraId="340A7CC5">
      <w:pPr>
        <w:numPr>
          <w:ilvl w:val="0"/>
          <w:numId w:val="0"/>
        </w:numPr>
        <w:ind w:firstLine="640" w:firstLineChars="200"/>
        <w:rPr>
          <w:rFonts w:hint="default" w:ascii="仿宋_GB2312" w:hAnsi="仿宋_GB2312" w:eastAsia="仿宋_GB2312" w:cs="仿宋_GB2312"/>
          <w:sz w:val="32"/>
          <w:szCs w:val="32"/>
          <w:lang w:val="en-US"/>
        </w:rPr>
      </w:pPr>
      <w:r>
        <w:rPr>
          <w:rFonts w:hint="eastAsia" w:ascii="楷体_GB2312" w:hAnsi="楷体_GB2312" w:eastAsia="楷体_GB2312" w:cs="楷体_GB2312"/>
          <w:sz w:val="32"/>
          <w:szCs w:val="32"/>
        </w:rPr>
        <w:t>改进措施</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提升公开质量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对照政务公开标准目录，细化重点领域公开内容，聚焦政策核心条款、适用范围、办理流程等关键信息，</w:t>
      </w:r>
      <w:r>
        <w:rPr>
          <w:rFonts w:hint="eastAsia" w:ascii="仿宋_GB2312" w:hAnsi="仿宋_GB2312" w:eastAsia="仿宋_GB2312" w:cs="仿宋_GB2312"/>
          <w:sz w:val="32"/>
          <w:szCs w:val="32"/>
          <w:lang w:eastAsia="zh-CN"/>
        </w:rPr>
        <w:t>从而</w:t>
      </w:r>
      <w:r>
        <w:rPr>
          <w:rFonts w:hint="eastAsia" w:ascii="仿宋_GB2312" w:hAnsi="仿宋_GB2312" w:eastAsia="仿宋_GB2312" w:cs="仿宋_GB2312"/>
          <w:sz w:val="32"/>
          <w:szCs w:val="32"/>
        </w:rPr>
        <w:t>增强政策知晓度；</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优化公开渠道：整合网站、政务新媒体、线下专区功能，提升互动回应时效性；</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探索人工智能技术应用，优化信息检索查询效率；</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强化能力建设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将政务公开纳入年度培训计划，开展业务培训、案例研讨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机制，确保公开信息合法合规。</w:t>
      </w:r>
    </w:p>
    <w:p w14:paraId="7DD79658">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其他需要报告的事项</w:t>
      </w:r>
    </w:p>
    <w:p w14:paraId="16481658">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2025年，市司法局未依据《政府信息公开信息处理费管理办法》收取信息处理费。</w:t>
      </w:r>
    </w:p>
    <w:p w14:paraId="7CF47968">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对照《滕州市202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年政务公开工作要点》，围绕</w:t>
      </w:r>
      <w:r>
        <w:rPr>
          <w:rFonts w:hint="eastAsia" w:ascii="仿宋_GB2312" w:hAnsi="仿宋_GB2312" w:eastAsia="仿宋_GB2312" w:cs="仿宋_GB2312"/>
          <w:sz w:val="32"/>
          <w:szCs w:val="32"/>
          <w:lang w:val="en-US" w:eastAsia="zh-CN"/>
        </w:rPr>
        <w:t>财政信息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重大民生信息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行政权力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议提案、执法监督等方面，协调单位相关科室，在做好审核审查的基础上，按照时间节点，及时在滕州市政府信息公开平台向社会公开。本单位政府活动信息、通知公告、政策宣传、普法教育等信息在单位官方网站及时向社会公开。</w:t>
      </w:r>
    </w:p>
    <w:p w14:paraId="35701368">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市司法局</w:t>
      </w:r>
      <w:r>
        <w:rPr>
          <w:rFonts w:hint="eastAsia" w:ascii="仿宋_GB2312" w:hAnsi="仿宋_GB2312" w:eastAsia="仿宋_GB2312" w:cs="仿宋_GB2312"/>
          <w:sz w:val="32"/>
          <w:szCs w:val="32"/>
        </w:rPr>
        <w:t>承办政协提案</w:t>
      </w:r>
      <w:r>
        <w:rPr>
          <w:rFonts w:hint="eastAsia" w:ascii="仿宋_GB2312" w:hAnsi="仿宋_GB2312" w:eastAsia="仿宋_GB2312" w:cs="仿宋_GB2312"/>
          <w:sz w:val="32"/>
          <w:szCs w:val="32"/>
          <w:lang w:val="en-US" w:eastAsia="zh-CN"/>
        </w:rPr>
        <w:t>7件，</w:t>
      </w:r>
      <w:r>
        <w:rPr>
          <w:rFonts w:hint="eastAsia" w:ascii="仿宋_GB2312" w:hAnsi="仿宋_GB2312" w:eastAsia="仿宋_GB2312" w:cs="仿宋_GB2312"/>
          <w:sz w:val="32"/>
          <w:szCs w:val="32"/>
        </w:rPr>
        <w:t>已办结，未承办人大代表建议</w:t>
      </w:r>
      <w:r>
        <w:rPr>
          <w:rFonts w:hint="eastAsia" w:ascii="仿宋_GB2312" w:hAnsi="仿宋_GB2312" w:eastAsia="仿宋_GB2312" w:cs="仿宋_GB2312"/>
          <w:sz w:val="32"/>
          <w:szCs w:val="32"/>
          <w:lang w:eastAsia="zh-CN"/>
        </w:rPr>
        <w:t>。</w:t>
      </w:r>
    </w:p>
    <w:p w14:paraId="5068D39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信息公开创新方面。市司法局以创新赋能政务公开，优化公开流程，丰富公开载体。聚焦民生关切的法律服务、法治保障等领域，通过短视频、图解手册等形式，让政策落地更清晰，司法行政服务更贴心，切实保障群众知情权。</w:t>
      </w:r>
    </w:p>
    <w:p w14:paraId="4F49730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5、本单位政府信息公开工作年度报告数据统计需要说明的事项：无。</w:t>
      </w:r>
    </w:p>
    <w:p w14:paraId="1BB48F55">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6、其他有关文件专门要求通过政府信息公开工作年度报告予以报告的事项：无。</w:t>
      </w:r>
    </w:p>
    <w:p w14:paraId="13461AA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的电子版可在“中国滕州网”（http://www.tengzhou.gov.cn/）网站查询和下载。如对本报告有任何疑问，请与滕州市司法局联系（地址：滕州市善国北路78号，邮编：277599，电话：0632-5581769，电子邮箱：tzsf5581769@zz.shandong.cn）</w:t>
      </w:r>
    </w:p>
    <w:p w14:paraId="67D2E45E">
      <w:pPr>
        <w:numPr>
          <w:ilvl w:val="0"/>
          <w:numId w:val="0"/>
        </w:numPr>
        <w:ind w:leftChars="200"/>
        <w:rPr>
          <w:rFonts w:hint="eastAsia" w:ascii="仿宋_GB2312" w:hAnsi="仿宋_GB2312" w:eastAsia="仿宋_GB2312" w:cs="仿宋_GB2312"/>
          <w:sz w:val="32"/>
          <w:szCs w:val="32"/>
          <w:lang w:val="en-US" w:eastAsia="zh-CN"/>
        </w:rPr>
      </w:pPr>
    </w:p>
    <w:p w14:paraId="5971D5B2">
      <w:pPr>
        <w:numPr>
          <w:ilvl w:val="0"/>
          <w:numId w:val="0"/>
        </w:numPr>
        <w:rPr>
          <w:rFonts w:hint="eastAsia" w:ascii="仿宋_GB2312" w:hAnsi="仿宋_GB2312" w:eastAsia="仿宋_GB2312" w:cs="仿宋_GB2312"/>
          <w:sz w:val="32"/>
          <w:szCs w:val="32"/>
        </w:rPr>
      </w:pPr>
    </w:p>
    <w:p w14:paraId="157B9D95">
      <w:pPr>
        <w:numPr>
          <w:ilvl w:val="0"/>
          <w:numId w:val="0"/>
        </w:numPr>
        <w:ind w:firstLine="640" w:firstLineChars="200"/>
        <w:rPr>
          <w:rFonts w:hint="eastAsia" w:ascii="仿宋_GB2312" w:hAnsi="仿宋_GB2312" w:eastAsia="仿宋_GB2312" w:cs="仿宋_GB2312"/>
          <w:sz w:val="32"/>
          <w:szCs w:val="32"/>
        </w:rPr>
      </w:pPr>
    </w:p>
    <w:p w14:paraId="24956D18">
      <w:pPr>
        <w:numPr>
          <w:ilvl w:val="0"/>
          <w:numId w:val="0"/>
        </w:numPr>
        <w:rPr>
          <w:rFonts w:hint="eastAsia" w:ascii="仿宋_GB2312" w:hAnsi="仿宋_GB2312" w:eastAsia="仿宋_GB2312" w:cs="仿宋_GB2312"/>
          <w:sz w:val="32"/>
          <w:szCs w:val="32"/>
        </w:rPr>
      </w:pPr>
    </w:p>
    <w:p w14:paraId="55771007">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925C9-4B97-48C0-BA9E-E414C27B28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9BC8C60-93C7-4D25-92B9-BD04DDAC5364}"/>
  </w:font>
  <w:font w:name="仿宋_GB2312">
    <w:panose1 w:val="02010609030101010101"/>
    <w:charset w:val="86"/>
    <w:family w:val="auto"/>
    <w:pitch w:val="default"/>
    <w:sig w:usb0="00000001" w:usb1="080E0000" w:usb2="00000000" w:usb3="00000000" w:csb0="00040000" w:csb1="00000000"/>
    <w:embedRegular r:id="rId3" w:fontKey="{DBABEEA3-6152-4FBE-835A-09A33E14FE7B}"/>
  </w:font>
  <w:font w:name="楷体_GB2312">
    <w:panose1 w:val="02010609030101010101"/>
    <w:charset w:val="86"/>
    <w:family w:val="auto"/>
    <w:pitch w:val="default"/>
    <w:sig w:usb0="00000001" w:usb1="080E0000" w:usb2="00000000" w:usb3="00000000" w:csb0="00040000" w:csb1="00000000"/>
    <w:embedRegular r:id="rId4" w:fontKey="{938F8F42-73BD-471A-9E67-2824C7213F1A}"/>
  </w:font>
  <w:font w:name="楷体">
    <w:panose1 w:val="02010609060101010101"/>
    <w:charset w:val="86"/>
    <w:family w:val="decorative"/>
    <w:pitch w:val="default"/>
    <w:sig w:usb0="800002BF" w:usb1="38CF7CFA" w:usb2="00000016" w:usb3="00000000" w:csb0="00040001" w:csb1="00000000"/>
    <w:embedRegular r:id="rId5" w:fontKey="{B8247F99-28B8-4381-8372-1A9DD54FBD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6F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E77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64E77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6CF8B"/>
    <w:multiLevelType w:val="singleLevel"/>
    <w:tmpl w:val="8886CF8B"/>
    <w:lvl w:ilvl="0" w:tentative="0">
      <w:start w:val="3"/>
      <w:numFmt w:val="chineseCounting"/>
      <w:suff w:val="nothing"/>
      <w:lvlText w:val="%1、"/>
      <w:lvlJc w:val="left"/>
      <w:rPr>
        <w:rFonts w:hint="eastAsia"/>
      </w:rPr>
    </w:lvl>
  </w:abstractNum>
  <w:abstractNum w:abstractNumId="1">
    <w:nsid w:val="48A700C7"/>
    <w:multiLevelType w:val="singleLevel"/>
    <w:tmpl w:val="48A700C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TI4YjE0YWI3NTdmYTNjNWM1NDI4YmEyZDc3ODUifQ=="/>
  </w:docVars>
  <w:rsids>
    <w:rsidRoot w:val="7E4403A5"/>
    <w:rsid w:val="00672A4C"/>
    <w:rsid w:val="034E4C9C"/>
    <w:rsid w:val="0A5B6057"/>
    <w:rsid w:val="0AAD79F5"/>
    <w:rsid w:val="0BE04A65"/>
    <w:rsid w:val="0C747B09"/>
    <w:rsid w:val="104D1783"/>
    <w:rsid w:val="10D774A7"/>
    <w:rsid w:val="10EF12A7"/>
    <w:rsid w:val="14A32AD4"/>
    <w:rsid w:val="14A502C5"/>
    <w:rsid w:val="1C6D3AC0"/>
    <w:rsid w:val="1D65301C"/>
    <w:rsid w:val="1EBA1146"/>
    <w:rsid w:val="20443288"/>
    <w:rsid w:val="210F1440"/>
    <w:rsid w:val="222B1319"/>
    <w:rsid w:val="225E7737"/>
    <w:rsid w:val="25C56608"/>
    <w:rsid w:val="278F3F19"/>
    <w:rsid w:val="289B7071"/>
    <w:rsid w:val="28A342D0"/>
    <w:rsid w:val="2AF22A8A"/>
    <w:rsid w:val="2BB21095"/>
    <w:rsid w:val="2CA85672"/>
    <w:rsid w:val="2D594220"/>
    <w:rsid w:val="2DBE2804"/>
    <w:rsid w:val="2DDD3AA0"/>
    <w:rsid w:val="2F264713"/>
    <w:rsid w:val="2FF94B35"/>
    <w:rsid w:val="30981F4A"/>
    <w:rsid w:val="31910F29"/>
    <w:rsid w:val="33C45316"/>
    <w:rsid w:val="35E0728C"/>
    <w:rsid w:val="37FC6EFA"/>
    <w:rsid w:val="389F11B6"/>
    <w:rsid w:val="3C2100E7"/>
    <w:rsid w:val="3F5B5BD6"/>
    <w:rsid w:val="41A94B2F"/>
    <w:rsid w:val="42F021AA"/>
    <w:rsid w:val="434C2CD8"/>
    <w:rsid w:val="458B49AC"/>
    <w:rsid w:val="460C2F43"/>
    <w:rsid w:val="464F37DE"/>
    <w:rsid w:val="46551035"/>
    <w:rsid w:val="46567474"/>
    <w:rsid w:val="49EA0282"/>
    <w:rsid w:val="4BA861B2"/>
    <w:rsid w:val="4DB20B8F"/>
    <w:rsid w:val="50591CBD"/>
    <w:rsid w:val="50A82C45"/>
    <w:rsid w:val="50E46940"/>
    <w:rsid w:val="527A7D88"/>
    <w:rsid w:val="549C32EC"/>
    <w:rsid w:val="565D3B8A"/>
    <w:rsid w:val="57E708AC"/>
    <w:rsid w:val="5A470CE5"/>
    <w:rsid w:val="5D211DB5"/>
    <w:rsid w:val="5E744166"/>
    <w:rsid w:val="601B5728"/>
    <w:rsid w:val="60580E3A"/>
    <w:rsid w:val="609A02C0"/>
    <w:rsid w:val="6166248C"/>
    <w:rsid w:val="61CD250B"/>
    <w:rsid w:val="62523B65"/>
    <w:rsid w:val="62EA0C91"/>
    <w:rsid w:val="634C0157"/>
    <w:rsid w:val="688C79B7"/>
    <w:rsid w:val="6CC954FB"/>
    <w:rsid w:val="6D3810AF"/>
    <w:rsid w:val="6DE94229"/>
    <w:rsid w:val="6DEF38D1"/>
    <w:rsid w:val="6E4C47B8"/>
    <w:rsid w:val="6EFF18F5"/>
    <w:rsid w:val="7002466A"/>
    <w:rsid w:val="72AC1BBC"/>
    <w:rsid w:val="750577EB"/>
    <w:rsid w:val="752E09B6"/>
    <w:rsid w:val="75852B16"/>
    <w:rsid w:val="75867CD4"/>
    <w:rsid w:val="75B07349"/>
    <w:rsid w:val="76A64272"/>
    <w:rsid w:val="76FA2478"/>
    <w:rsid w:val="7780362D"/>
    <w:rsid w:val="7AE85868"/>
    <w:rsid w:val="7C907955"/>
    <w:rsid w:val="7E4403A5"/>
    <w:rsid w:val="7EFD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1580</Words>
  <Characters>1621</Characters>
  <Lines>0</Lines>
  <Paragraphs>0</Paragraphs>
  <TotalTime>2</TotalTime>
  <ScaleCrop>false</ScaleCrop>
  <LinksUpToDate>false</LinksUpToDate>
  <CharactersWithSpaces>1621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2022-01-12T11:16:00Z</dcterms:created>
  <dc:creator>朱</dc:creator>
  <cp:lastModifiedBy>SUMMER</cp:lastModifiedBy>
  <dcterms:modified xsi:type="dcterms:W3CDTF">2026-01-28T01:19:22Z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6DDAE870574A44338F7C80FC7D8D9D7B</vt:lpwstr>
  </property>
  <property fmtid="{D5CDD505-2E9C-101B-9397-08002B2CF9AE}" pid="4" name="KSOTemplateDocerSaveRecord">
    <vt:lpwstr>eyJoZGlkIjoiMzlhYjU2NjA2ZDYyMTA1YWQ2NWI2NTIxYjRlMmVhOGUiLCJ1c2VySWQiOiI5Nzk2OTMzNjUifQ==</vt:lpwstr>
  </property>
</Properties>
</file>