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2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bidi="ar-SA"/>
        </w:rPr>
        <w:t>滕州市信访局</w:t>
      </w:r>
    </w:p>
    <w:p w14:paraId="53861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bidi="ar-SA"/>
        </w:rPr>
        <w:t>2025年政府信息公开工作年度报告</w:t>
      </w:r>
    </w:p>
    <w:p w14:paraId="7A522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hint="eastAsia" w:ascii="方正小标宋简体" w:hAnsi="方正小标宋简体" w:eastAsia="方正小标宋简体" w:cs="方正小标宋简体"/>
          <w:spacing w:val="0"/>
          <w:sz w:val="44"/>
          <w:szCs w:val="44"/>
          <w:shd w:val="clear" w:fill="FFFFFF"/>
        </w:rPr>
      </w:pPr>
    </w:p>
    <w:p w14:paraId="216649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根据《中华人民共和国政府信息公开条例》规定和省政府办公厅、枣庄市政府办公室、滕州市政府办公室通知要求，结合实际，编制并向社会公布滕州市信访局</w:t>
      </w: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5年政府信息公开年度报告。本年度报告中所列数据的统计期限自</w:t>
      </w: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5年</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日起至</w:t>
      </w:r>
      <w:r>
        <w:rPr>
          <w:rFonts w:hint="default"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US" w:eastAsia="zh-CN" w:bidi="ar-SA"/>
        </w:rPr>
        <w:t>31</w:t>
      </w:r>
      <w:r>
        <w:rPr>
          <w:rFonts w:hint="eastAsia" w:ascii="仿宋_GB2312" w:hAnsi="仿宋_GB2312" w:eastAsia="仿宋_GB2312" w:cs="仿宋_GB2312"/>
          <w:kern w:val="2"/>
          <w:sz w:val="32"/>
          <w:szCs w:val="32"/>
          <w:lang w:val="en-US" w:eastAsia="zh-CN" w:bidi="ar-SA"/>
        </w:rPr>
        <w:t>日止。</w:t>
      </w:r>
    </w:p>
    <w:p w14:paraId="65888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bidi="ar-SA"/>
        </w:rPr>
        <w:t>一、总体情况</w:t>
      </w:r>
    </w:p>
    <w:p w14:paraId="4E1513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滕州市信访局认真贯彻落实《中华人民共和国政府信息公开条例》，着力健全完善信息公开工作体系，强化信息公开载体建设，结合我局工作实际，进一步细化信息公开标准、严密信息公开程序、强化信息公开监督，全力保障人民群众的知情权、参与权和监督权，切实增强人民群众的获得感和对政府工作的满意度，更好地为公众提供便利、高效的服务。</w:t>
      </w:r>
    </w:p>
    <w:p w14:paraId="5575AF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1.主动公开。2025年，主动公开通知公告3条，规划计划1条，财政信息2条，重点领域4条，组织管理8条，政务公开基本目录1条。</w:t>
      </w:r>
    </w:p>
    <w:p w14:paraId="6EB7A4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2.依申请公开。2025年，滕州市信访局未收到和处理政府信息公开依申请事项。没有因政府信息公开产生的行政复议和行政诉讼。</w:t>
      </w:r>
    </w:p>
    <w:p w14:paraId="0FA79F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3.政府信息管理。严格落实公文公开属性源头认定机制，明确标识主动公开、依申请公开、不予公开属性。另明确信息公开时限要求，确保信息上传及时、避免出现空白栏目，扎实做好信息上传维护工作。</w:t>
      </w:r>
    </w:p>
    <w:p w14:paraId="3752DA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4.政府信息公开平台建设。加强本单位新媒体的日常管理和栏目维护，不断完善政府信息公开网的公开内容。</w:t>
      </w:r>
    </w:p>
    <w:p w14:paraId="3E4483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5.监督保障。加强对政务信息公开工作的组织领导，并下设办公室。结合工作安排，开展政务公开培训。</w:t>
      </w:r>
    </w:p>
    <w:p w14:paraId="4FF9C1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2025年，滕州市信访局未发生因信息公开审查不当或保密审查机构未履行保密审查职责而引起的失泄密情况。2025年度未进行社会评议，未发生责任追究情况。</w:t>
      </w:r>
    </w:p>
    <w:p w14:paraId="3862E9B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firstLine="640" w:firstLineChars="200"/>
        <w:jc w:val="both"/>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bidi="ar-SA"/>
        </w:rPr>
        <w:t>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2BD7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33B61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2FF7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8292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D1CA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D99F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55CB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46C5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32F0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F48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8C1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FDFFF3">
            <w:pPr>
              <w:rPr>
                <w:rFonts w:hint="eastAsia" w:ascii="宋体" w:eastAsia="宋体"/>
                <w:sz w:val="24"/>
                <w:szCs w:val="24"/>
                <w:lang w:val="en-US" w:eastAsia="zh-CN"/>
              </w:rPr>
            </w:pPr>
            <w:r>
              <w:rPr>
                <w:rFonts w:hint="eastAsia" w:ascii="宋体"/>
                <w:sz w:val="24"/>
                <w:szCs w:val="24"/>
                <w:lang w:val="en-US" w:eastAsia="zh-CN"/>
              </w:rPr>
              <w:t>0</w:t>
            </w:r>
          </w:p>
        </w:tc>
      </w:tr>
      <w:tr w14:paraId="7C2F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10B3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1D6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493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C3FB26">
            <w:pPr>
              <w:rPr>
                <w:rFonts w:hint="eastAsia" w:ascii="宋体" w:eastAsia="宋体"/>
                <w:sz w:val="24"/>
                <w:szCs w:val="24"/>
                <w:lang w:val="en-US" w:eastAsia="zh-CN"/>
              </w:rPr>
            </w:pPr>
            <w:r>
              <w:rPr>
                <w:rFonts w:hint="eastAsia" w:ascii="宋体"/>
                <w:sz w:val="24"/>
                <w:szCs w:val="24"/>
                <w:lang w:val="en-US" w:eastAsia="zh-CN"/>
              </w:rPr>
              <w:t>0</w:t>
            </w:r>
          </w:p>
        </w:tc>
      </w:tr>
      <w:tr w14:paraId="415E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F865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3837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98EF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94F7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042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076F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2EC709">
            <w:pPr>
              <w:jc w:val="center"/>
              <w:rPr>
                <w:rFonts w:hint="eastAsia" w:ascii="宋体" w:eastAsia="宋体"/>
                <w:sz w:val="24"/>
                <w:szCs w:val="24"/>
                <w:lang w:eastAsia="zh-CN"/>
              </w:rPr>
            </w:pPr>
            <w:r>
              <w:rPr>
                <w:rFonts w:hint="eastAsia" w:ascii="宋体"/>
                <w:color w:val="auto"/>
                <w:sz w:val="24"/>
                <w:szCs w:val="24"/>
                <w:highlight w:val="none"/>
                <w:lang w:val="en-US" w:eastAsia="zh-CN"/>
              </w:rPr>
              <w:t>0</w:t>
            </w:r>
          </w:p>
        </w:tc>
      </w:tr>
      <w:tr w14:paraId="1BFE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7D97B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207B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4862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6646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7FCE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B229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1BD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yellow"/>
                <w:lang w:val="en-US"/>
              </w:rPr>
            </w:pPr>
            <w:r>
              <w:rPr>
                <w:rFonts w:hint="eastAsia" w:ascii="宋体"/>
                <w:color w:val="auto"/>
                <w:sz w:val="24"/>
                <w:szCs w:val="24"/>
                <w:highlight w:val="none"/>
                <w:lang w:val="en-US" w:eastAsia="zh-CN"/>
              </w:rPr>
              <w:t>0</w:t>
            </w:r>
          </w:p>
        </w:tc>
      </w:tr>
      <w:tr w14:paraId="6D27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3F14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7EF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yellow"/>
              </w:rPr>
            </w:pPr>
            <w:r>
              <w:rPr>
                <w:rFonts w:hint="eastAsia" w:ascii="宋体"/>
                <w:color w:val="auto"/>
                <w:sz w:val="24"/>
                <w:szCs w:val="24"/>
                <w:highlight w:val="none"/>
                <w:lang w:val="en-US" w:eastAsia="zh-CN"/>
              </w:rPr>
              <w:t>0</w:t>
            </w:r>
          </w:p>
        </w:tc>
      </w:tr>
      <w:tr w14:paraId="544B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1D4FF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842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EB3A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26E324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6E65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99E7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62B5E663">
            <w:pPr>
              <w:jc w:val="center"/>
              <w:rPr>
                <w:rFonts w:hint="eastAsia" w:ascii="宋体"/>
                <w:sz w:val="24"/>
                <w:szCs w:val="24"/>
              </w:rPr>
            </w:pPr>
            <w:r>
              <w:rPr>
                <w:rFonts w:hint="eastAsia" w:ascii="宋体"/>
                <w:color w:val="auto"/>
                <w:sz w:val="24"/>
                <w:szCs w:val="24"/>
                <w:highlight w:val="none"/>
                <w:lang w:val="en-US" w:eastAsia="zh-CN"/>
              </w:rPr>
              <w:t>0</w:t>
            </w:r>
          </w:p>
        </w:tc>
      </w:tr>
    </w:tbl>
    <w:p w14:paraId="0B7D59D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firstLine="320" w:firstLineChars="100"/>
        <w:jc w:val="both"/>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eastAsia="zh-CN" w:bidi="ar-SA"/>
        </w:rPr>
        <w:t>三、</w:t>
      </w:r>
      <w:r>
        <w:rPr>
          <w:rFonts w:hint="eastAsia" w:ascii="黑体" w:hAnsi="黑体" w:eastAsia="黑体" w:cs="黑体"/>
          <w:b w:val="0"/>
          <w:bCs/>
          <w:i w:val="0"/>
          <w:caps w:val="0"/>
          <w:color w:val="333333"/>
          <w:spacing w:val="0"/>
          <w:sz w:val="32"/>
          <w:szCs w:val="32"/>
          <w:shd w:val="clear" w:color="auto" w:fill="FFFFFF"/>
          <w:lang w:bidi="ar-SA"/>
        </w:rPr>
        <w:t>收到和处理政府信息公开申请情况</w:t>
      </w:r>
    </w:p>
    <w:tbl>
      <w:tblPr>
        <w:tblStyle w:val="5"/>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14:paraId="1CA4F2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2B69CA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楷体_GB2312" w:eastAsia="楷体_GB2312" w:cs="楷体_GB2312"/>
                <w:sz w:val="19"/>
                <w:szCs w:val="19"/>
              </w:rPr>
              <w:t>（本列数据的勾稽关系为：第一项加第二项之和，</w:t>
            </w:r>
          </w:p>
          <w:p w14:paraId="0A4C1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85791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14:paraId="4C8343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7519B05B">
            <w:pPr>
              <w:rPr>
                <w:rFonts w:hint="eastAsia" w:ascii="宋体"/>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D44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883E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CE2F3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14:paraId="3B4D5F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6BA88A48">
            <w:pPr>
              <w:rPr>
                <w:rFonts w:hint="eastAsia" w:ascii="宋体"/>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2C9209">
            <w:pPr>
              <w:rPr>
                <w:rFonts w:hint="eastAsia" w:ascii="宋体"/>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D91C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商业</w:t>
            </w:r>
          </w:p>
          <w:p w14:paraId="2540E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8127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科研</w:t>
            </w:r>
          </w:p>
          <w:p w14:paraId="22D8FC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34D1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社会公</w:t>
            </w:r>
          </w:p>
          <w:p w14:paraId="09AACB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EB61F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法律服</w:t>
            </w:r>
          </w:p>
          <w:p w14:paraId="6B0A64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19DF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sz w:val="19"/>
                <w:szCs w:val="19"/>
              </w:rPr>
            </w:pPr>
            <w:r>
              <w:rPr>
                <w:rFonts w:hint="eastAsia" w:ascii="黑体" w:hAnsi="宋体" w:eastAsia="黑体" w:cs="黑体"/>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D9D2CAE">
            <w:pPr>
              <w:rPr>
                <w:rFonts w:hint="eastAsia" w:ascii="宋体"/>
                <w:sz w:val="24"/>
                <w:szCs w:val="24"/>
              </w:rPr>
            </w:pPr>
          </w:p>
        </w:tc>
      </w:tr>
      <w:tr w14:paraId="72CF9B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208B8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0" w:name="_Hlk66973412"/>
            <w:bookmarkEnd w:id="0"/>
            <w:r>
              <w:rPr>
                <w:rFonts w:hint="eastAsia" w:ascii="黑体" w:hAnsi="宋体" w:eastAsia="黑体" w:cs="黑体"/>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5AF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1B89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F024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99C5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9625E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11EF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549DE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08F8D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ED9A3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DD74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3778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79F4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58C5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CDE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AA17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ECE5B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50A077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89CA8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D0951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5F83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F4A04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BC56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1B99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CF92F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693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FB5A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1D6B7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7FCFF4E">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90313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1" w:name="_Hlk66973981"/>
            <w:bookmarkEnd w:id="1"/>
            <w:r>
              <w:rPr>
                <w:rFonts w:hint="eastAsia" w:ascii="黑体" w:hAnsi="宋体" w:eastAsia="黑体" w:cs="黑体"/>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7E1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31E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F7A9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37C7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F0E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469E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EE00A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53F9B3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D86B3B0">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CE0C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847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95D71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3E0C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EC63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CCBE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28BD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6AF0C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CA6A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B79A4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376510F">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07CFCDF">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DBBB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2" w:name="_Hlk66974104"/>
            <w:bookmarkEnd w:id="2"/>
            <w:r>
              <w:rPr>
                <w:rFonts w:hint="eastAsia" w:ascii="仿宋_GB2312" w:eastAsia="仿宋_GB2312" w:cs="仿宋_GB2312"/>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C072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0B686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015B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55E7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89E0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3F4D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88E3A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FBFA0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D7E24CD">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B674D0">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D130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73CF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5CCE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DB29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5C00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763AB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4514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E1D6E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2E418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9A9E819">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E169F3">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03A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3" w:name="_Hlk66974290"/>
            <w:bookmarkEnd w:id="3"/>
            <w:r>
              <w:rPr>
                <w:rFonts w:hint="eastAsia" w:ascii="仿宋_GB2312" w:eastAsia="仿宋_GB2312" w:cs="仿宋_GB2312"/>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9B75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C3D1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2001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D6AA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7F4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726F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7279E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8012A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5875293">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EB259F2">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ABEC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D06C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0EB9E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70C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374A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6036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CDC2D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1580E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5D6113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1ED9E65">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047E6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ED6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4" w:name="_Hlk66974555"/>
            <w:bookmarkEnd w:id="4"/>
            <w:r>
              <w:rPr>
                <w:rFonts w:hint="eastAsia" w:ascii="仿宋_GB2312" w:eastAsia="仿宋_GB2312" w:cs="仿宋_GB2312"/>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E1F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17E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5268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4B415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3515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A8FF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D4C5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BA1B3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401F757">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85227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0FE5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4272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6292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43C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0F38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D4C83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013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3656A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9435E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77CF205">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E2ECFF">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CD63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5" w:name="_Hlk66975211"/>
            <w:bookmarkEnd w:id="5"/>
            <w:r>
              <w:rPr>
                <w:rFonts w:hint="eastAsia" w:ascii="仿宋_GB2312" w:eastAsia="仿宋_GB2312" w:cs="仿宋_GB2312"/>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5B6DB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DA68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F3D1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6A4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3D151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9524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17A6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BB778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4302A83">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2BC0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BFF6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4ADC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74D9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C39E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3EAA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430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3147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C9557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C7B34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2E7CE1F">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22ADB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2D1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6" w:name="_Hlk66975392"/>
            <w:bookmarkEnd w:id="6"/>
            <w:r>
              <w:rPr>
                <w:rFonts w:hint="eastAsia" w:ascii="仿宋_GB2312" w:eastAsia="仿宋_GB2312" w:cs="仿宋_GB2312"/>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708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ABE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05B5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DAE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969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963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1BCFE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5319A5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871246D">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49D898">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B84A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7" w:name="_Hlk66975466"/>
            <w:bookmarkEnd w:id="7"/>
            <w:r>
              <w:rPr>
                <w:rFonts w:hint="eastAsia" w:ascii="仿宋_GB2312" w:eastAsia="仿宋_GB2312" w:cs="仿宋_GB2312"/>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47C52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0B31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4F17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27A39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447B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512A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01FF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46B4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A4BD511">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0397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E17F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8" w:name="_Hlk66975537"/>
            <w:bookmarkEnd w:id="8"/>
            <w:r>
              <w:rPr>
                <w:rFonts w:hint="eastAsia" w:ascii="仿宋_GB2312" w:eastAsia="仿宋_GB2312" w:cs="仿宋_GB2312"/>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CA8B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92A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9BF4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50AE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7D6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063D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1E470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08BEB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C070EEC">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688E83">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CA20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0F6D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340C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44F5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44E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400F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A1902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2D7D2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4A1F3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5C0D132">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AA7EDA">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1727D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4048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B61A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15E7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780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FAF9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60F0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9BA31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89313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0F7A001">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E2100B">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ECC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C6C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38031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D7D5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9D6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B0B6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DA80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01885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F9F18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66C8AD2">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3B7A79">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9FE38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14:paraId="4E8D47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F6C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AEA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A1E5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7BE8A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578D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F264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9806F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0FE76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DDE7B35">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DF9E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21582F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1CC5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3477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C071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7E35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3954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5DF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776CB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92DBB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2A91AEF">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97C4AE">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62EF4F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8C8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41A48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DE653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143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B0A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99C3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2C68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028F9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7E44AD6">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6148FA">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5F4790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58E16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EECC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7BD3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58AD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355B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3310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8A599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4AA99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56CF021">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ECF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D5B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9CA3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8036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2C88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E7A2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19934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E7ABA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A64E7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14:paraId="67D2D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2D4E92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7CC2B3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624EB7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FCD97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270F06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0EFE01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14:paraId="63A995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bl>
    <w:p w14:paraId="3BEB346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jc w:val="both"/>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val="en-US" w:eastAsia="zh-CN" w:bidi="ar-SA"/>
        </w:rPr>
        <w:t>四、</w:t>
      </w:r>
      <w:r>
        <w:rPr>
          <w:rFonts w:hint="eastAsia" w:ascii="黑体" w:hAnsi="黑体" w:eastAsia="黑体" w:cs="黑体"/>
          <w:b w:val="0"/>
          <w:bCs/>
          <w:i w:val="0"/>
          <w:caps w:val="0"/>
          <w:color w:val="333333"/>
          <w:spacing w:val="0"/>
          <w:sz w:val="32"/>
          <w:szCs w:val="32"/>
          <w:shd w:val="clear" w:color="auto" w:fill="FFFFFF"/>
          <w:lang w:bidi="ar-SA"/>
        </w:rPr>
        <w:t>政府信息公开行政复议、行政诉讼情况</w:t>
      </w:r>
      <w:bookmarkStart w:id="9" w:name="_GoBack"/>
      <w:bookmarkEnd w:id="9"/>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0E79B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CB8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4C4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14:paraId="0854B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3AF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333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E00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8C3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66C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1F8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FAD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14:paraId="7B0032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C45E8C">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0773ED">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2510F8">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01ED0C">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95E10F">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88E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79B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94E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942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720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649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958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4AF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D8E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A2A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FB45F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9C4E1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61644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4BC4F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9745B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76681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8E8F2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1CE63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558F0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293B2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09AEA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166D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B7777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C350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19EE9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ABD23C">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5A7FC8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640" w:firstLineChars="200"/>
        <w:jc w:val="both"/>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bidi="ar-SA"/>
        </w:rPr>
        <w:t>五、存在的主要问题及改进情况</w:t>
      </w:r>
    </w:p>
    <w:p w14:paraId="1F6CE5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_GB2312" w:hAnsi="楷体_GB2312" w:eastAsia="楷体_GB2312" w:cs="楷体_GB2312"/>
          <w:b w:val="0"/>
          <w:bCs/>
          <w:i w:val="0"/>
          <w:caps w:val="0"/>
          <w:color w:val="333333"/>
          <w:spacing w:val="0"/>
          <w:sz w:val="32"/>
          <w:szCs w:val="32"/>
          <w:shd w:val="clear" w:color="auto" w:fill="FFFFFF"/>
          <w:lang w:val="en-US" w:eastAsia="zh-CN" w:bidi="ar-SA"/>
        </w:rPr>
      </w:pPr>
      <w:r>
        <w:rPr>
          <w:rFonts w:hint="eastAsia" w:ascii="楷体_GB2312" w:hAnsi="楷体_GB2312" w:eastAsia="楷体_GB2312" w:cs="楷体_GB2312"/>
          <w:b w:val="0"/>
          <w:bCs/>
          <w:i w:val="0"/>
          <w:caps w:val="0"/>
          <w:color w:val="333333"/>
          <w:spacing w:val="0"/>
          <w:sz w:val="32"/>
          <w:szCs w:val="32"/>
          <w:shd w:val="clear" w:color="auto" w:fill="FFFFFF"/>
          <w:lang w:val="en-US" w:eastAsia="zh-CN" w:bidi="ar-SA"/>
        </w:rPr>
        <w:t>（一）存在的主要问题</w:t>
      </w:r>
    </w:p>
    <w:p w14:paraId="5CC15F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政府信息公开不够及时。对于应当主动公开的内容，虽然能够按照时间要求进行公开，但公开的及时性有待进一步提高。二是公开信息的数量较少，部分科室对政务公开的认识不深，不愿主动公开的问题依然存在。</w:t>
      </w:r>
    </w:p>
    <w:p w14:paraId="01ADEE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_GB2312" w:hAnsi="楷体_GB2312" w:eastAsia="楷体_GB2312" w:cs="楷体_GB2312"/>
          <w:b w:val="0"/>
          <w:bCs/>
          <w:i w:val="0"/>
          <w:caps w:val="0"/>
          <w:color w:val="333333"/>
          <w:spacing w:val="0"/>
          <w:sz w:val="32"/>
          <w:szCs w:val="32"/>
          <w:shd w:val="clear" w:color="auto" w:fill="FFFFFF"/>
          <w:lang w:val="en-US" w:eastAsia="zh-CN" w:bidi="ar-SA"/>
        </w:rPr>
      </w:pPr>
      <w:r>
        <w:rPr>
          <w:rFonts w:hint="eastAsia" w:ascii="楷体_GB2312" w:hAnsi="楷体_GB2312" w:eastAsia="楷体_GB2312" w:cs="楷体_GB2312"/>
          <w:b w:val="0"/>
          <w:bCs/>
          <w:i w:val="0"/>
          <w:caps w:val="0"/>
          <w:color w:val="333333"/>
          <w:spacing w:val="0"/>
          <w:sz w:val="32"/>
          <w:szCs w:val="32"/>
          <w:shd w:val="clear" w:color="auto" w:fill="FFFFFF"/>
          <w:lang w:val="en-US" w:eastAsia="zh-CN" w:bidi="ar-SA"/>
        </w:rPr>
        <w:t>（二）改进情况及下一步工作打算</w:t>
      </w:r>
    </w:p>
    <w:p w14:paraId="153BAA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以上问题，下步将采取以下措施进行重点改进：一是制定信息更新时间表，明确各栏目信息更新的周期。加大网络安全投入，做到组织落实、人员落实、责任明确、制度健全。二是继续加强业务培训，提高各科室信息联络员关于对政府信息公开工作的认识，提高专职负责政府信息公开工作人员对信息采集、编辑能力和水平。</w:t>
      </w:r>
    </w:p>
    <w:p w14:paraId="22D520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640" w:firstLineChars="200"/>
        <w:jc w:val="both"/>
        <w:rPr>
          <w:rFonts w:hint="eastAsia" w:ascii="黑体" w:hAnsi="黑体" w:eastAsia="黑体" w:cs="黑体"/>
          <w:b w:val="0"/>
          <w:bCs/>
          <w:i w:val="0"/>
          <w:caps w:val="0"/>
          <w:color w:val="333333"/>
          <w:spacing w:val="0"/>
          <w:sz w:val="32"/>
          <w:szCs w:val="32"/>
          <w:shd w:val="clear" w:color="auto" w:fill="FFFFFF"/>
          <w:lang w:bidi="ar-SA"/>
        </w:rPr>
      </w:pPr>
      <w:r>
        <w:rPr>
          <w:rFonts w:hint="eastAsia" w:ascii="黑体" w:hAnsi="黑体" w:eastAsia="黑体" w:cs="黑体"/>
          <w:b w:val="0"/>
          <w:bCs/>
          <w:i w:val="0"/>
          <w:caps w:val="0"/>
          <w:color w:val="333333"/>
          <w:spacing w:val="0"/>
          <w:sz w:val="32"/>
          <w:szCs w:val="32"/>
          <w:shd w:val="clear" w:color="auto" w:fill="FFFFFF"/>
          <w:lang w:bidi="ar-SA"/>
        </w:rPr>
        <w:t>六、其他需要报告的事项</w:t>
      </w:r>
    </w:p>
    <w:p w14:paraId="789307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1.收取信息处理费情况方面。2025年度，本单位未收取信息处理费。</w:t>
      </w:r>
    </w:p>
    <w:p w14:paraId="3ED059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2.落实年度政务公开工作要点情况。对照《滕州市2025年政务公开工作要点》，围绕重点领域信息公开、政务公开标准化规范化建设明确责任主体和完成时限。</w:t>
      </w:r>
    </w:p>
    <w:p w14:paraId="2D34D6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3.人大代表建议和政协提案办理情况方面。2025年，滕州市信访局未收到人大代表建议；未收到政协委员提案。</w:t>
      </w:r>
    </w:p>
    <w:p w14:paraId="21D2BB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4.开展政务公开创新方面：无</w:t>
      </w:r>
    </w:p>
    <w:p w14:paraId="4B8F83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5.本单位政府信息公开工作年度报告数据统计需要说明的事项：无</w:t>
      </w:r>
    </w:p>
    <w:p w14:paraId="17BE10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6.其他有关文件专门要求通过政府信息公开工作年度报告予以报告的事项：无</w:t>
      </w:r>
    </w:p>
    <w:p w14:paraId="34F60C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_GB2312" w:hAnsi="楷体_GB2312" w:eastAsia="楷体_GB2312" w:cs="楷体_GB2312"/>
          <w:sz w:val="32"/>
          <w:szCs w:val="32"/>
        </w:rPr>
      </w:pPr>
      <w:r>
        <w:rPr>
          <w:rFonts w:hint="eastAsia" w:ascii="仿宋_GB2312" w:hAnsi="仿宋_GB2312" w:eastAsia="仿宋_GB2312" w:cs="仿宋_GB2312"/>
          <w:kern w:val="2"/>
          <w:sz w:val="32"/>
          <w:szCs w:val="32"/>
          <w:lang w:val="en-US" w:eastAsia="zh-CN" w:bidi="ar-SA"/>
        </w:rPr>
        <w:t>本报告的电子版可在“中国滕州网”（http://www.tengzhou.gov.cn/）网站查询和下载。如对本报告有任何疑问，请与滕州市信访局办公室联系。（地址：山东省滕州市善国北路信访局207 房间，联系电话：0632—5513913，电子邮箱</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"mailto:tzzwgk@zz.shandong.cn%EF%BC%89%E3%80%82"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tzxf5513913@zz.shandong.cn</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）                                                                                 </w:t>
      </w:r>
    </w:p>
    <w:p w14:paraId="6478E0F6">
      <w:pPr>
        <w:keepNext w:val="0"/>
        <w:keepLines w:val="0"/>
        <w:pageBreakBefore w:val="0"/>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sz w:val="32"/>
          <w:szCs w:val="32"/>
        </w:rPr>
      </w:pP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D2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D92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D92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1AE5"/>
    <w:multiLevelType w:val="singleLevel"/>
    <w:tmpl w:val="F56F1A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MDRmYjFhNjNlODJkYTk5MzZjMmI1ZGU0OTU3NGMifQ=="/>
  </w:docVars>
  <w:rsids>
    <w:rsidRoot w:val="00000000"/>
    <w:rsid w:val="019B4927"/>
    <w:rsid w:val="01E96AC4"/>
    <w:rsid w:val="05021435"/>
    <w:rsid w:val="0E1B0915"/>
    <w:rsid w:val="0F6D69C3"/>
    <w:rsid w:val="11BE0236"/>
    <w:rsid w:val="12582A56"/>
    <w:rsid w:val="1DBC6211"/>
    <w:rsid w:val="23FA3E3D"/>
    <w:rsid w:val="2D754EA3"/>
    <w:rsid w:val="30992F59"/>
    <w:rsid w:val="312431B7"/>
    <w:rsid w:val="449F6F6C"/>
    <w:rsid w:val="46484DBC"/>
    <w:rsid w:val="481B2E83"/>
    <w:rsid w:val="4D7A61C5"/>
    <w:rsid w:val="4F210392"/>
    <w:rsid w:val="51E76B81"/>
    <w:rsid w:val="61D712F1"/>
    <w:rsid w:val="61ED2529"/>
    <w:rsid w:val="62C5340F"/>
    <w:rsid w:val="63DC68D4"/>
    <w:rsid w:val="64B7B7C0"/>
    <w:rsid w:val="67894A69"/>
    <w:rsid w:val="68FB0A85"/>
    <w:rsid w:val="6F4A7120"/>
    <w:rsid w:val="705A2CA5"/>
    <w:rsid w:val="72720975"/>
    <w:rsid w:val="732E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line="315" w:lineRule="atLeast"/>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singl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styleId="15">
    <w:name w:val="HTML Sample"/>
    <w:basedOn w:val="6"/>
    <w:qFormat/>
    <w:uiPriority w:val="0"/>
    <w:rPr>
      <w:rFonts w:ascii="Courier New" w:hAnsi="Courier New"/>
    </w:rPr>
  </w:style>
  <w:style w:type="character" w:customStyle="1" w:styleId="16">
    <w:name w:val="page_this"/>
    <w:basedOn w:val="6"/>
    <w:qFormat/>
    <w:uiPriority w:val="0"/>
    <w:rPr>
      <w:b/>
      <w:bCs/>
      <w:color w:val="FFFFFF"/>
      <w:bdr w:val="single" w:color="144E9C" w:sz="6" w:space="0"/>
      <w:shd w:val="clear" w:fill="144E9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880</Words>
  <Characters>911</Characters>
  <Lines>0</Lines>
  <Paragraphs>0</Paragraphs>
  <TotalTime>3</TotalTime>
  <ScaleCrop>false</ScaleCrop>
  <LinksUpToDate>false</LinksUpToDate>
  <CharactersWithSpaces>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2023-07-25T15:48:00Z</dcterms:created>
  <dc:creator>Administrator</dc:creator>
  <cp:lastModifiedBy>永远的幸福</cp:lastModifiedBy>
  <cp:lastPrinted>2024-01-23T09:00:00Z</cp:lastPrinted>
  <dcterms:modified xsi:type="dcterms:W3CDTF">2026-01-22T00:46:31Z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4660B57E64BA4EE5B5DA687F85A2E6C0_12</vt:lpwstr>
  </property>
  <property fmtid="{D5CDD505-2E9C-101B-9397-08002B2CF9AE}" pid="4" name="KSOTemplateDocerSaveRecord">
    <vt:lpwstr>eyJoZGlkIjoiNTc0MjZkMDZkZjg5NWRkMDQxNjg1ODlkNTMxOWU0ZTUiLCJ1c2VySWQiOiI1MDI5MDgxNTMifQ==</vt:lpwstr>
  </property>
</Properties>
</file>