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D22F0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枣庄市生态环境局滕州分局</w:t>
      </w:r>
    </w:p>
    <w:p w14:paraId="1C2B17F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2025年政府信息公开工作年度报告</w:t>
      </w:r>
    </w:p>
    <w:p w14:paraId="5081FFB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79E29EB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rPr>
      </w:pPr>
      <w:r>
        <w:rPr>
          <w:rFonts w:hint="eastAsia" w:ascii="仿宋_GB2312" w:hAnsi="仿宋_GB2312" w:eastAsia="仿宋_GB2312" w:cs="仿宋_GB2312"/>
          <w:sz w:val="32"/>
          <w:szCs w:val="32"/>
        </w:rPr>
        <w:t>枣庄市生态环境局滕州分局20</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政府</w:t>
      </w:r>
      <w:r>
        <w:rPr>
          <w:rFonts w:hint="eastAsia" w:ascii="仿宋_GB2312" w:hAnsi="仿宋_GB2312" w:eastAsia="仿宋_GB2312" w:cs="仿宋_GB2312"/>
          <w:sz w:val="32"/>
          <w:szCs w:val="32"/>
        </w:rPr>
        <w:t>信息公开工作年度报告根据《中华人民共和国政府信息公开条例》</w:t>
      </w:r>
      <w:r>
        <w:rPr>
          <w:rFonts w:hint="eastAsia" w:ascii="仿宋_GB2312" w:hAnsi="仿宋_GB2312" w:eastAsia="仿宋_GB2312" w:cs="仿宋_GB2312"/>
          <w:sz w:val="32"/>
          <w:szCs w:val="32"/>
          <w:lang w:val="en-US" w:eastAsia="zh-CN"/>
        </w:rPr>
        <w:t>和</w:t>
      </w:r>
      <w:r>
        <w:rPr>
          <w:rFonts w:ascii="仿宋_GB2312" w:eastAsia="仿宋_GB2312"/>
          <w:sz w:val="32"/>
          <w:szCs w:val="32"/>
        </w:rPr>
        <w:t>《中华人民共和国政府信息公开工作年度报告格式》（国办公开办函〔2021〕30号）</w:t>
      </w:r>
      <w:r>
        <w:rPr>
          <w:rFonts w:hint="eastAsia" w:ascii="仿宋_GB2312" w:hAnsi="仿宋_GB2312" w:eastAsia="仿宋_GB2312" w:cs="仿宋_GB2312"/>
          <w:sz w:val="32"/>
          <w:szCs w:val="32"/>
        </w:rPr>
        <w:t>编制。本报告</w:t>
      </w:r>
      <w:r>
        <w:rPr>
          <w:rFonts w:hint="eastAsia" w:ascii="仿宋_GB2312" w:hAnsi="仿宋_GB2312" w:eastAsia="仿宋_GB2312" w:cs="仿宋_GB2312"/>
          <w:sz w:val="32"/>
          <w:szCs w:val="32"/>
          <w:lang w:val="en-US" w:eastAsia="zh-CN"/>
        </w:rPr>
        <w:t>主要包括主动公开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依申请公开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政府信息管理、政府信息公开平台建设、监督保障</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方面内容</w:t>
      </w:r>
      <w:r>
        <w:rPr>
          <w:rFonts w:hint="eastAsia" w:ascii="仿宋_GB2312" w:hAnsi="仿宋_GB2312" w:eastAsia="仿宋_GB2312" w:cs="仿宋_GB2312"/>
          <w:sz w:val="32"/>
          <w:szCs w:val="32"/>
        </w:rPr>
        <w:t>。本报告中所列数据的统计期限自</w:t>
      </w:r>
      <w:r>
        <w:rPr>
          <w:rFonts w:hint="default"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25</w:t>
      </w:r>
      <w:r>
        <w:rPr>
          <w:rFonts w:hint="default" w:ascii="仿宋_GB2312" w:hAnsi="仿宋_GB2312" w:eastAsia="仿宋_GB2312" w:cs="仿宋_GB2312"/>
          <w:sz w:val="32"/>
          <w:szCs w:val="32"/>
        </w:rPr>
        <w:t>年1月1日起至20</w:t>
      </w:r>
      <w:r>
        <w:rPr>
          <w:rFonts w:hint="eastAsia" w:ascii="仿宋_GB2312" w:hAnsi="仿宋_GB2312" w:eastAsia="仿宋_GB2312" w:cs="仿宋_GB2312"/>
          <w:sz w:val="32"/>
          <w:szCs w:val="32"/>
          <w:lang w:val="en-US" w:eastAsia="zh-CN"/>
        </w:rPr>
        <w:t>25</w:t>
      </w:r>
      <w:r>
        <w:rPr>
          <w:rFonts w:hint="default" w:ascii="仿宋_GB2312" w:hAnsi="仿宋_GB2312" w:eastAsia="仿宋_GB2312" w:cs="仿宋_GB2312"/>
          <w:sz w:val="32"/>
          <w:szCs w:val="32"/>
        </w:rPr>
        <w:t>年12月31日止。</w:t>
      </w:r>
    </w:p>
    <w:p w14:paraId="0D0E21A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一、总体情况</w:t>
      </w:r>
    </w:p>
    <w:p w14:paraId="5E8857E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枣庄市生态环境局滕州分局严格落实《中华人民共和国政府信息公开条例》及省、市相关文件要求，紧扣生态环境保护核心工作，强化组织领导体系，健全信息公开机制，完善公开平台载体，拓展信息公开范围，扎实推进政府信息公开工作走深走实。</w:t>
      </w:r>
    </w:p>
    <w:p w14:paraId="66E5220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1</w:t>
      </w:r>
      <w:r>
        <w:rPr>
          <w:rFonts w:hint="eastAsia" w:ascii="楷体_GB2312" w:hAnsi="楷体_GB2312" w:eastAsia="楷体_GB2312" w:cs="楷体_GB2312"/>
          <w:sz w:val="32"/>
          <w:szCs w:val="32"/>
        </w:rPr>
        <w:t>.主动公开</w:t>
      </w:r>
      <w:r>
        <w:rPr>
          <w:rFonts w:hint="eastAsia" w:ascii="楷体_GB2312" w:hAnsi="楷体_GB2312" w:eastAsia="楷体_GB2312" w:cs="楷体_GB2312"/>
          <w:sz w:val="32"/>
          <w:szCs w:val="32"/>
          <w:lang w:val="en-US" w:eastAsia="zh-CN"/>
        </w:rPr>
        <w:t>方面</w:t>
      </w: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年，主动公开通知公告</w:t>
      </w:r>
      <w:r>
        <w:rPr>
          <w:rFonts w:hint="eastAsia" w:ascii="仿宋_GB2312" w:hAnsi="仿宋_GB2312" w:eastAsia="仿宋_GB2312" w:cs="仿宋_GB2312"/>
          <w:sz w:val="32"/>
          <w:szCs w:val="32"/>
          <w:lang w:val="en-US" w:eastAsia="zh-CN"/>
        </w:rPr>
        <w:t>40</w:t>
      </w:r>
      <w:r>
        <w:rPr>
          <w:rFonts w:hint="eastAsia" w:ascii="仿宋_GB2312" w:hAnsi="仿宋_GB2312" w:eastAsia="仿宋_GB2312" w:cs="仿宋_GB2312"/>
          <w:sz w:val="32"/>
          <w:szCs w:val="32"/>
        </w:rPr>
        <w:t>条，规划计划</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条，重点领域</w:t>
      </w:r>
      <w:r>
        <w:rPr>
          <w:rFonts w:hint="eastAsia" w:ascii="仿宋_GB2312" w:hAnsi="仿宋_GB2312" w:eastAsia="仿宋_GB2312" w:cs="仿宋_GB2312"/>
          <w:sz w:val="32"/>
          <w:szCs w:val="32"/>
          <w:lang w:val="en-US" w:eastAsia="zh-CN"/>
        </w:rPr>
        <w:t>273</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包括：政府工作报告4条， </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"http://xxgk.tengzhou.gov.cn/govsearch/searPageNew.jsp?siteid=126&amp;classinfoid=4317"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行政执法公示</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t>52条，建设项目影响评价205条（公示在单位网页），</w:t>
      </w:r>
      <w:r>
        <w:rPr>
          <w:rFonts w:hint="eastAsia" w:ascii="仿宋_GB2312" w:hAnsi="仿宋_GB2312" w:eastAsia="仿宋_GB2312" w:cs="仿宋_GB2312"/>
          <w:sz w:val="32"/>
          <w:szCs w:val="32"/>
        </w:rPr>
        <w:t>生活饮用水水源水质</w:t>
      </w:r>
      <w:r>
        <w:rPr>
          <w:rFonts w:hint="eastAsia" w:ascii="仿宋_GB2312" w:hAnsi="仿宋_GB2312" w:eastAsia="仿宋_GB2312" w:cs="仿宋_GB2312"/>
          <w:sz w:val="32"/>
          <w:szCs w:val="32"/>
          <w:lang w:val="en-US" w:eastAsia="zh-CN"/>
        </w:rPr>
        <w:t>状况12条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提案议案7条，</w:t>
      </w:r>
      <w:r>
        <w:rPr>
          <w:rFonts w:hint="eastAsia" w:ascii="仿宋_GB2312" w:hAnsi="仿宋_GB2312" w:eastAsia="仿宋_GB2312" w:cs="仿宋_GB2312"/>
          <w:sz w:val="32"/>
          <w:szCs w:val="32"/>
        </w:rPr>
        <w:t>组织管理</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条，政务公开基本目录</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条。</w:t>
      </w:r>
    </w:p>
    <w:p w14:paraId="71854ADF">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eastAsia="zh-CN"/>
        </w:rPr>
      </w:pPr>
    </w:p>
    <w:p w14:paraId="2BE93656">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eastAsia="zh-CN"/>
        </w:rPr>
      </w:pPr>
      <w:r>
        <w:rPr>
          <w:rFonts w:hint="eastAsia" w:eastAsiaTheme="minorEastAsia"/>
          <w:lang w:eastAsia="zh-CN"/>
        </w:rPr>
        <w:drawing>
          <wp:inline distT="0" distB="0" distL="114300" distR="114300">
            <wp:extent cx="5256530" cy="5530215"/>
            <wp:effectExtent l="4445" t="4445" r="12065" b="1270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2ADD709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rPr>
        <w:t>2.</w:t>
      </w:r>
      <w:r>
        <w:rPr>
          <w:rFonts w:hint="eastAsia" w:ascii="楷体_GB2312" w:hAnsi="楷体_GB2312" w:eastAsia="楷体_GB2312" w:cs="楷体_GB2312"/>
          <w:sz w:val="32"/>
          <w:szCs w:val="32"/>
          <w:lang w:val="en-US" w:eastAsia="zh-CN"/>
        </w:rPr>
        <w:t>依</w:t>
      </w:r>
      <w:r>
        <w:rPr>
          <w:rFonts w:hint="eastAsia" w:ascii="楷体_GB2312" w:hAnsi="楷体_GB2312" w:eastAsia="楷体_GB2312" w:cs="楷体_GB2312"/>
          <w:sz w:val="32"/>
          <w:szCs w:val="32"/>
        </w:rPr>
        <w:t>申请公开</w:t>
      </w:r>
      <w:r>
        <w:rPr>
          <w:rFonts w:hint="eastAsia" w:ascii="楷体_GB2312" w:hAnsi="楷体_GB2312" w:eastAsia="楷体_GB2312" w:cs="楷体_GB2312"/>
          <w:sz w:val="32"/>
          <w:szCs w:val="32"/>
          <w:lang w:val="en-US" w:eastAsia="zh-CN"/>
        </w:rPr>
        <w:t>方面</w:t>
      </w: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年，枣庄市生态环境局滕州分局共受理政府信息公开申请事项</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件，</w:t>
      </w:r>
      <w:r>
        <w:rPr>
          <w:rFonts w:hint="eastAsia" w:ascii="仿宋_GB2312" w:hAnsi="仿宋_GB2312" w:eastAsia="仿宋_GB2312" w:cs="仿宋_GB2312"/>
          <w:sz w:val="32"/>
          <w:szCs w:val="32"/>
          <w:lang w:val="en-US" w:eastAsia="zh-CN"/>
        </w:rPr>
        <w:t>为自然人申请，申请内容予以公开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与2024年相比数量</w:t>
      </w:r>
      <w:r>
        <w:rPr>
          <w:rFonts w:hint="eastAsia" w:ascii="仿宋_GB2312" w:hAnsi="仿宋_GB2312" w:eastAsia="仿宋_GB2312" w:cs="仿宋_GB2312"/>
          <w:color w:val="auto"/>
          <w:sz w:val="32"/>
          <w:szCs w:val="32"/>
          <w:lang w:val="en-US" w:eastAsia="zh-CN"/>
        </w:rPr>
        <w:t>持平</w:t>
      </w:r>
      <w:r>
        <w:rPr>
          <w:rFonts w:hint="eastAsia" w:ascii="仿宋_GB2312" w:hAnsi="仿宋_GB2312" w:eastAsia="仿宋_GB2312" w:cs="仿宋_GB2312"/>
          <w:sz w:val="32"/>
          <w:szCs w:val="32"/>
          <w:lang w:val="en-US" w:eastAsia="zh-CN"/>
        </w:rPr>
        <w:t>。未产生因政府信息公开引发的行政复议和行政诉讼。</w:t>
      </w:r>
    </w:p>
    <w:p w14:paraId="4A079A8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rPr>
        <w:t>3.</w:t>
      </w:r>
      <w:r>
        <w:rPr>
          <w:rFonts w:hint="eastAsia" w:ascii="楷体_GB2312" w:hAnsi="楷体_GB2312" w:eastAsia="楷体_GB2312" w:cs="楷体_GB2312"/>
          <w:sz w:val="32"/>
          <w:szCs w:val="32"/>
          <w:lang w:val="en-US" w:eastAsia="zh-CN"/>
        </w:rPr>
        <w:t>政府信息管理方面。</w:t>
      </w:r>
      <w:r>
        <w:rPr>
          <w:rFonts w:hint="eastAsia" w:ascii="仿宋_GB2312" w:hAnsi="仿宋_GB2312" w:eastAsia="仿宋_GB2312" w:cs="仿宋_GB2312"/>
          <w:sz w:val="32"/>
          <w:szCs w:val="32"/>
          <w:lang w:val="en-US" w:eastAsia="zh-CN"/>
        </w:rPr>
        <w:t>严格</w:t>
      </w:r>
      <w:r>
        <w:rPr>
          <w:rFonts w:hint="eastAsia" w:ascii="仿宋_GB2312" w:hAnsi="仿宋_GB2312" w:eastAsia="仿宋_GB2312" w:cs="仿宋_GB2312"/>
          <w:sz w:val="32"/>
          <w:szCs w:val="32"/>
        </w:rPr>
        <w:t>按照规定时限编制发布政府信息主动公开目录。2025年度，</w:t>
      </w:r>
      <w:r>
        <w:rPr>
          <w:rFonts w:hint="eastAsia" w:ascii="仿宋_GB2312" w:hAnsi="仿宋_GB2312" w:eastAsia="仿宋_GB2312" w:cs="仿宋_GB2312"/>
          <w:sz w:val="32"/>
          <w:szCs w:val="32"/>
          <w:lang w:val="en-US" w:eastAsia="zh-CN"/>
        </w:rPr>
        <w:t>我</w:t>
      </w:r>
      <w:r>
        <w:rPr>
          <w:rFonts w:hint="eastAsia" w:ascii="仿宋_GB2312" w:hAnsi="仿宋_GB2312" w:eastAsia="仿宋_GB2312" w:cs="仿宋_GB2312"/>
          <w:sz w:val="32"/>
          <w:szCs w:val="32"/>
        </w:rPr>
        <w:t>局未制发、废止行政规范性文件，无现行有效行政规范性文件。同时，统筹兼顾信息公开与安全保密工作，严格执行信息发布审查流程，切实</w:t>
      </w:r>
      <w:r>
        <w:rPr>
          <w:rFonts w:hint="eastAsia" w:ascii="仿宋_GB2312" w:hAnsi="仿宋_GB2312" w:eastAsia="仿宋_GB2312" w:cs="仿宋_GB2312"/>
          <w:sz w:val="32"/>
          <w:szCs w:val="32"/>
          <w:lang w:val="en-US" w:eastAsia="zh-CN"/>
        </w:rPr>
        <w:t>做好</w:t>
      </w:r>
      <w:r>
        <w:rPr>
          <w:rFonts w:hint="eastAsia" w:ascii="仿宋_GB2312" w:hAnsi="仿宋_GB2312" w:eastAsia="仿宋_GB2312" w:cs="仿宋_GB2312"/>
          <w:sz w:val="32"/>
          <w:szCs w:val="32"/>
        </w:rPr>
        <w:t>政府网站、政务新媒体的安全保密</w:t>
      </w:r>
      <w:r>
        <w:rPr>
          <w:rFonts w:hint="eastAsia" w:ascii="仿宋_GB2312" w:hAnsi="仿宋_GB2312" w:eastAsia="仿宋_GB2312" w:cs="仿宋_GB2312"/>
          <w:sz w:val="32"/>
          <w:szCs w:val="32"/>
          <w:lang w:val="en-US" w:eastAsia="zh-CN"/>
        </w:rPr>
        <w:t>工作</w:t>
      </w:r>
      <w:r>
        <w:rPr>
          <w:rFonts w:hint="eastAsia" w:ascii="仿宋_GB2312" w:hAnsi="仿宋_GB2312" w:eastAsia="仿宋_GB2312" w:cs="仿宋_GB2312"/>
          <w:sz w:val="32"/>
          <w:szCs w:val="32"/>
        </w:rPr>
        <w:t>。</w:t>
      </w:r>
    </w:p>
    <w:p w14:paraId="7829B4E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4.平台建设方面。</w:t>
      </w:r>
      <w:r>
        <w:rPr>
          <w:rFonts w:hint="eastAsia" w:ascii="仿宋_GB2312" w:hAnsi="仿宋_GB2312" w:eastAsia="仿宋_GB2312" w:cs="仿宋_GB2312"/>
          <w:sz w:val="32"/>
          <w:szCs w:val="32"/>
        </w:rPr>
        <w:t>持续强化官方网站及政务新媒体的运营管理与维护工作，以规范化建设为抓手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优化政务信息公开平台功能，确保公开内容全面精准、更新发布及时高效。</w:t>
      </w:r>
    </w:p>
    <w:p w14:paraId="3C1AF4E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5.监督保障方面。</w:t>
      </w:r>
      <w:r>
        <w:rPr>
          <w:rFonts w:hint="eastAsia" w:ascii="仿宋_GB2312" w:hAnsi="仿宋_GB2312" w:eastAsia="仿宋_GB2312" w:cs="仿宋_GB2312"/>
          <w:sz w:val="32"/>
          <w:szCs w:val="32"/>
        </w:rPr>
        <w:t>着力加强政务公开工作队伍建设，明确专职工作人员负责日常工作推进，</w:t>
      </w:r>
      <w:r>
        <w:rPr>
          <w:rFonts w:hint="eastAsia" w:ascii="仿宋_GB2312" w:hAnsi="仿宋_GB2312" w:eastAsia="仿宋_GB2312" w:cs="仿宋_GB2312"/>
          <w:sz w:val="32"/>
          <w:szCs w:val="32"/>
          <w:lang w:val="en-US" w:eastAsia="zh-CN"/>
        </w:rPr>
        <w:t>适时</w:t>
      </w:r>
      <w:r>
        <w:rPr>
          <w:rFonts w:hint="eastAsia" w:ascii="仿宋_GB2312" w:hAnsi="仿宋_GB2312" w:eastAsia="仿宋_GB2312" w:cs="仿宋_GB2312"/>
          <w:sz w:val="32"/>
          <w:szCs w:val="32"/>
        </w:rPr>
        <w:t>研究部署政务公开重点任务，组织开展业务培训，保障各项工作落地见效。同时，严格执行政府信息公开各项制度规范，厘清工作职责、理顺工作流程、明确工作要求，推动政务公开工作标准化、规范化开展。</w:t>
      </w:r>
    </w:p>
    <w:p w14:paraId="600679B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年，枣庄市生态环境局滕州分局未发生因信息公开审查不当而引起的失泄密情况。</w:t>
      </w:r>
      <w:r>
        <w:rPr>
          <w:rFonts w:hint="eastAsia" w:ascii="仿宋_GB2312" w:hAnsi="仿宋_GB2312" w:eastAsia="仿宋_GB2312" w:cs="仿宋_GB2312"/>
          <w:sz w:val="32"/>
          <w:szCs w:val="32"/>
          <w:lang w:val="en-US" w:eastAsia="zh-CN"/>
        </w:rPr>
        <w:t>未进行社会评议，未发生责任追究情况。</w:t>
      </w:r>
    </w:p>
    <w:p w14:paraId="4ACD7EF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二、主动公开政府信息情况</w:t>
      </w:r>
    </w:p>
    <w:tbl>
      <w:tblPr>
        <w:tblStyle w:val="8"/>
        <w:tblW w:w="8824" w:type="dxa"/>
        <w:tblInd w:w="0" w:type="dxa"/>
        <w:tblLayout w:type="fixed"/>
        <w:tblCellMar>
          <w:top w:w="0" w:type="dxa"/>
          <w:left w:w="108" w:type="dxa"/>
          <w:bottom w:w="0" w:type="dxa"/>
          <w:right w:w="108" w:type="dxa"/>
        </w:tblCellMar>
      </w:tblPr>
      <w:tblGrid>
        <w:gridCol w:w="2206"/>
        <w:gridCol w:w="2206"/>
        <w:gridCol w:w="2206"/>
        <w:gridCol w:w="2206"/>
      </w:tblGrid>
      <w:tr w14:paraId="631FA6C0">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224FADE9">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14:paraId="332E88AE">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384F1165">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2206" w:type="dxa"/>
            <w:tcBorders>
              <w:top w:val="nil"/>
              <w:left w:val="nil"/>
              <w:bottom w:val="single" w:color="auto" w:sz="8" w:space="0"/>
              <w:right w:val="single" w:color="auto" w:sz="8" w:space="0"/>
            </w:tcBorders>
            <w:noWrap w:val="0"/>
            <w:vAlign w:val="center"/>
          </w:tcPr>
          <w:p w14:paraId="7D423B6E">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本年制发件数</w:t>
            </w:r>
          </w:p>
        </w:tc>
        <w:tc>
          <w:tcPr>
            <w:tcW w:w="2206" w:type="dxa"/>
            <w:tcBorders>
              <w:top w:val="nil"/>
              <w:left w:val="nil"/>
              <w:bottom w:val="single" w:color="auto" w:sz="8" w:space="0"/>
              <w:right w:val="single" w:color="auto" w:sz="8" w:space="0"/>
            </w:tcBorders>
            <w:noWrap w:val="0"/>
            <w:vAlign w:val="center"/>
          </w:tcPr>
          <w:p w14:paraId="4DB50F37">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本年废止件数</w:t>
            </w:r>
          </w:p>
        </w:tc>
        <w:tc>
          <w:tcPr>
            <w:tcW w:w="2206" w:type="dxa"/>
            <w:tcBorders>
              <w:top w:val="nil"/>
              <w:left w:val="nil"/>
              <w:bottom w:val="single" w:color="auto" w:sz="8" w:space="0"/>
              <w:right w:val="single" w:color="auto" w:sz="8" w:space="0"/>
            </w:tcBorders>
            <w:noWrap w:val="0"/>
            <w:vAlign w:val="center"/>
          </w:tcPr>
          <w:p w14:paraId="76E8DA01">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现行有效件数</w:t>
            </w:r>
          </w:p>
        </w:tc>
      </w:tr>
      <w:tr w14:paraId="3AC8B354">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22F1A06F">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规章</w:t>
            </w:r>
          </w:p>
        </w:tc>
        <w:tc>
          <w:tcPr>
            <w:tcW w:w="2206" w:type="dxa"/>
            <w:tcBorders>
              <w:top w:val="nil"/>
              <w:left w:val="nil"/>
              <w:bottom w:val="single" w:color="auto" w:sz="8" w:space="0"/>
              <w:right w:val="single" w:color="auto" w:sz="8" w:space="0"/>
            </w:tcBorders>
            <w:noWrap w:val="0"/>
            <w:vAlign w:val="center"/>
          </w:tcPr>
          <w:p w14:paraId="6F9561C5">
            <w:pPr>
              <w:widowControl/>
              <w:jc w:val="center"/>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val="en-US" w:eastAsia="zh-CN"/>
              </w:rPr>
              <w:t>0</w:t>
            </w:r>
          </w:p>
        </w:tc>
        <w:tc>
          <w:tcPr>
            <w:tcW w:w="2206" w:type="dxa"/>
            <w:tcBorders>
              <w:top w:val="nil"/>
              <w:left w:val="nil"/>
              <w:bottom w:val="single" w:color="auto" w:sz="8" w:space="0"/>
              <w:right w:val="single" w:color="auto" w:sz="8" w:space="0"/>
            </w:tcBorders>
            <w:noWrap w:val="0"/>
            <w:vAlign w:val="center"/>
          </w:tcPr>
          <w:p w14:paraId="2DFCF849">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06" w:type="dxa"/>
            <w:tcBorders>
              <w:top w:val="nil"/>
              <w:left w:val="nil"/>
              <w:bottom w:val="single" w:color="auto" w:sz="8" w:space="0"/>
              <w:right w:val="single" w:color="auto" w:sz="8" w:space="0"/>
            </w:tcBorders>
            <w:noWrap w:val="0"/>
            <w:vAlign w:val="center"/>
          </w:tcPr>
          <w:p w14:paraId="7DBD313F">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r>
      <w:tr w14:paraId="0461BFC7">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06EEC2CC">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行政规范性文件</w:t>
            </w:r>
          </w:p>
        </w:tc>
        <w:tc>
          <w:tcPr>
            <w:tcW w:w="2206" w:type="dxa"/>
            <w:tcBorders>
              <w:top w:val="nil"/>
              <w:left w:val="nil"/>
              <w:bottom w:val="single" w:color="auto" w:sz="8" w:space="0"/>
              <w:right w:val="single" w:color="auto" w:sz="8" w:space="0"/>
            </w:tcBorders>
            <w:noWrap w:val="0"/>
            <w:vAlign w:val="center"/>
          </w:tcPr>
          <w:p w14:paraId="5EACE5E1">
            <w:pPr>
              <w:widowControl/>
              <w:jc w:val="center"/>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06" w:type="dxa"/>
            <w:tcBorders>
              <w:top w:val="nil"/>
              <w:left w:val="nil"/>
              <w:bottom w:val="single" w:color="auto" w:sz="8" w:space="0"/>
              <w:right w:val="single" w:color="auto" w:sz="8" w:space="0"/>
            </w:tcBorders>
            <w:noWrap w:val="0"/>
            <w:vAlign w:val="center"/>
          </w:tcPr>
          <w:p w14:paraId="0556ACE6">
            <w:pPr>
              <w:widowControl/>
              <w:jc w:val="center"/>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06" w:type="dxa"/>
            <w:tcBorders>
              <w:top w:val="nil"/>
              <w:left w:val="nil"/>
              <w:bottom w:val="single" w:color="auto" w:sz="8" w:space="0"/>
              <w:right w:val="single" w:color="auto" w:sz="8" w:space="0"/>
            </w:tcBorders>
            <w:noWrap w:val="0"/>
            <w:vAlign w:val="center"/>
          </w:tcPr>
          <w:p w14:paraId="580047FF">
            <w:pPr>
              <w:widowControl/>
              <w:jc w:val="center"/>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r>
      <w:tr w14:paraId="28238636">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44292716">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第二十条第（五）项</w:t>
            </w:r>
          </w:p>
        </w:tc>
      </w:tr>
      <w:tr w14:paraId="581C804C">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38DD9E4B">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noWrap w:val="0"/>
            <w:vAlign w:val="center"/>
          </w:tcPr>
          <w:p w14:paraId="3BF1DC88">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14:paraId="6E630019">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3233C614">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行政许可</w:t>
            </w:r>
          </w:p>
        </w:tc>
        <w:tc>
          <w:tcPr>
            <w:tcW w:w="6618" w:type="dxa"/>
            <w:gridSpan w:val="3"/>
            <w:tcBorders>
              <w:top w:val="single" w:color="auto" w:sz="8" w:space="0"/>
              <w:left w:val="nil"/>
              <w:bottom w:val="single" w:color="auto" w:sz="8" w:space="0"/>
              <w:right w:val="single" w:color="000000" w:sz="8" w:space="0"/>
            </w:tcBorders>
            <w:noWrap w:val="0"/>
            <w:vAlign w:val="center"/>
          </w:tcPr>
          <w:p w14:paraId="3C36D516">
            <w:pPr>
              <w:widowControl/>
              <w:jc w:val="center"/>
              <w:rPr>
                <w:rFonts w:hint="default" w:ascii="仿宋_GB2312" w:hAnsi="Calibri" w:eastAsia="仿宋_GB2312" w:cs="Calibri"/>
                <w:color w:val="auto"/>
                <w:kern w:val="0"/>
                <w:szCs w:val="21"/>
                <w:lang w:val="en-US" w:eastAsia="zh-CN"/>
              </w:rPr>
            </w:pPr>
            <w:r>
              <w:rPr>
                <w:rFonts w:hint="eastAsia" w:ascii="仿宋_GB2312" w:hAnsi="Calibri" w:eastAsia="仿宋_GB2312" w:cs="Calibri"/>
                <w:color w:val="auto"/>
                <w:kern w:val="0"/>
                <w:szCs w:val="21"/>
                <w:lang w:val="en-US" w:eastAsia="zh-CN"/>
              </w:rPr>
              <w:t>66</w:t>
            </w:r>
          </w:p>
        </w:tc>
      </w:tr>
      <w:tr w14:paraId="6AE0B67D">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75C79C83">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第二十条第（六）项</w:t>
            </w:r>
          </w:p>
        </w:tc>
      </w:tr>
      <w:tr w14:paraId="19A7C996">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4" w:space="0"/>
              <w:right w:val="single" w:color="auto" w:sz="8" w:space="0"/>
            </w:tcBorders>
            <w:noWrap w:val="0"/>
            <w:vAlign w:val="center"/>
          </w:tcPr>
          <w:p w14:paraId="44A6DC74">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4" w:space="0"/>
              <w:right w:val="single" w:color="000000" w:sz="8" w:space="0"/>
            </w:tcBorders>
            <w:noWrap w:val="0"/>
            <w:vAlign w:val="center"/>
          </w:tcPr>
          <w:p w14:paraId="6B54220E">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14:paraId="4FCCA25C">
        <w:tblPrEx>
          <w:tblCellMar>
            <w:top w:w="0" w:type="dxa"/>
            <w:left w:w="108" w:type="dxa"/>
            <w:bottom w:w="0" w:type="dxa"/>
            <w:right w:w="108" w:type="dxa"/>
          </w:tblCellMar>
        </w:tblPrEx>
        <w:trPr>
          <w:trHeight w:val="567" w:hRule="atLeast"/>
        </w:trPr>
        <w:tc>
          <w:tcPr>
            <w:tcW w:w="2206" w:type="dxa"/>
            <w:tcBorders>
              <w:top w:val="single" w:color="auto" w:sz="4" w:space="0"/>
              <w:left w:val="single" w:color="auto" w:sz="4" w:space="0"/>
              <w:bottom w:val="single" w:color="auto" w:sz="4" w:space="0"/>
              <w:right w:val="single" w:color="auto" w:sz="4" w:space="0"/>
            </w:tcBorders>
            <w:noWrap w:val="0"/>
            <w:vAlign w:val="center"/>
          </w:tcPr>
          <w:p w14:paraId="30416A01">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行政处罚</w:t>
            </w:r>
          </w:p>
        </w:tc>
        <w:tc>
          <w:tcPr>
            <w:tcW w:w="6618" w:type="dxa"/>
            <w:gridSpan w:val="3"/>
            <w:tcBorders>
              <w:top w:val="single" w:color="auto" w:sz="4" w:space="0"/>
              <w:left w:val="single" w:color="auto" w:sz="4" w:space="0"/>
              <w:bottom w:val="single" w:color="auto" w:sz="4" w:space="0"/>
              <w:right w:val="single" w:color="auto" w:sz="4" w:space="0"/>
            </w:tcBorders>
            <w:noWrap w:val="0"/>
            <w:vAlign w:val="center"/>
          </w:tcPr>
          <w:p w14:paraId="48CA5446">
            <w:pPr>
              <w:widowControl/>
              <w:jc w:val="center"/>
              <w:rPr>
                <w:rFonts w:hint="default" w:ascii="仿宋_GB2312" w:hAnsi="Calibri" w:eastAsia="仿宋_GB2312" w:cs="Calibri"/>
                <w:color w:val="auto"/>
                <w:kern w:val="0"/>
                <w:szCs w:val="21"/>
                <w:lang w:val="en-US" w:eastAsia="zh-CN"/>
              </w:rPr>
            </w:pPr>
            <w:r>
              <w:rPr>
                <w:rFonts w:hint="eastAsia" w:ascii="仿宋_GB2312" w:hAnsi="Calibri" w:eastAsia="仿宋_GB2312" w:cs="Calibri"/>
                <w:color w:val="auto"/>
                <w:kern w:val="0"/>
                <w:szCs w:val="21"/>
                <w:lang w:val="en-US" w:eastAsia="zh-CN"/>
              </w:rPr>
              <w:t>37</w:t>
            </w:r>
          </w:p>
        </w:tc>
      </w:tr>
      <w:tr w14:paraId="37435346">
        <w:tblPrEx>
          <w:tblCellMar>
            <w:top w:w="0" w:type="dxa"/>
            <w:left w:w="108" w:type="dxa"/>
            <w:bottom w:w="0" w:type="dxa"/>
            <w:right w:w="108" w:type="dxa"/>
          </w:tblCellMar>
        </w:tblPrEx>
        <w:trPr>
          <w:trHeight w:val="634" w:hRule="atLeast"/>
        </w:trPr>
        <w:tc>
          <w:tcPr>
            <w:tcW w:w="2206" w:type="dxa"/>
            <w:tcBorders>
              <w:top w:val="single" w:color="auto" w:sz="4" w:space="0"/>
              <w:left w:val="single" w:color="auto" w:sz="4" w:space="0"/>
              <w:bottom w:val="single" w:color="auto" w:sz="4" w:space="0"/>
              <w:right w:val="single" w:color="auto" w:sz="4" w:space="0"/>
            </w:tcBorders>
            <w:noWrap w:val="0"/>
            <w:vAlign w:val="center"/>
          </w:tcPr>
          <w:p w14:paraId="6D407E5C">
            <w:pPr>
              <w:jc w:val="left"/>
            </w:pPr>
            <w:r>
              <w:rPr>
                <w:rFonts w:hint="eastAsia"/>
              </w:rPr>
              <w:t>行政强制</w:t>
            </w:r>
          </w:p>
        </w:tc>
        <w:tc>
          <w:tcPr>
            <w:tcW w:w="6618" w:type="dxa"/>
            <w:gridSpan w:val="3"/>
            <w:tcBorders>
              <w:top w:val="single" w:color="auto" w:sz="4" w:space="0"/>
              <w:left w:val="single" w:color="auto" w:sz="4" w:space="0"/>
              <w:bottom w:val="single" w:color="auto" w:sz="8" w:space="0"/>
              <w:right w:val="single" w:color="000000" w:sz="8" w:space="0"/>
            </w:tcBorders>
            <w:noWrap w:val="0"/>
            <w:vAlign w:val="center"/>
          </w:tcPr>
          <w:p w14:paraId="032E1854">
            <w:pPr>
              <w:widowControl/>
              <w:jc w:val="center"/>
              <w:rPr>
                <w:rFonts w:hint="default" w:ascii="仿宋_GB2312" w:hAnsi="Calibri" w:eastAsia="仿宋_GB2312" w:cs="Calibri"/>
                <w:color w:val="FF0000"/>
                <w:kern w:val="0"/>
                <w:szCs w:val="21"/>
                <w:lang w:val="en-US" w:eastAsia="zh-CN"/>
              </w:rPr>
            </w:pPr>
            <w:r>
              <w:rPr>
                <w:rFonts w:hint="eastAsia" w:ascii="仿宋_GB2312" w:hAnsi="Calibri" w:eastAsia="仿宋_GB2312" w:cs="Calibri"/>
                <w:color w:val="auto"/>
                <w:kern w:val="0"/>
                <w:szCs w:val="21"/>
                <w:lang w:val="en-US" w:eastAsia="zh-CN"/>
              </w:rPr>
              <w:t>2</w:t>
            </w:r>
          </w:p>
        </w:tc>
      </w:tr>
      <w:tr w14:paraId="066C9DEF">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02E1C2EA">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第二十条第（八）项</w:t>
            </w:r>
          </w:p>
        </w:tc>
      </w:tr>
      <w:tr w14:paraId="19FF31AA">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5E17C041">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noWrap w:val="0"/>
            <w:vAlign w:val="center"/>
          </w:tcPr>
          <w:p w14:paraId="2D02C502">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本年收费金额（单位：万元）</w:t>
            </w:r>
          </w:p>
        </w:tc>
      </w:tr>
      <w:tr w14:paraId="13F52444">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510C3F8E">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行政事业性收费</w:t>
            </w:r>
          </w:p>
        </w:tc>
        <w:tc>
          <w:tcPr>
            <w:tcW w:w="6618" w:type="dxa"/>
            <w:gridSpan w:val="3"/>
            <w:tcBorders>
              <w:top w:val="single" w:color="auto" w:sz="8" w:space="0"/>
              <w:left w:val="nil"/>
              <w:bottom w:val="single" w:color="auto" w:sz="8" w:space="0"/>
              <w:right w:val="single" w:color="000000" w:sz="8" w:space="0"/>
            </w:tcBorders>
            <w:noWrap w:val="0"/>
            <w:vAlign w:val="center"/>
          </w:tcPr>
          <w:p w14:paraId="443498D9">
            <w:pPr>
              <w:widowControl/>
              <w:jc w:val="center"/>
              <w:rPr>
                <w:rFonts w:hint="eastAsia" w:ascii="仿宋_GB2312" w:hAnsi="Calibri" w:eastAsia="仿宋_GB2312" w:cs="Calibri"/>
                <w:color w:val="000000"/>
                <w:kern w:val="0"/>
                <w:szCs w:val="21"/>
                <w:lang w:eastAsia="zh-CN"/>
              </w:rPr>
            </w:pPr>
            <w:r>
              <w:rPr>
                <w:rFonts w:hint="eastAsia" w:ascii="仿宋_GB2312" w:hAnsi="宋体" w:eastAsia="仿宋_GB2312" w:cs="宋体"/>
                <w:color w:val="000000"/>
                <w:kern w:val="0"/>
                <w:szCs w:val="21"/>
                <w:lang w:val="en-US" w:eastAsia="zh-CN"/>
              </w:rPr>
              <w:t>0</w:t>
            </w:r>
          </w:p>
        </w:tc>
      </w:tr>
    </w:tbl>
    <w:p w14:paraId="5F6E3CD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三、收到和处理政府信息公开申请情况</w:t>
      </w:r>
    </w:p>
    <w:tbl>
      <w:tblPr>
        <w:tblStyle w:val="8"/>
        <w:tblW w:w="954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747"/>
        <w:gridCol w:w="5"/>
        <w:gridCol w:w="535"/>
        <w:gridCol w:w="5"/>
        <w:gridCol w:w="535"/>
        <w:gridCol w:w="720"/>
        <w:gridCol w:w="675"/>
        <w:gridCol w:w="525"/>
        <w:gridCol w:w="701"/>
      </w:tblGrid>
      <w:tr w14:paraId="40F2D6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noWrap w:val="0"/>
            <w:tcMar>
              <w:left w:w="108" w:type="dxa"/>
              <w:right w:w="108" w:type="dxa"/>
            </w:tcMar>
            <w:vAlign w:val="center"/>
          </w:tcPr>
          <w:p w14:paraId="005FFBFA">
            <w:pPr>
              <w:widowControl/>
              <w:jc w:val="center"/>
              <w:rPr>
                <w:rFonts w:ascii="楷体_GB2312" w:hAnsi="黑体" w:eastAsia="楷体_GB2312"/>
                <w:kern w:val="0"/>
                <w:szCs w:val="21"/>
              </w:rPr>
            </w:pPr>
            <w:r>
              <w:rPr>
                <w:rFonts w:hint="eastAsia" w:ascii="楷体_GB2312" w:hAnsi="黑体" w:eastAsia="楷体_GB2312"/>
                <w:kern w:val="0"/>
                <w:szCs w:val="21"/>
              </w:rPr>
              <w:t>（本列数据的勾稽关系为：第一项加第二项之和，</w:t>
            </w:r>
          </w:p>
          <w:p w14:paraId="24376118">
            <w:pPr>
              <w:widowControl/>
              <w:jc w:val="center"/>
              <w:rPr>
                <w:rFonts w:ascii="仿宋_GB2312" w:hAnsi="Times New Roman" w:eastAsia="仿宋_GB2312"/>
                <w:szCs w:val="21"/>
              </w:rPr>
            </w:pPr>
            <w:r>
              <w:rPr>
                <w:rFonts w:hint="eastAsia" w:ascii="楷体_GB2312" w:hAnsi="黑体" w:eastAsia="楷体_GB2312"/>
                <w:kern w:val="0"/>
                <w:szCs w:val="21"/>
              </w:rPr>
              <w:t>等于第三项加第四项之和）</w:t>
            </w:r>
          </w:p>
        </w:tc>
        <w:tc>
          <w:tcPr>
            <w:tcW w:w="4448" w:type="dxa"/>
            <w:gridSpan w:val="9"/>
            <w:noWrap w:val="0"/>
            <w:tcMar>
              <w:left w:w="108" w:type="dxa"/>
              <w:right w:w="108" w:type="dxa"/>
            </w:tcMar>
            <w:vAlign w:val="center"/>
          </w:tcPr>
          <w:p w14:paraId="37A27DB5">
            <w:pPr>
              <w:widowControl/>
              <w:spacing w:line="320" w:lineRule="exact"/>
              <w:jc w:val="center"/>
              <w:rPr>
                <w:rFonts w:ascii="黑体" w:hAnsi="黑体" w:eastAsia="黑体"/>
                <w:szCs w:val="21"/>
              </w:rPr>
            </w:pPr>
            <w:r>
              <w:rPr>
                <w:rFonts w:hint="eastAsia" w:ascii="黑体" w:hAnsi="黑体" w:eastAsia="黑体"/>
                <w:kern w:val="0"/>
                <w:szCs w:val="21"/>
              </w:rPr>
              <w:t>申请人情况</w:t>
            </w:r>
          </w:p>
        </w:tc>
      </w:tr>
      <w:tr w14:paraId="681E70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noWrap w:val="0"/>
            <w:tcMar>
              <w:left w:w="108" w:type="dxa"/>
              <w:right w:w="108" w:type="dxa"/>
            </w:tcMar>
            <w:vAlign w:val="center"/>
          </w:tcPr>
          <w:p w14:paraId="1D12FBF5">
            <w:pPr>
              <w:jc w:val="center"/>
              <w:rPr>
                <w:rFonts w:ascii="仿宋_GB2312" w:hAnsi="Times New Roman" w:eastAsia="仿宋_GB2312"/>
                <w:szCs w:val="21"/>
              </w:rPr>
            </w:pPr>
          </w:p>
        </w:tc>
        <w:tc>
          <w:tcPr>
            <w:tcW w:w="747" w:type="dxa"/>
            <w:vMerge w:val="restart"/>
            <w:noWrap w:val="0"/>
            <w:tcMar>
              <w:left w:w="108" w:type="dxa"/>
              <w:right w:w="108" w:type="dxa"/>
            </w:tcMar>
            <w:vAlign w:val="center"/>
          </w:tcPr>
          <w:p w14:paraId="68030324">
            <w:pPr>
              <w:widowControl/>
              <w:jc w:val="center"/>
              <w:rPr>
                <w:rFonts w:ascii="黑体" w:hAnsi="黑体" w:eastAsia="黑体"/>
                <w:szCs w:val="21"/>
              </w:rPr>
            </w:pPr>
            <w:r>
              <w:rPr>
                <w:rFonts w:hint="eastAsia" w:ascii="黑体" w:hAnsi="黑体" w:eastAsia="黑体"/>
                <w:kern w:val="0"/>
                <w:szCs w:val="21"/>
              </w:rPr>
              <w:t>自然人</w:t>
            </w:r>
          </w:p>
        </w:tc>
        <w:tc>
          <w:tcPr>
            <w:tcW w:w="3000" w:type="dxa"/>
            <w:gridSpan w:val="7"/>
            <w:noWrap w:val="0"/>
            <w:tcMar>
              <w:left w:w="108" w:type="dxa"/>
              <w:right w:w="108" w:type="dxa"/>
            </w:tcMar>
            <w:vAlign w:val="center"/>
          </w:tcPr>
          <w:p w14:paraId="55DCB532">
            <w:pPr>
              <w:widowControl/>
              <w:spacing w:line="320" w:lineRule="exact"/>
              <w:jc w:val="center"/>
              <w:rPr>
                <w:rFonts w:ascii="黑体" w:hAnsi="黑体" w:eastAsia="黑体"/>
                <w:szCs w:val="21"/>
              </w:rPr>
            </w:pPr>
            <w:r>
              <w:rPr>
                <w:rFonts w:hint="eastAsia" w:ascii="黑体" w:hAnsi="黑体" w:eastAsia="黑体"/>
                <w:kern w:val="0"/>
                <w:szCs w:val="21"/>
              </w:rPr>
              <w:t>法人或其他组织</w:t>
            </w:r>
          </w:p>
        </w:tc>
        <w:tc>
          <w:tcPr>
            <w:tcW w:w="701" w:type="dxa"/>
            <w:vMerge w:val="restart"/>
            <w:noWrap w:val="0"/>
            <w:tcMar>
              <w:left w:w="108" w:type="dxa"/>
              <w:right w:w="108" w:type="dxa"/>
            </w:tcMar>
            <w:vAlign w:val="center"/>
          </w:tcPr>
          <w:p w14:paraId="217EBDCA">
            <w:pPr>
              <w:widowControl/>
              <w:jc w:val="center"/>
              <w:rPr>
                <w:rFonts w:ascii="黑体" w:hAnsi="黑体" w:eastAsia="黑体"/>
                <w:szCs w:val="21"/>
              </w:rPr>
            </w:pPr>
            <w:r>
              <w:rPr>
                <w:rFonts w:hint="eastAsia" w:ascii="黑体" w:hAnsi="黑体" w:eastAsia="黑体"/>
                <w:kern w:val="0"/>
                <w:szCs w:val="21"/>
              </w:rPr>
              <w:t>总计</w:t>
            </w:r>
          </w:p>
        </w:tc>
      </w:tr>
      <w:tr w14:paraId="5B3C2F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noWrap w:val="0"/>
            <w:tcMar>
              <w:left w:w="108" w:type="dxa"/>
              <w:right w:w="108" w:type="dxa"/>
            </w:tcMar>
            <w:vAlign w:val="center"/>
          </w:tcPr>
          <w:p w14:paraId="6091CFC5">
            <w:pPr>
              <w:jc w:val="center"/>
              <w:rPr>
                <w:rFonts w:ascii="仿宋_GB2312" w:hAnsi="Times New Roman" w:eastAsia="仿宋_GB2312"/>
                <w:szCs w:val="21"/>
              </w:rPr>
            </w:pPr>
          </w:p>
        </w:tc>
        <w:tc>
          <w:tcPr>
            <w:tcW w:w="747" w:type="dxa"/>
            <w:vMerge w:val="continue"/>
            <w:noWrap w:val="0"/>
            <w:tcMar>
              <w:left w:w="108" w:type="dxa"/>
              <w:right w:w="108" w:type="dxa"/>
            </w:tcMar>
            <w:vAlign w:val="center"/>
          </w:tcPr>
          <w:p w14:paraId="64D64D6C">
            <w:pPr>
              <w:jc w:val="center"/>
              <w:rPr>
                <w:rFonts w:ascii="黑体" w:hAnsi="黑体" w:eastAsia="黑体"/>
                <w:szCs w:val="21"/>
              </w:rPr>
            </w:pPr>
          </w:p>
        </w:tc>
        <w:tc>
          <w:tcPr>
            <w:tcW w:w="540" w:type="dxa"/>
            <w:gridSpan w:val="2"/>
            <w:noWrap w:val="0"/>
            <w:tcMar>
              <w:left w:w="108" w:type="dxa"/>
              <w:right w:w="108" w:type="dxa"/>
            </w:tcMar>
            <w:vAlign w:val="center"/>
          </w:tcPr>
          <w:p w14:paraId="5FBF57E2">
            <w:pPr>
              <w:widowControl/>
              <w:spacing w:line="320" w:lineRule="exact"/>
              <w:ind w:left="-106" w:leftChars="-51" w:right="-107" w:rightChars="-51" w:hanging="1"/>
              <w:jc w:val="center"/>
              <w:rPr>
                <w:rFonts w:ascii="黑体" w:hAnsi="黑体" w:eastAsia="黑体"/>
                <w:szCs w:val="21"/>
              </w:rPr>
            </w:pPr>
            <w:r>
              <w:rPr>
                <w:rFonts w:hint="eastAsia" w:ascii="黑体" w:hAnsi="黑体" w:eastAsia="黑体"/>
                <w:kern w:val="0"/>
                <w:szCs w:val="21"/>
              </w:rPr>
              <w:t>商业企业</w:t>
            </w:r>
          </w:p>
        </w:tc>
        <w:tc>
          <w:tcPr>
            <w:tcW w:w="540" w:type="dxa"/>
            <w:gridSpan w:val="2"/>
            <w:noWrap w:val="0"/>
            <w:tcMar>
              <w:left w:w="108" w:type="dxa"/>
              <w:right w:w="108" w:type="dxa"/>
            </w:tcMar>
            <w:vAlign w:val="center"/>
          </w:tcPr>
          <w:p w14:paraId="1667AAD5">
            <w:pPr>
              <w:widowControl/>
              <w:spacing w:line="320" w:lineRule="exact"/>
              <w:ind w:left="-107" w:leftChars="-51" w:right="-107" w:rightChars="-51"/>
              <w:jc w:val="center"/>
              <w:rPr>
                <w:rFonts w:ascii="黑体" w:hAnsi="黑体" w:eastAsia="黑体"/>
                <w:szCs w:val="21"/>
              </w:rPr>
            </w:pPr>
            <w:r>
              <w:rPr>
                <w:rFonts w:hint="eastAsia" w:ascii="黑体" w:hAnsi="黑体" w:eastAsia="黑体"/>
                <w:kern w:val="0"/>
                <w:szCs w:val="21"/>
              </w:rPr>
              <w:t>科研机构</w:t>
            </w:r>
          </w:p>
        </w:tc>
        <w:tc>
          <w:tcPr>
            <w:tcW w:w="720" w:type="dxa"/>
            <w:noWrap w:val="0"/>
            <w:tcMar>
              <w:left w:w="108" w:type="dxa"/>
              <w:right w:w="108" w:type="dxa"/>
            </w:tcMar>
            <w:vAlign w:val="center"/>
          </w:tcPr>
          <w:p w14:paraId="3CAFFBB1">
            <w:pPr>
              <w:widowControl/>
              <w:spacing w:line="320" w:lineRule="exact"/>
              <w:ind w:left="-107" w:leftChars="-51" w:right="-107" w:rightChars="-51"/>
              <w:jc w:val="center"/>
              <w:rPr>
                <w:rFonts w:ascii="黑体" w:hAnsi="黑体" w:eastAsia="黑体"/>
                <w:szCs w:val="21"/>
              </w:rPr>
            </w:pPr>
            <w:r>
              <w:rPr>
                <w:rFonts w:hint="eastAsia" w:ascii="黑体" w:hAnsi="黑体" w:eastAsia="黑体"/>
                <w:kern w:val="0"/>
                <w:szCs w:val="21"/>
              </w:rPr>
              <w:t>社会公益组织</w:t>
            </w:r>
          </w:p>
        </w:tc>
        <w:tc>
          <w:tcPr>
            <w:tcW w:w="675" w:type="dxa"/>
            <w:noWrap w:val="0"/>
            <w:tcMar>
              <w:left w:w="108" w:type="dxa"/>
              <w:right w:w="108" w:type="dxa"/>
            </w:tcMar>
            <w:vAlign w:val="center"/>
          </w:tcPr>
          <w:p w14:paraId="2A38B88A">
            <w:pPr>
              <w:widowControl/>
              <w:spacing w:line="320" w:lineRule="exact"/>
              <w:ind w:left="-106" w:leftChars="-51" w:right="-107" w:rightChars="-51" w:hanging="1"/>
              <w:jc w:val="center"/>
              <w:rPr>
                <w:rFonts w:ascii="黑体" w:hAnsi="黑体" w:eastAsia="黑体"/>
                <w:szCs w:val="21"/>
              </w:rPr>
            </w:pPr>
            <w:r>
              <w:rPr>
                <w:rFonts w:hint="eastAsia" w:ascii="黑体" w:hAnsi="黑体" w:eastAsia="黑体"/>
                <w:kern w:val="0"/>
                <w:szCs w:val="21"/>
              </w:rPr>
              <w:t>法律服务机构</w:t>
            </w:r>
          </w:p>
        </w:tc>
        <w:tc>
          <w:tcPr>
            <w:tcW w:w="525" w:type="dxa"/>
            <w:noWrap w:val="0"/>
            <w:tcMar>
              <w:left w:w="108" w:type="dxa"/>
              <w:right w:w="108" w:type="dxa"/>
            </w:tcMar>
            <w:vAlign w:val="center"/>
          </w:tcPr>
          <w:p w14:paraId="5DFE2836">
            <w:pPr>
              <w:widowControl/>
              <w:spacing w:line="360" w:lineRule="exact"/>
              <w:ind w:left="-63" w:leftChars="-30" w:right="-134" w:rightChars="-64"/>
              <w:jc w:val="center"/>
              <w:rPr>
                <w:rFonts w:ascii="黑体" w:hAnsi="黑体" w:eastAsia="黑体"/>
                <w:szCs w:val="21"/>
              </w:rPr>
            </w:pPr>
            <w:r>
              <w:rPr>
                <w:rFonts w:hint="eastAsia" w:ascii="黑体" w:hAnsi="黑体" w:eastAsia="黑体"/>
                <w:kern w:val="0"/>
                <w:szCs w:val="21"/>
              </w:rPr>
              <w:t>其他</w:t>
            </w:r>
          </w:p>
        </w:tc>
        <w:tc>
          <w:tcPr>
            <w:tcW w:w="701" w:type="dxa"/>
            <w:vMerge w:val="continue"/>
            <w:noWrap w:val="0"/>
            <w:tcMar>
              <w:left w:w="108" w:type="dxa"/>
              <w:right w:w="108" w:type="dxa"/>
            </w:tcMar>
            <w:vAlign w:val="center"/>
          </w:tcPr>
          <w:p w14:paraId="71CCF969">
            <w:pPr>
              <w:jc w:val="center"/>
              <w:rPr>
                <w:rFonts w:ascii="仿宋_GB2312" w:hAnsi="Times New Roman" w:eastAsia="仿宋_GB2312"/>
                <w:szCs w:val="21"/>
              </w:rPr>
            </w:pPr>
          </w:p>
        </w:tc>
      </w:tr>
      <w:tr w14:paraId="0AABDF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noWrap w:val="0"/>
            <w:tcMar>
              <w:left w:w="108" w:type="dxa"/>
              <w:right w:w="108" w:type="dxa"/>
            </w:tcMar>
            <w:vAlign w:val="center"/>
          </w:tcPr>
          <w:p w14:paraId="5849A378">
            <w:pPr>
              <w:widowControl/>
              <w:rPr>
                <w:rFonts w:ascii="黑体" w:hAnsi="黑体" w:eastAsia="黑体"/>
                <w:szCs w:val="21"/>
              </w:rPr>
            </w:pPr>
            <w:r>
              <w:rPr>
                <w:rFonts w:hint="eastAsia" w:ascii="黑体" w:hAnsi="黑体" w:eastAsia="黑体"/>
                <w:kern w:val="0"/>
                <w:szCs w:val="21"/>
              </w:rPr>
              <w:t>一、</w:t>
            </w:r>
            <w:bookmarkStart w:id="0" w:name="_Hlk66973412"/>
            <w:r>
              <w:rPr>
                <w:rFonts w:hint="eastAsia" w:ascii="黑体" w:hAnsi="黑体" w:eastAsia="黑体"/>
                <w:kern w:val="0"/>
                <w:szCs w:val="21"/>
              </w:rPr>
              <w:t>本年新收政府信息公开申请数量</w:t>
            </w:r>
            <w:bookmarkEnd w:id="0"/>
          </w:p>
        </w:tc>
        <w:tc>
          <w:tcPr>
            <w:tcW w:w="747" w:type="dxa"/>
            <w:noWrap w:val="0"/>
            <w:tcMar>
              <w:left w:w="108" w:type="dxa"/>
              <w:right w:w="108" w:type="dxa"/>
            </w:tcMar>
            <w:vAlign w:val="center"/>
          </w:tcPr>
          <w:p w14:paraId="6D898A0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FF0000"/>
                <w:szCs w:val="21"/>
                <w:lang w:val="en-US" w:eastAsia="zh-CN"/>
              </w:rPr>
            </w:pPr>
            <w:r>
              <w:rPr>
                <w:rFonts w:hint="eastAsia" w:ascii="仿宋_GB2312" w:hAnsi="Times New Roman" w:eastAsia="仿宋_GB2312"/>
                <w:szCs w:val="21"/>
                <w:lang w:val="en-US" w:eastAsia="zh-CN"/>
              </w:rPr>
              <w:t>1</w:t>
            </w:r>
          </w:p>
        </w:tc>
        <w:tc>
          <w:tcPr>
            <w:tcW w:w="540" w:type="dxa"/>
            <w:gridSpan w:val="2"/>
            <w:noWrap w:val="0"/>
            <w:tcMar>
              <w:left w:w="108" w:type="dxa"/>
              <w:right w:w="108" w:type="dxa"/>
            </w:tcMar>
            <w:vAlign w:val="center"/>
          </w:tcPr>
          <w:p w14:paraId="2191D65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1DCC604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1BD9021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02427B8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5B5F6EC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c>
          <w:tcPr>
            <w:tcW w:w="701" w:type="dxa"/>
            <w:noWrap w:val="0"/>
            <w:tcMar>
              <w:left w:w="108" w:type="dxa"/>
              <w:right w:w="108" w:type="dxa"/>
            </w:tcMar>
            <w:vAlign w:val="center"/>
          </w:tcPr>
          <w:p w14:paraId="1604342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szCs w:val="21"/>
                <w:lang w:val="en-US" w:eastAsia="zh-CN"/>
              </w:rPr>
              <w:t>1</w:t>
            </w:r>
          </w:p>
        </w:tc>
      </w:tr>
      <w:tr w14:paraId="55E4A9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94" w:hRule="atLeast"/>
          <w:jc w:val="center"/>
        </w:trPr>
        <w:tc>
          <w:tcPr>
            <w:tcW w:w="5093" w:type="dxa"/>
            <w:gridSpan w:val="3"/>
            <w:noWrap w:val="0"/>
            <w:tcMar>
              <w:left w:w="108" w:type="dxa"/>
              <w:right w:w="108" w:type="dxa"/>
            </w:tcMar>
            <w:vAlign w:val="center"/>
          </w:tcPr>
          <w:p w14:paraId="6EB89A38">
            <w:pPr>
              <w:widowControl/>
              <w:rPr>
                <w:rFonts w:ascii="黑体" w:hAnsi="黑体" w:eastAsia="黑体"/>
                <w:szCs w:val="21"/>
              </w:rPr>
            </w:pPr>
            <w:r>
              <w:rPr>
                <w:rFonts w:hint="eastAsia" w:ascii="黑体" w:hAnsi="黑体" w:eastAsia="黑体"/>
                <w:kern w:val="0"/>
                <w:szCs w:val="21"/>
              </w:rPr>
              <w:t>二、上年结转政府信息公开申请数量</w:t>
            </w:r>
          </w:p>
        </w:tc>
        <w:tc>
          <w:tcPr>
            <w:tcW w:w="747" w:type="dxa"/>
            <w:noWrap w:val="0"/>
            <w:tcMar>
              <w:left w:w="108" w:type="dxa"/>
              <w:right w:w="108" w:type="dxa"/>
            </w:tcMar>
            <w:vAlign w:val="center"/>
          </w:tcPr>
          <w:p w14:paraId="059E5A5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FF0000"/>
                <w:szCs w:val="21"/>
                <w:lang w:val="en-US" w:eastAsia="zh-CN"/>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7C68541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012DC9C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501879F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142BF9A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218D23B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c>
          <w:tcPr>
            <w:tcW w:w="701" w:type="dxa"/>
            <w:noWrap w:val="0"/>
            <w:tcMar>
              <w:left w:w="108" w:type="dxa"/>
              <w:right w:w="108" w:type="dxa"/>
            </w:tcMar>
            <w:vAlign w:val="center"/>
          </w:tcPr>
          <w:p w14:paraId="7482E53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FF0000"/>
                <w:szCs w:val="21"/>
                <w:lang w:val="en-US" w:eastAsia="zh-CN"/>
              </w:rPr>
            </w:pPr>
            <w:r>
              <w:rPr>
                <w:rFonts w:hint="eastAsia" w:ascii="仿宋_GB2312" w:hAnsi="Times New Roman" w:eastAsia="仿宋_GB2312"/>
                <w:szCs w:val="21"/>
                <w:lang w:val="en-US" w:eastAsia="zh-CN"/>
              </w:rPr>
              <w:t>0</w:t>
            </w:r>
          </w:p>
        </w:tc>
      </w:tr>
      <w:tr w14:paraId="308115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noWrap w:val="0"/>
            <w:tcMar>
              <w:left w:w="108" w:type="dxa"/>
              <w:right w:w="108" w:type="dxa"/>
            </w:tcMar>
            <w:vAlign w:val="center"/>
          </w:tcPr>
          <w:p w14:paraId="6AF1DB41">
            <w:pPr>
              <w:widowControl/>
              <w:spacing w:after="180"/>
              <w:rPr>
                <w:rFonts w:ascii="黑体" w:hAnsi="黑体" w:eastAsia="黑体"/>
                <w:szCs w:val="21"/>
              </w:rPr>
            </w:pPr>
            <w:r>
              <w:rPr>
                <w:rFonts w:hint="eastAsia" w:ascii="黑体" w:hAnsi="黑体" w:eastAsia="黑体"/>
                <w:kern w:val="0"/>
                <w:szCs w:val="21"/>
              </w:rPr>
              <w:t>三、本年度办理结果</w:t>
            </w:r>
          </w:p>
        </w:tc>
        <w:tc>
          <w:tcPr>
            <w:tcW w:w="4677" w:type="dxa"/>
            <w:gridSpan w:val="2"/>
            <w:noWrap w:val="0"/>
            <w:tcMar>
              <w:left w:w="108" w:type="dxa"/>
              <w:right w:w="108" w:type="dxa"/>
            </w:tcMar>
            <w:vAlign w:val="center"/>
          </w:tcPr>
          <w:p w14:paraId="0C41A5D1">
            <w:pPr>
              <w:widowControl/>
              <w:rPr>
                <w:rFonts w:ascii="黑体" w:hAnsi="黑体" w:eastAsia="黑体"/>
                <w:szCs w:val="21"/>
              </w:rPr>
            </w:pPr>
            <w:r>
              <w:rPr>
                <w:rFonts w:hint="eastAsia" w:ascii="黑体" w:hAnsi="黑体" w:eastAsia="黑体"/>
                <w:kern w:val="0"/>
                <w:szCs w:val="21"/>
              </w:rPr>
              <w:t>（一）予以公开</w:t>
            </w:r>
          </w:p>
        </w:tc>
        <w:tc>
          <w:tcPr>
            <w:tcW w:w="752" w:type="dxa"/>
            <w:gridSpan w:val="2"/>
            <w:noWrap w:val="0"/>
            <w:tcMar>
              <w:left w:w="108" w:type="dxa"/>
              <w:right w:w="108" w:type="dxa"/>
            </w:tcMar>
            <w:vAlign w:val="center"/>
          </w:tcPr>
          <w:p w14:paraId="69FEA97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1</w:t>
            </w:r>
          </w:p>
        </w:tc>
        <w:tc>
          <w:tcPr>
            <w:tcW w:w="540" w:type="dxa"/>
            <w:gridSpan w:val="2"/>
            <w:noWrap w:val="0"/>
            <w:tcMar>
              <w:left w:w="108" w:type="dxa"/>
              <w:right w:w="108" w:type="dxa"/>
            </w:tcMar>
            <w:vAlign w:val="center"/>
          </w:tcPr>
          <w:p w14:paraId="1896D21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35" w:type="dxa"/>
            <w:noWrap w:val="0"/>
            <w:tcMar>
              <w:left w:w="108" w:type="dxa"/>
              <w:right w:w="108" w:type="dxa"/>
            </w:tcMar>
            <w:vAlign w:val="center"/>
          </w:tcPr>
          <w:p w14:paraId="12A2811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52C4FF5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18B92FA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207C62D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1" w:type="dxa"/>
            <w:noWrap w:val="0"/>
            <w:tcMar>
              <w:left w:w="108" w:type="dxa"/>
              <w:right w:w="108" w:type="dxa"/>
            </w:tcMar>
            <w:vAlign w:val="center"/>
          </w:tcPr>
          <w:p w14:paraId="29BEE52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1</w:t>
            </w:r>
          </w:p>
        </w:tc>
      </w:tr>
      <w:tr w14:paraId="576399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4DF8C594">
            <w:pPr>
              <w:rPr>
                <w:rFonts w:ascii="黑体" w:hAnsi="黑体" w:eastAsia="黑体"/>
                <w:szCs w:val="21"/>
              </w:rPr>
            </w:pPr>
          </w:p>
        </w:tc>
        <w:tc>
          <w:tcPr>
            <w:tcW w:w="4677" w:type="dxa"/>
            <w:gridSpan w:val="2"/>
            <w:noWrap w:val="0"/>
            <w:tcMar>
              <w:left w:w="108" w:type="dxa"/>
              <w:right w:w="108" w:type="dxa"/>
            </w:tcMar>
            <w:vAlign w:val="center"/>
          </w:tcPr>
          <w:p w14:paraId="4C625038">
            <w:pPr>
              <w:widowControl/>
              <w:rPr>
                <w:rFonts w:ascii="黑体" w:hAnsi="黑体" w:eastAsia="黑体"/>
                <w:szCs w:val="21"/>
              </w:rPr>
            </w:pPr>
            <w:r>
              <w:rPr>
                <w:rFonts w:hint="eastAsia" w:ascii="黑体" w:hAnsi="黑体" w:eastAsia="黑体"/>
                <w:kern w:val="0"/>
                <w:szCs w:val="21"/>
              </w:rPr>
              <w:t>（二）部分公开（</w:t>
            </w:r>
            <w:bookmarkStart w:id="1" w:name="_Hlk66973981"/>
            <w:r>
              <w:rPr>
                <w:rFonts w:hint="eastAsia" w:ascii="黑体" w:hAnsi="黑体" w:eastAsia="黑体"/>
                <w:kern w:val="0"/>
                <w:szCs w:val="21"/>
              </w:rPr>
              <w:t>区分处理的，只计这一情形，不计其他情形</w:t>
            </w:r>
            <w:bookmarkEnd w:id="1"/>
            <w:r>
              <w:rPr>
                <w:rFonts w:hint="eastAsia" w:ascii="黑体" w:hAnsi="黑体" w:eastAsia="黑体"/>
                <w:kern w:val="0"/>
                <w:szCs w:val="21"/>
              </w:rPr>
              <w:t>）</w:t>
            </w:r>
          </w:p>
        </w:tc>
        <w:tc>
          <w:tcPr>
            <w:tcW w:w="752" w:type="dxa"/>
            <w:gridSpan w:val="2"/>
            <w:noWrap w:val="0"/>
            <w:tcMar>
              <w:left w:w="108" w:type="dxa"/>
              <w:right w:w="108" w:type="dxa"/>
            </w:tcMar>
            <w:vAlign w:val="center"/>
          </w:tcPr>
          <w:p w14:paraId="607284D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5B07678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35" w:type="dxa"/>
            <w:noWrap w:val="0"/>
            <w:tcMar>
              <w:left w:w="108" w:type="dxa"/>
              <w:right w:w="108" w:type="dxa"/>
            </w:tcMar>
            <w:vAlign w:val="center"/>
          </w:tcPr>
          <w:p w14:paraId="5B4B879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7A7CDEC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379770A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0F8A75E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1" w:type="dxa"/>
            <w:noWrap w:val="0"/>
            <w:tcMar>
              <w:left w:w="108" w:type="dxa"/>
              <w:right w:w="108" w:type="dxa"/>
            </w:tcMar>
            <w:vAlign w:val="center"/>
          </w:tcPr>
          <w:p w14:paraId="4B43F39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14:paraId="223BCB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2B3BB159">
            <w:pPr>
              <w:rPr>
                <w:rFonts w:ascii="黑体" w:hAnsi="黑体" w:eastAsia="黑体"/>
                <w:szCs w:val="21"/>
              </w:rPr>
            </w:pPr>
          </w:p>
        </w:tc>
        <w:tc>
          <w:tcPr>
            <w:tcW w:w="1701" w:type="dxa"/>
            <w:vMerge w:val="restart"/>
            <w:noWrap w:val="0"/>
            <w:tcMar>
              <w:left w:w="108" w:type="dxa"/>
              <w:right w:w="108" w:type="dxa"/>
            </w:tcMar>
            <w:vAlign w:val="center"/>
          </w:tcPr>
          <w:p w14:paraId="33103070">
            <w:pPr>
              <w:widowControl/>
              <w:spacing w:line="200" w:lineRule="exact"/>
              <w:ind w:left="-107" w:leftChars="-51"/>
              <w:rPr>
                <w:rFonts w:ascii="黑体" w:hAnsi="黑体" w:eastAsia="黑体"/>
                <w:szCs w:val="21"/>
              </w:rPr>
            </w:pPr>
            <w:r>
              <w:rPr>
                <w:rFonts w:hint="eastAsia" w:ascii="黑体" w:hAnsi="黑体" w:eastAsia="黑体"/>
                <w:kern w:val="0"/>
                <w:szCs w:val="21"/>
              </w:rPr>
              <w:t>（三）不予公开</w:t>
            </w:r>
          </w:p>
        </w:tc>
        <w:tc>
          <w:tcPr>
            <w:tcW w:w="2976" w:type="dxa"/>
            <w:noWrap w:val="0"/>
            <w:tcMar>
              <w:left w:w="108" w:type="dxa"/>
              <w:right w:w="108" w:type="dxa"/>
            </w:tcMar>
            <w:vAlign w:val="center"/>
          </w:tcPr>
          <w:p w14:paraId="687AB86C">
            <w:pPr>
              <w:widowControl/>
              <w:spacing w:line="200" w:lineRule="exact"/>
              <w:rPr>
                <w:rFonts w:ascii="仿宋_GB2312" w:hAnsi="黑体" w:eastAsia="仿宋_GB2312"/>
                <w:kern w:val="0"/>
                <w:szCs w:val="21"/>
              </w:rPr>
            </w:pPr>
            <w:r>
              <w:rPr>
                <w:rFonts w:hint="eastAsia" w:ascii="仿宋_GB2312" w:hAnsi="黑体" w:eastAsia="仿宋_GB2312"/>
                <w:kern w:val="0"/>
                <w:szCs w:val="21"/>
              </w:rPr>
              <w:t>1.属于国家秘密</w:t>
            </w:r>
          </w:p>
        </w:tc>
        <w:tc>
          <w:tcPr>
            <w:tcW w:w="747" w:type="dxa"/>
            <w:noWrap w:val="0"/>
            <w:tcMar>
              <w:left w:w="108" w:type="dxa"/>
              <w:right w:w="108" w:type="dxa"/>
            </w:tcMar>
            <w:vAlign w:val="center"/>
          </w:tcPr>
          <w:p w14:paraId="5948C69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3E48ABE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67D0F7C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08F6683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1954733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65393D8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noWrap w:val="0"/>
            <w:tcMar>
              <w:left w:w="108" w:type="dxa"/>
              <w:right w:w="108" w:type="dxa"/>
            </w:tcMar>
            <w:vAlign w:val="center"/>
          </w:tcPr>
          <w:p w14:paraId="67B4EA3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14:paraId="3FFF20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6D661058">
            <w:pPr>
              <w:rPr>
                <w:rFonts w:ascii="黑体" w:hAnsi="黑体" w:eastAsia="黑体"/>
                <w:szCs w:val="21"/>
              </w:rPr>
            </w:pPr>
          </w:p>
        </w:tc>
        <w:tc>
          <w:tcPr>
            <w:tcW w:w="1701" w:type="dxa"/>
            <w:vMerge w:val="continue"/>
            <w:noWrap w:val="0"/>
            <w:tcMar>
              <w:left w:w="108" w:type="dxa"/>
              <w:right w:w="108" w:type="dxa"/>
            </w:tcMar>
            <w:vAlign w:val="center"/>
          </w:tcPr>
          <w:p w14:paraId="2311767F">
            <w:pPr>
              <w:spacing w:line="200" w:lineRule="exact"/>
              <w:rPr>
                <w:rFonts w:ascii="黑体" w:hAnsi="黑体" w:eastAsia="黑体"/>
                <w:szCs w:val="21"/>
              </w:rPr>
            </w:pPr>
          </w:p>
        </w:tc>
        <w:tc>
          <w:tcPr>
            <w:tcW w:w="2976" w:type="dxa"/>
            <w:noWrap w:val="0"/>
            <w:tcMar>
              <w:left w:w="108" w:type="dxa"/>
              <w:right w:w="108" w:type="dxa"/>
            </w:tcMar>
            <w:vAlign w:val="center"/>
          </w:tcPr>
          <w:p w14:paraId="27D93703">
            <w:pPr>
              <w:widowControl/>
              <w:spacing w:line="200" w:lineRule="exact"/>
              <w:rPr>
                <w:rFonts w:ascii="仿宋_GB2312" w:hAnsi="黑体" w:eastAsia="仿宋_GB2312"/>
                <w:kern w:val="0"/>
                <w:szCs w:val="21"/>
              </w:rPr>
            </w:pPr>
            <w:r>
              <w:rPr>
                <w:rFonts w:hint="eastAsia" w:ascii="仿宋_GB2312" w:hAnsi="黑体" w:eastAsia="仿宋_GB2312"/>
                <w:kern w:val="0"/>
                <w:szCs w:val="21"/>
              </w:rPr>
              <w:t>2.</w:t>
            </w:r>
            <w:bookmarkStart w:id="2" w:name="_Hlk66974104"/>
            <w:r>
              <w:rPr>
                <w:rFonts w:hint="eastAsia" w:ascii="仿宋_GB2312" w:hAnsi="黑体" w:eastAsia="仿宋_GB2312"/>
                <w:kern w:val="0"/>
                <w:szCs w:val="21"/>
              </w:rPr>
              <w:t>其他法律行政法规禁止公开</w:t>
            </w:r>
            <w:bookmarkEnd w:id="2"/>
          </w:p>
        </w:tc>
        <w:tc>
          <w:tcPr>
            <w:tcW w:w="747" w:type="dxa"/>
            <w:noWrap w:val="0"/>
            <w:tcMar>
              <w:left w:w="108" w:type="dxa"/>
              <w:right w:w="108" w:type="dxa"/>
            </w:tcMar>
            <w:vAlign w:val="center"/>
          </w:tcPr>
          <w:p w14:paraId="3AD42AF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2FD8319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34AF712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64620E8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1E903BE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3C772CE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noWrap w:val="0"/>
            <w:tcMar>
              <w:left w:w="108" w:type="dxa"/>
              <w:right w:w="108" w:type="dxa"/>
            </w:tcMar>
            <w:vAlign w:val="center"/>
          </w:tcPr>
          <w:p w14:paraId="04281E0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14:paraId="1F2DD9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5CF0FB28">
            <w:pPr>
              <w:rPr>
                <w:rFonts w:ascii="黑体" w:hAnsi="黑体" w:eastAsia="黑体"/>
                <w:szCs w:val="21"/>
              </w:rPr>
            </w:pPr>
          </w:p>
        </w:tc>
        <w:tc>
          <w:tcPr>
            <w:tcW w:w="1701" w:type="dxa"/>
            <w:vMerge w:val="continue"/>
            <w:noWrap w:val="0"/>
            <w:tcMar>
              <w:left w:w="108" w:type="dxa"/>
              <w:right w:w="108" w:type="dxa"/>
            </w:tcMar>
            <w:vAlign w:val="center"/>
          </w:tcPr>
          <w:p w14:paraId="7DCFE766">
            <w:pPr>
              <w:spacing w:line="200" w:lineRule="exact"/>
              <w:rPr>
                <w:rFonts w:ascii="黑体" w:hAnsi="黑体" w:eastAsia="黑体"/>
                <w:szCs w:val="21"/>
              </w:rPr>
            </w:pPr>
          </w:p>
        </w:tc>
        <w:tc>
          <w:tcPr>
            <w:tcW w:w="2976" w:type="dxa"/>
            <w:noWrap w:val="0"/>
            <w:tcMar>
              <w:left w:w="108" w:type="dxa"/>
              <w:right w:w="108" w:type="dxa"/>
            </w:tcMar>
            <w:vAlign w:val="center"/>
          </w:tcPr>
          <w:p w14:paraId="1FCEFD9F">
            <w:pPr>
              <w:widowControl/>
              <w:spacing w:line="200" w:lineRule="exact"/>
              <w:rPr>
                <w:rFonts w:ascii="仿宋_GB2312" w:hAnsi="黑体" w:eastAsia="仿宋_GB2312"/>
                <w:kern w:val="0"/>
                <w:szCs w:val="21"/>
              </w:rPr>
            </w:pPr>
            <w:r>
              <w:rPr>
                <w:rFonts w:hint="eastAsia" w:ascii="仿宋_GB2312" w:hAnsi="黑体" w:eastAsia="仿宋_GB2312"/>
                <w:kern w:val="0"/>
                <w:szCs w:val="21"/>
              </w:rPr>
              <w:t>3.危及“三安全一稳定”</w:t>
            </w:r>
          </w:p>
        </w:tc>
        <w:tc>
          <w:tcPr>
            <w:tcW w:w="747" w:type="dxa"/>
            <w:noWrap w:val="0"/>
            <w:tcMar>
              <w:left w:w="108" w:type="dxa"/>
              <w:right w:w="108" w:type="dxa"/>
            </w:tcMar>
            <w:vAlign w:val="center"/>
          </w:tcPr>
          <w:p w14:paraId="2B53370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2C1DD25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6D5A174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5E5B26F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3D64336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7AE5D5E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noWrap w:val="0"/>
            <w:tcMar>
              <w:left w:w="108" w:type="dxa"/>
              <w:right w:w="108" w:type="dxa"/>
            </w:tcMar>
            <w:vAlign w:val="center"/>
          </w:tcPr>
          <w:p w14:paraId="20AC0EB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14:paraId="27BDE8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4E133E23">
            <w:pPr>
              <w:rPr>
                <w:rFonts w:ascii="黑体" w:hAnsi="黑体" w:eastAsia="黑体"/>
                <w:szCs w:val="21"/>
              </w:rPr>
            </w:pPr>
          </w:p>
        </w:tc>
        <w:tc>
          <w:tcPr>
            <w:tcW w:w="1701" w:type="dxa"/>
            <w:vMerge w:val="continue"/>
            <w:noWrap w:val="0"/>
            <w:tcMar>
              <w:left w:w="108" w:type="dxa"/>
              <w:right w:w="108" w:type="dxa"/>
            </w:tcMar>
            <w:vAlign w:val="center"/>
          </w:tcPr>
          <w:p w14:paraId="326FEB99">
            <w:pPr>
              <w:spacing w:line="200" w:lineRule="exact"/>
              <w:rPr>
                <w:rFonts w:ascii="黑体" w:hAnsi="黑体" w:eastAsia="黑体"/>
                <w:szCs w:val="21"/>
              </w:rPr>
            </w:pPr>
          </w:p>
        </w:tc>
        <w:tc>
          <w:tcPr>
            <w:tcW w:w="2976" w:type="dxa"/>
            <w:noWrap w:val="0"/>
            <w:tcMar>
              <w:left w:w="108" w:type="dxa"/>
              <w:right w:w="108" w:type="dxa"/>
            </w:tcMar>
            <w:vAlign w:val="center"/>
          </w:tcPr>
          <w:p w14:paraId="73BE2999">
            <w:pPr>
              <w:widowControl/>
              <w:spacing w:line="200" w:lineRule="exact"/>
              <w:rPr>
                <w:rFonts w:ascii="仿宋_GB2312" w:hAnsi="黑体" w:eastAsia="仿宋_GB2312"/>
                <w:kern w:val="0"/>
                <w:szCs w:val="21"/>
              </w:rPr>
            </w:pPr>
            <w:r>
              <w:rPr>
                <w:rFonts w:hint="eastAsia" w:ascii="仿宋_GB2312" w:hAnsi="黑体" w:eastAsia="仿宋_GB2312"/>
                <w:kern w:val="0"/>
                <w:szCs w:val="21"/>
              </w:rPr>
              <w:t>4.</w:t>
            </w:r>
            <w:bookmarkStart w:id="3" w:name="_Hlk66974290"/>
            <w:r>
              <w:rPr>
                <w:rFonts w:hint="eastAsia" w:ascii="仿宋_GB2312" w:hAnsi="黑体" w:eastAsia="仿宋_GB2312"/>
                <w:kern w:val="0"/>
                <w:szCs w:val="21"/>
              </w:rPr>
              <w:t>保护第三方合法权益</w:t>
            </w:r>
            <w:bookmarkEnd w:id="3"/>
          </w:p>
        </w:tc>
        <w:tc>
          <w:tcPr>
            <w:tcW w:w="747" w:type="dxa"/>
            <w:noWrap w:val="0"/>
            <w:tcMar>
              <w:left w:w="108" w:type="dxa"/>
              <w:right w:w="108" w:type="dxa"/>
            </w:tcMar>
            <w:vAlign w:val="center"/>
          </w:tcPr>
          <w:p w14:paraId="42E3C77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4196DA3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2FA3632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6D759BB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029DF4B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0244DBF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noWrap w:val="0"/>
            <w:tcMar>
              <w:left w:w="108" w:type="dxa"/>
              <w:right w:w="108" w:type="dxa"/>
            </w:tcMar>
            <w:vAlign w:val="center"/>
          </w:tcPr>
          <w:p w14:paraId="1D8DFBC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14:paraId="58AF1A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78AE15A7">
            <w:pPr>
              <w:rPr>
                <w:rFonts w:ascii="黑体" w:hAnsi="黑体" w:eastAsia="黑体"/>
                <w:szCs w:val="21"/>
              </w:rPr>
            </w:pPr>
          </w:p>
        </w:tc>
        <w:tc>
          <w:tcPr>
            <w:tcW w:w="1701" w:type="dxa"/>
            <w:vMerge w:val="continue"/>
            <w:noWrap w:val="0"/>
            <w:tcMar>
              <w:left w:w="108" w:type="dxa"/>
              <w:right w:w="108" w:type="dxa"/>
            </w:tcMar>
            <w:vAlign w:val="center"/>
          </w:tcPr>
          <w:p w14:paraId="19E985D7">
            <w:pPr>
              <w:spacing w:line="200" w:lineRule="exact"/>
              <w:rPr>
                <w:rFonts w:ascii="黑体" w:hAnsi="黑体" w:eastAsia="黑体"/>
                <w:szCs w:val="21"/>
              </w:rPr>
            </w:pPr>
          </w:p>
        </w:tc>
        <w:tc>
          <w:tcPr>
            <w:tcW w:w="2976" w:type="dxa"/>
            <w:noWrap w:val="0"/>
            <w:tcMar>
              <w:left w:w="108" w:type="dxa"/>
              <w:right w:w="108" w:type="dxa"/>
            </w:tcMar>
            <w:vAlign w:val="center"/>
          </w:tcPr>
          <w:p w14:paraId="51C4F080">
            <w:pPr>
              <w:widowControl/>
              <w:spacing w:line="200" w:lineRule="exact"/>
              <w:rPr>
                <w:rFonts w:ascii="仿宋_GB2312" w:hAnsi="黑体" w:eastAsia="仿宋_GB2312"/>
                <w:kern w:val="0"/>
                <w:szCs w:val="21"/>
              </w:rPr>
            </w:pPr>
            <w:r>
              <w:rPr>
                <w:rFonts w:hint="eastAsia" w:ascii="仿宋_GB2312" w:hAnsi="黑体" w:eastAsia="仿宋_GB2312"/>
                <w:kern w:val="0"/>
                <w:szCs w:val="21"/>
              </w:rPr>
              <w:t>5.属于三类内部事务信息</w:t>
            </w:r>
          </w:p>
        </w:tc>
        <w:tc>
          <w:tcPr>
            <w:tcW w:w="747" w:type="dxa"/>
            <w:noWrap w:val="0"/>
            <w:tcMar>
              <w:left w:w="108" w:type="dxa"/>
              <w:right w:w="108" w:type="dxa"/>
            </w:tcMar>
            <w:vAlign w:val="center"/>
          </w:tcPr>
          <w:p w14:paraId="7715948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46DABA6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7D40C7D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7D8A04B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1011FE9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0650CC4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noWrap w:val="0"/>
            <w:tcMar>
              <w:left w:w="108" w:type="dxa"/>
              <w:right w:w="108" w:type="dxa"/>
            </w:tcMar>
            <w:vAlign w:val="center"/>
          </w:tcPr>
          <w:p w14:paraId="3038E67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14:paraId="1C33AC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370B4154">
            <w:pPr>
              <w:rPr>
                <w:rFonts w:ascii="黑体" w:hAnsi="黑体" w:eastAsia="黑体"/>
                <w:szCs w:val="21"/>
              </w:rPr>
            </w:pPr>
          </w:p>
        </w:tc>
        <w:tc>
          <w:tcPr>
            <w:tcW w:w="1701" w:type="dxa"/>
            <w:vMerge w:val="continue"/>
            <w:noWrap w:val="0"/>
            <w:tcMar>
              <w:left w:w="108" w:type="dxa"/>
              <w:right w:w="108" w:type="dxa"/>
            </w:tcMar>
            <w:vAlign w:val="center"/>
          </w:tcPr>
          <w:p w14:paraId="3E10A7C1">
            <w:pPr>
              <w:spacing w:line="200" w:lineRule="exact"/>
              <w:rPr>
                <w:rFonts w:ascii="黑体" w:hAnsi="黑体" w:eastAsia="黑体"/>
                <w:szCs w:val="21"/>
              </w:rPr>
            </w:pPr>
          </w:p>
        </w:tc>
        <w:tc>
          <w:tcPr>
            <w:tcW w:w="2976" w:type="dxa"/>
            <w:noWrap w:val="0"/>
            <w:tcMar>
              <w:left w:w="108" w:type="dxa"/>
              <w:right w:w="108" w:type="dxa"/>
            </w:tcMar>
            <w:vAlign w:val="center"/>
          </w:tcPr>
          <w:p w14:paraId="56E96866">
            <w:pPr>
              <w:widowControl/>
              <w:spacing w:line="200" w:lineRule="exact"/>
              <w:rPr>
                <w:rFonts w:ascii="仿宋_GB2312" w:hAnsi="黑体" w:eastAsia="仿宋_GB2312"/>
                <w:kern w:val="0"/>
                <w:szCs w:val="21"/>
              </w:rPr>
            </w:pPr>
            <w:r>
              <w:rPr>
                <w:rFonts w:hint="eastAsia" w:ascii="仿宋_GB2312" w:hAnsi="黑体" w:eastAsia="仿宋_GB2312"/>
                <w:kern w:val="0"/>
                <w:szCs w:val="21"/>
              </w:rPr>
              <w:t>6.</w:t>
            </w:r>
            <w:bookmarkStart w:id="4" w:name="_Hlk66974555"/>
            <w:r>
              <w:rPr>
                <w:rFonts w:hint="eastAsia" w:ascii="仿宋_GB2312" w:hAnsi="黑体" w:eastAsia="仿宋_GB2312"/>
                <w:kern w:val="0"/>
                <w:szCs w:val="21"/>
              </w:rPr>
              <w:t>属于四类过程性信息</w:t>
            </w:r>
            <w:bookmarkEnd w:id="4"/>
          </w:p>
        </w:tc>
        <w:tc>
          <w:tcPr>
            <w:tcW w:w="747" w:type="dxa"/>
            <w:noWrap w:val="0"/>
            <w:tcMar>
              <w:left w:w="108" w:type="dxa"/>
              <w:right w:w="108" w:type="dxa"/>
            </w:tcMar>
            <w:vAlign w:val="center"/>
          </w:tcPr>
          <w:p w14:paraId="2A498C7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70D6BFD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3604A22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20693B3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7B43E36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3E5ADE7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noWrap w:val="0"/>
            <w:tcMar>
              <w:left w:w="108" w:type="dxa"/>
              <w:right w:w="108" w:type="dxa"/>
            </w:tcMar>
            <w:vAlign w:val="center"/>
          </w:tcPr>
          <w:p w14:paraId="18EF677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14:paraId="78C55A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644032A2">
            <w:pPr>
              <w:rPr>
                <w:rFonts w:ascii="黑体" w:hAnsi="黑体" w:eastAsia="黑体"/>
                <w:szCs w:val="21"/>
              </w:rPr>
            </w:pPr>
          </w:p>
        </w:tc>
        <w:tc>
          <w:tcPr>
            <w:tcW w:w="1701" w:type="dxa"/>
            <w:vMerge w:val="continue"/>
            <w:noWrap w:val="0"/>
            <w:tcMar>
              <w:left w:w="108" w:type="dxa"/>
              <w:right w:w="108" w:type="dxa"/>
            </w:tcMar>
            <w:vAlign w:val="center"/>
          </w:tcPr>
          <w:p w14:paraId="1CC169F3">
            <w:pPr>
              <w:spacing w:line="200" w:lineRule="exact"/>
              <w:rPr>
                <w:rFonts w:ascii="黑体" w:hAnsi="黑体" w:eastAsia="黑体"/>
                <w:szCs w:val="21"/>
              </w:rPr>
            </w:pPr>
          </w:p>
        </w:tc>
        <w:tc>
          <w:tcPr>
            <w:tcW w:w="2976" w:type="dxa"/>
            <w:noWrap w:val="0"/>
            <w:tcMar>
              <w:left w:w="108" w:type="dxa"/>
              <w:right w:w="108" w:type="dxa"/>
            </w:tcMar>
            <w:vAlign w:val="center"/>
          </w:tcPr>
          <w:p w14:paraId="13ECAB87">
            <w:pPr>
              <w:widowControl/>
              <w:spacing w:line="200" w:lineRule="exact"/>
              <w:rPr>
                <w:rFonts w:ascii="仿宋_GB2312" w:hAnsi="黑体" w:eastAsia="仿宋_GB2312"/>
                <w:kern w:val="0"/>
                <w:szCs w:val="21"/>
              </w:rPr>
            </w:pPr>
            <w:r>
              <w:rPr>
                <w:rFonts w:hint="eastAsia" w:ascii="仿宋_GB2312" w:hAnsi="黑体" w:eastAsia="仿宋_GB2312"/>
                <w:kern w:val="0"/>
                <w:szCs w:val="21"/>
              </w:rPr>
              <w:t>7.属于行政执法案卷</w:t>
            </w:r>
          </w:p>
        </w:tc>
        <w:tc>
          <w:tcPr>
            <w:tcW w:w="747" w:type="dxa"/>
            <w:noWrap w:val="0"/>
            <w:tcMar>
              <w:left w:w="108" w:type="dxa"/>
              <w:right w:w="108" w:type="dxa"/>
            </w:tcMar>
            <w:vAlign w:val="center"/>
          </w:tcPr>
          <w:p w14:paraId="2E1B4DF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1999763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6194320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4E82615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6C41221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0E889E6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noWrap w:val="0"/>
            <w:tcMar>
              <w:left w:w="108" w:type="dxa"/>
              <w:right w:w="108" w:type="dxa"/>
            </w:tcMar>
            <w:vAlign w:val="center"/>
          </w:tcPr>
          <w:p w14:paraId="1D0669A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14:paraId="762E56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5D69E346">
            <w:pPr>
              <w:rPr>
                <w:rFonts w:ascii="黑体" w:hAnsi="黑体" w:eastAsia="黑体"/>
                <w:szCs w:val="21"/>
              </w:rPr>
            </w:pPr>
          </w:p>
        </w:tc>
        <w:tc>
          <w:tcPr>
            <w:tcW w:w="1701" w:type="dxa"/>
            <w:vMerge w:val="continue"/>
            <w:noWrap w:val="0"/>
            <w:tcMar>
              <w:left w:w="108" w:type="dxa"/>
              <w:right w:w="108" w:type="dxa"/>
            </w:tcMar>
            <w:vAlign w:val="center"/>
          </w:tcPr>
          <w:p w14:paraId="69184CF6">
            <w:pPr>
              <w:spacing w:line="200" w:lineRule="exact"/>
              <w:rPr>
                <w:rFonts w:ascii="黑体" w:hAnsi="黑体" w:eastAsia="黑体"/>
                <w:szCs w:val="21"/>
              </w:rPr>
            </w:pPr>
          </w:p>
        </w:tc>
        <w:tc>
          <w:tcPr>
            <w:tcW w:w="2976" w:type="dxa"/>
            <w:noWrap w:val="0"/>
            <w:tcMar>
              <w:left w:w="108" w:type="dxa"/>
              <w:right w:w="108" w:type="dxa"/>
            </w:tcMar>
            <w:vAlign w:val="center"/>
          </w:tcPr>
          <w:p w14:paraId="4CA0C929">
            <w:pPr>
              <w:widowControl/>
              <w:spacing w:line="200" w:lineRule="exact"/>
              <w:rPr>
                <w:rFonts w:ascii="仿宋_GB2312" w:hAnsi="黑体" w:eastAsia="仿宋_GB2312"/>
                <w:kern w:val="0"/>
                <w:szCs w:val="21"/>
              </w:rPr>
            </w:pPr>
            <w:r>
              <w:rPr>
                <w:rFonts w:hint="eastAsia" w:ascii="仿宋_GB2312" w:hAnsi="黑体" w:eastAsia="仿宋_GB2312"/>
                <w:kern w:val="0"/>
                <w:szCs w:val="21"/>
              </w:rPr>
              <w:t>8.</w:t>
            </w:r>
            <w:bookmarkStart w:id="5" w:name="_Hlk66975211"/>
            <w:r>
              <w:rPr>
                <w:rFonts w:hint="eastAsia" w:ascii="仿宋_GB2312" w:hAnsi="黑体" w:eastAsia="仿宋_GB2312"/>
                <w:kern w:val="0"/>
                <w:szCs w:val="21"/>
              </w:rPr>
              <w:t>属于行政查询事项</w:t>
            </w:r>
            <w:bookmarkEnd w:id="5"/>
          </w:p>
        </w:tc>
        <w:tc>
          <w:tcPr>
            <w:tcW w:w="747" w:type="dxa"/>
            <w:noWrap w:val="0"/>
            <w:tcMar>
              <w:left w:w="108" w:type="dxa"/>
              <w:right w:w="108" w:type="dxa"/>
            </w:tcMar>
            <w:vAlign w:val="center"/>
          </w:tcPr>
          <w:p w14:paraId="071C0C4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40CB17B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730A4D2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0667760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211A70E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654B48C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noWrap w:val="0"/>
            <w:tcMar>
              <w:left w:w="108" w:type="dxa"/>
              <w:right w:w="108" w:type="dxa"/>
            </w:tcMar>
            <w:vAlign w:val="center"/>
          </w:tcPr>
          <w:p w14:paraId="6C675D9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14:paraId="428F38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072BA46C">
            <w:pPr>
              <w:rPr>
                <w:rFonts w:ascii="黑体" w:hAnsi="黑体" w:eastAsia="黑体"/>
                <w:szCs w:val="21"/>
              </w:rPr>
            </w:pPr>
          </w:p>
        </w:tc>
        <w:tc>
          <w:tcPr>
            <w:tcW w:w="1701" w:type="dxa"/>
            <w:vMerge w:val="restart"/>
            <w:noWrap w:val="0"/>
            <w:tcMar>
              <w:left w:w="108" w:type="dxa"/>
              <w:right w:w="108" w:type="dxa"/>
            </w:tcMar>
            <w:vAlign w:val="center"/>
          </w:tcPr>
          <w:p w14:paraId="5D3D1A9F">
            <w:pPr>
              <w:widowControl/>
              <w:spacing w:line="200" w:lineRule="exact"/>
              <w:ind w:left="-107" w:leftChars="-51"/>
              <w:rPr>
                <w:rFonts w:ascii="黑体" w:hAnsi="黑体" w:eastAsia="黑体"/>
                <w:szCs w:val="21"/>
              </w:rPr>
            </w:pPr>
            <w:r>
              <w:rPr>
                <w:rFonts w:hint="eastAsia" w:ascii="黑体" w:hAnsi="黑体" w:eastAsia="黑体"/>
                <w:kern w:val="0"/>
                <w:szCs w:val="21"/>
              </w:rPr>
              <w:t>（四）无法提供</w:t>
            </w:r>
          </w:p>
        </w:tc>
        <w:tc>
          <w:tcPr>
            <w:tcW w:w="2976" w:type="dxa"/>
            <w:noWrap w:val="0"/>
            <w:tcMar>
              <w:left w:w="108" w:type="dxa"/>
              <w:right w:w="108" w:type="dxa"/>
            </w:tcMar>
            <w:vAlign w:val="center"/>
          </w:tcPr>
          <w:p w14:paraId="1C8573A1">
            <w:pPr>
              <w:widowControl/>
              <w:spacing w:line="200" w:lineRule="exact"/>
              <w:rPr>
                <w:rFonts w:ascii="仿宋_GB2312" w:hAnsi="黑体" w:eastAsia="仿宋_GB2312"/>
                <w:kern w:val="0"/>
                <w:szCs w:val="21"/>
              </w:rPr>
            </w:pPr>
            <w:r>
              <w:rPr>
                <w:rFonts w:hint="eastAsia" w:ascii="仿宋_GB2312" w:hAnsi="黑体" w:eastAsia="仿宋_GB2312"/>
                <w:kern w:val="0"/>
                <w:szCs w:val="21"/>
              </w:rPr>
              <w:t>1.本机关不掌握相关政府信息</w:t>
            </w:r>
          </w:p>
        </w:tc>
        <w:tc>
          <w:tcPr>
            <w:tcW w:w="747" w:type="dxa"/>
            <w:noWrap w:val="0"/>
            <w:tcMar>
              <w:left w:w="108" w:type="dxa"/>
              <w:right w:w="108" w:type="dxa"/>
            </w:tcMar>
            <w:vAlign w:val="center"/>
          </w:tcPr>
          <w:p w14:paraId="7853C30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0AD477D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5014620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6DA287F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26C5B2F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26F4649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noWrap w:val="0"/>
            <w:tcMar>
              <w:left w:w="108" w:type="dxa"/>
              <w:right w:w="108" w:type="dxa"/>
            </w:tcMar>
            <w:vAlign w:val="center"/>
          </w:tcPr>
          <w:p w14:paraId="5B4CCFD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14:paraId="195BAA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40C6A572">
            <w:pPr>
              <w:rPr>
                <w:rFonts w:ascii="黑体" w:hAnsi="黑体" w:eastAsia="黑体"/>
                <w:szCs w:val="21"/>
              </w:rPr>
            </w:pPr>
          </w:p>
        </w:tc>
        <w:tc>
          <w:tcPr>
            <w:tcW w:w="1701" w:type="dxa"/>
            <w:vMerge w:val="continue"/>
            <w:noWrap w:val="0"/>
            <w:tcMar>
              <w:left w:w="108" w:type="dxa"/>
              <w:right w:w="108" w:type="dxa"/>
            </w:tcMar>
            <w:vAlign w:val="center"/>
          </w:tcPr>
          <w:p w14:paraId="1B02AADD">
            <w:pPr>
              <w:spacing w:line="200" w:lineRule="exact"/>
              <w:ind w:left="-107" w:leftChars="-51"/>
              <w:rPr>
                <w:rFonts w:ascii="黑体" w:hAnsi="黑体" w:eastAsia="黑体"/>
                <w:szCs w:val="21"/>
              </w:rPr>
            </w:pPr>
          </w:p>
        </w:tc>
        <w:tc>
          <w:tcPr>
            <w:tcW w:w="2976" w:type="dxa"/>
            <w:noWrap w:val="0"/>
            <w:tcMar>
              <w:left w:w="108" w:type="dxa"/>
              <w:right w:w="108" w:type="dxa"/>
            </w:tcMar>
            <w:vAlign w:val="center"/>
          </w:tcPr>
          <w:p w14:paraId="23DF098C">
            <w:pPr>
              <w:widowControl/>
              <w:spacing w:line="200" w:lineRule="exact"/>
              <w:rPr>
                <w:rFonts w:ascii="仿宋_GB2312" w:hAnsi="黑体" w:eastAsia="仿宋_GB2312"/>
                <w:kern w:val="0"/>
                <w:szCs w:val="21"/>
              </w:rPr>
            </w:pPr>
            <w:r>
              <w:rPr>
                <w:rFonts w:hint="eastAsia" w:ascii="仿宋_GB2312" w:hAnsi="黑体" w:eastAsia="仿宋_GB2312"/>
                <w:kern w:val="0"/>
                <w:szCs w:val="21"/>
              </w:rPr>
              <w:t>2.</w:t>
            </w:r>
            <w:bookmarkStart w:id="6" w:name="_Hlk66975392"/>
            <w:r>
              <w:rPr>
                <w:rFonts w:hint="eastAsia" w:ascii="仿宋_GB2312" w:hAnsi="黑体" w:eastAsia="仿宋_GB2312"/>
                <w:kern w:val="0"/>
                <w:szCs w:val="21"/>
              </w:rPr>
              <w:t>没有现成信息需要另行制作</w:t>
            </w:r>
            <w:bookmarkEnd w:id="6"/>
          </w:p>
        </w:tc>
        <w:tc>
          <w:tcPr>
            <w:tcW w:w="747" w:type="dxa"/>
            <w:noWrap w:val="0"/>
            <w:tcMar>
              <w:left w:w="108" w:type="dxa"/>
              <w:right w:w="108" w:type="dxa"/>
            </w:tcMar>
            <w:vAlign w:val="center"/>
          </w:tcPr>
          <w:p w14:paraId="13EE33F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7585D33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5480DA3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1B014A4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1A61DE4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57063D9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noWrap w:val="0"/>
            <w:tcMar>
              <w:left w:w="108" w:type="dxa"/>
              <w:right w:w="108" w:type="dxa"/>
            </w:tcMar>
            <w:vAlign w:val="center"/>
          </w:tcPr>
          <w:p w14:paraId="622190B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14:paraId="296A2C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6ACF0B52">
            <w:pPr>
              <w:rPr>
                <w:rFonts w:ascii="黑体" w:hAnsi="黑体" w:eastAsia="黑体"/>
                <w:szCs w:val="21"/>
              </w:rPr>
            </w:pPr>
          </w:p>
        </w:tc>
        <w:tc>
          <w:tcPr>
            <w:tcW w:w="1701" w:type="dxa"/>
            <w:vMerge w:val="continue"/>
            <w:noWrap w:val="0"/>
            <w:tcMar>
              <w:left w:w="108" w:type="dxa"/>
              <w:right w:w="108" w:type="dxa"/>
            </w:tcMar>
            <w:vAlign w:val="center"/>
          </w:tcPr>
          <w:p w14:paraId="46E1A9CA">
            <w:pPr>
              <w:spacing w:line="200" w:lineRule="exact"/>
              <w:ind w:left="-107" w:leftChars="-51"/>
              <w:rPr>
                <w:rFonts w:ascii="黑体" w:hAnsi="黑体" w:eastAsia="黑体"/>
                <w:szCs w:val="21"/>
              </w:rPr>
            </w:pPr>
          </w:p>
        </w:tc>
        <w:tc>
          <w:tcPr>
            <w:tcW w:w="2976" w:type="dxa"/>
            <w:noWrap w:val="0"/>
            <w:tcMar>
              <w:left w:w="108" w:type="dxa"/>
              <w:right w:w="108" w:type="dxa"/>
            </w:tcMar>
            <w:vAlign w:val="center"/>
          </w:tcPr>
          <w:p w14:paraId="5A2FAC02">
            <w:pPr>
              <w:widowControl/>
              <w:spacing w:line="200" w:lineRule="exact"/>
              <w:rPr>
                <w:rFonts w:ascii="仿宋_GB2312" w:hAnsi="黑体" w:eastAsia="仿宋_GB2312"/>
                <w:kern w:val="0"/>
                <w:szCs w:val="21"/>
              </w:rPr>
            </w:pPr>
            <w:r>
              <w:rPr>
                <w:rFonts w:hint="eastAsia" w:ascii="仿宋_GB2312" w:hAnsi="黑体" w:eastAsia="仿宋_GB2312"/>
                <w:kern w:val="0"/>
                <w:szCs w:val="21"/>
              </w:rPr>
              <w:t>3.</w:t>
            </w:r>
            <w:bookmarkStart w:id="7" w:name="_Hlk66975466"/>
            <w:r>
              <w:rPr>
                <w:rFonts w:hint="eastAsia" w:ascii="仿宋_GB2312" w:hAnsi="黑体" w:eastAsia="仿宋_GB2312"/>
                <w:kern w:val="0"/>
                <w:szCs w:val="21"/>
              </w:rPr>
              <w:t>补正后申请内容仍不明确</w:t>
            </w:r>
            <w:bookmarkEnd w:id="7"/>
          </w:p>
        </w:tc>
        <w:tc>
          <w:tcPr>
            <w:tcW w:w="747" w:type="dxa"/>
            <w:noWrap w:val="0"/>
            <w:tcMar>
              <w:left w:w="108" w:type="dxa"/>
              <w:right w:w="108" w:type="dxa"/>
            </w:tcMar>
            <w:vAlign w:val="center"/>
          </w:tcPr>
          <w:p w14:paraId="78F1F67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14E3C2F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4B6AA94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19C73A8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665FC01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031093F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noWrap w:val="0"/>
            <w:tcMar>
              <w:left w:w="108" w:type="dxa"/>
              <w:right w:w="108" w:type="dxa"/>
            </w:tcMar>
            <w:vAlign w:val="center"/>
          </w:tcPr>
          <w:p w14:paraId="4D64749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14:paraId="2F6C71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4AF09240">
            <w:pPr>
              <w:rPr>
                <w:rFonts w:ascii="黑体" w:hAnsi="黑体" w:eastAsia="黑体"/>
                <w:szCs w:val="21"/>
              </w:rPr>
            </w:pPr>
          </w:p>
        </w:tc>
        <w:tc>
          <w:tcPr>
            <w:tcW w:w="1701" w:type="dxa"/>
            <w:vMerge w:val="restart"/>
            <w:noWrap w:val="0"/>
            <w:tcMar>
              <w:left w:w="108" w:type="dxa"/>
              <w:right w:w="108" w:type="dxa"/>
            </w:tcMar>
            <w:vAlign w:val="center"/>
          </w:tcPr>
          <w:p w14:paraId="055C07B1">
            <w:pPr>
              <w:widowControl/>
              <w:spacing w:line="200" w:lineRule="exact"/>
              <w:ind w:left="-107" w:leftChars="-51"/>
              <w:rPr>
                <w:rFonts w:ascii="黑体" w:hAnsi="黑体" w:eastAsia="黑体"/>
                <w:szCs w:val="21"/>
              </w:rPr>
            </w:pPr>
            <w:r>
              <w:rPr>
                <w:rFonts w:hint="eastAsia" w:ascii="黑体" w:hAnsi="黑体" w:eastAsia="黑体"/>
                <w:kern w:val="0"/>
                <w:szCs w:val="21"/>
              </w:rPr>
              <w:t>（五）不予处理</w:t>
            </w:r>
          </w:p>
        </w:tc>
        <w:tc>
          <w:tcPr>
            <w:tcW w:w="2976" w:type="dxa"/>
            <w:noWrap w:val="0"/>
            <w:tcMar>
              <w:left w:w="108" w:type="dxa"/>
              <w:right w:w="108" w:type="dxa"/>
            </w:tcMar>
            <w:vAlign w:val="center"/>
          </w:tcPr>
          <w:p w14:paraId="68B5CD26">
            <w:pPr>
              <w:widowControl/>
              <w:spacing w:line="200" w:lineRule="exact"/>
              <w:rPr>
                <w:rFonts w:ascii="仿宋_GB2312" w:hAnsi="黑体" w:eastAsia="仿宋_GB2312"/>
                <w:kern w:val="0"/>
                <w:szCs w:val="21"/>
              </w:rPr>
            </w:pPr>
            <w:r>
              <w:rPr>
                <w:rFonts w:hint="eastAsia" w:ascii="仿宋_GB2312" w:hAnsi="黑体" w:eastAsia="仿宋_GB2312"/>
                <w:kern w:val="0"/>
                <w:szCs w:val="21"/>
              </w:rPr>
              <w:t>1.</w:t>
            </w:r>
            <w:bookmarkStart w:id="8" w:name="_Hlk66975537"/>
            <w:r>
              <w:rPr>
                <w:rFonts w:hint="eastAsia" w:ascii="仿宋_GB2312" w:hAnsi="黑体" w:eastAsia="仿宋_GB2312"/>
                <w:kern w:val="0"/>
                <w:szCs w:val="21"/>
              </w:rPr>
              <w:t>信访举报投诉类申请</w:t>
            </w:r>
            <w:bookmarkEnd w:id="8"/>
          </w:p>
        </w:tc>
        <w:tc>
          <w:tcPr>
            <w:tcW w:w="747" w:type="dxa"/>
            <w:noWrap w:val="0"/>
            <w:tcMar>
              <w:left w:w="108" w:type="dxa"/>
              <w:right w:w="108" w:type="dxa"/>
            </w:tcMar>
            <w:vAlign w:val="center"/>
          </w:tcPr>
          <w:p w14:paraId="1A16BFE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78BA7AF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7895AC2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3E89641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48C0EB0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4A7B2CE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noWrap w:val="0"/>
            <w:tcMar>
              <w:left w:w="108" w:type="dxa"/>
              <w:right w:w="108" w:type="dxa"/>
            </w:tcMar>
            <w:vAlign w:val="center"/>
          </w:tcPr>
          <w:p w14:paraId="25B6E11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14:paraId="301ED2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386F4F09">
            <w:pPr>
              <w:rPr>
                <w:rFonts w:ascii="黑体" w:hAnsi="黑体" w:eastAsia="黑体"/>
                <w:szCs w:val="21"/>
              </w:rPr>
            </w:pPr>
          </w:p>
        </w:tc>
        <w:tc>
          <w:tcPr>
            <w:tcW w:w="1701" w:type="dxa"/>
            <w:vMerge w:val="continue"/>
            <w:noWrap w:val="0"/>
            <w:tcMar>
              <w:left w:w="108" w:type="dxa"/>
              <w:right w:w="108" w:type="dxa"/>
            </w:tcMar>
            <w:vAlign w:val="center"/>
          </w:tcPr>
          <w:p w14:paraId="08313CA6">
            <w:pPr>
              <w:spacing w:line="200" w:lineRule="exact"/>
              <w:rPr>
                <w:rFonts w:ascii="黑体" w:hAnsi="黑体" w:eastAsia="黑体"/>
                <w:szCs w:val="21"/>
              </w:rPr>
            </w:pPr>
          </w:p>
        </w:tc>
        <w:tc>
          <w:tcPr>
            <w:tcW w:w="2976" w:type="dxa"/>
            <w:noWrap w:val="0"/>
            <w:tcMar>
              <w:left w:w="108" w:type="dxa"/>
              <w:right w:w="108" w:type="dxa"/>
            </w:tcMar>
            <w:vAlign w:val="center"/>
          </w:tcPr>
          <w:p w14:paraId="48C4829A">
            <w:pPr>
              <w:widowControl/>
              <w:spacing w:line="200" w:lineRule="exact"/>
              <w:rPr>
                <w:rFonts w:ascii="仿宋_GB2312" w:hAnsi="黑体" w:eastAsia="仿宋_GB2312"/>
                <w:kern w:val="0"/>
                <w:szCs w:val="21"/>
              </w:rPr>
            </w:pPr>
            <w:r>
              <w:rPr>
                <w:rFonts w:hint="eastAsia" w:ascii="仿宋_GB2312" w:hAnsi="黑体" w:eastAsia="仿宋_GB2312"/>
                <w:kern w:val="0"/>
                <w:szCs w:val="21"/>
              </w:rPr>
              <w:t>2.重复申请</w:t>
            </w:r>
          </w:p>
        </w:tc>
        <w:tc>
          <w:tcPr>
            <w:tcW w:w="747" w:type="dxa"/>
            <w:noWrap w:val="0"/>
            <w:tcMar>
              <w:left w:w="108" w:type="dxa"/>
              <w:right w:w="108" w:type="dxa"/>
            </w:tcMar>
            <w:vAlign w:val="center"/>
          </w:tcPr>
          <w:p w14:paraId="5FEB2AB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34ABE4D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1530CA8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303FC57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3DAE6E8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50C2F94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noWrap w:val="0"/>
            <w:tcMar>
              <w:left w:w="108" w:type="dxa"/>
              <w:right w:w="108" w:type="dxa"/>
            </w:tcMar>
            <w:vAlign w:val="center"/>
          </w:tcPr>
          <w:p w14:paraId="1702D5A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14:paraId="4BC16F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39AEA288">
            <w:pPr>
              <w:rPr>
                <w:rFonts w:ascii="黑体" w:hAnsi="黑体" w:eastAsia="黑体"/>
                <w:szCs w:val="21"/>
              </w:rPr>
            </w:pPr>
          </w:p>
        </w:tc>
        <w:tc>
          <w:tcPr>
            <w:tcW w:w="1701" w:type="dxa"/>
            <w:vMerge w:val="continue"/>
            <w:noWrap w:val="0"/>
            <w:tcMar>
              <w:left w:w="108" w:type="dxa"/>
              <w:right w:w="108" w:type="dxa"/>
            </w:tcMar>
            <w:vAlign w:val="center"/>
          </w:tcPr>
          <w:p w14:paraId="2EAB4ADF">
            <w:pPr>
              <w:spacing w:line="200" w:lineRule="exact"/>
              <w:rPr>
                <w:rFonts w:ascii="黑体" w:hAnsi="黑体" w:eastAsia="黑体"/>
                <w:szCs w:val="21"/>
              </w:rPr>
            </w:pPr>
          </w:p>
        </w:tc>
        <w:tc>
          <w:tcPr>
            <w:tcW w:w="2976" w:type="dxa"/>
            <w:noWrap w:val="0"/>
            <w:tcMar>
              <w:left w:w="108" w:type="dxa"/>
              <w:right w:w="108" w:type="dxa"/>
            </w:tcMar>
            <w:vAlign w:val="center"/>
          </w:tcPr>
          <w:p w14:paraId="5D8C8D56">
            <w:pPr>
              <w:widowControl/>
              <w:spacing w:line="200" w:lineRule="exact"/>
              <w:rPr>
                <w:rFonts w:ascii="仿宋_GB2312" w:hAnsi="黑体" w:eastAsia="仿宋_GB2312"/>
                <w:szCs w:val="21"/>
              </w:rPr>
            </w:pPr>
            <w:r>
              <w:rPr>
                <w:rFonts w:hint="eastAsia" w:ascii="仿宋_GB2312" w:hAnsi="黑体" w:eastAsia="仿宋_GB2312"/>
                <w:kern w:val="0"/>
                <w:szCs w:val="21"/>
              </w:rPr>
              <w:t>3.要求提供公开出版物</w:t>
            </w:r>
          </w:p>
        </w:tc>
        <w:tc>
          <w:tcPr>
            <w:tcW w:w="747" w:type="dxa"/>
            <w:noWrap w:val="0"/>
            <w:tcMar>
              <w:left w:w="108" w:type="dxa"/>
              <w:right w:w="108" w:type="dxa"/>
            </w:tcMar>
            <w:vAlign w:val="center"/>
          </w:tcPr>
          <w:p w14:paraId="25AE5CF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1DD4ED3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0C4350C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6894D92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7855C71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7336662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noWrap w:val="0"/>
            <w:tcMar>
              <w:left w:w="108" w:type="dxa"/>
              <w:right w:w="108" w:type="dxa"/>
            </w:tcMar>
            <w:vAlign w:val="center"/>
          </w:tcPr>
          <w:p w14:paraId="579EBD9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14:paraId="394D50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noWrap w:val="0"/>
            <w:tcMar>
              <w:left w:w="108" w:type="dxa"/>
              <w:right w:w="108" w:type="dxa"/>
            </w:tcMar>
            <w:vAlign w:val="center"/>
          </w:tcPr>
          <w:p w14:paraId="21FE380C">
            <w:pPr>
              <w:rPr>
                <w:rFonts w:ascii="黑体" w:hAnsi="黑体" w:eastAsia="黑体"/>
                <w:szCs w:val="21"/>
              </w:rPr>
            </w:pPr>
          </w:p>
        </w:tc>
        <w:tc>
          <w:tcPr>
            <w:tcW w:w="1701" w:type="dxa"/>
            <w:vMerge w:val="continue"/>
            <w:noWrap w:val="0"/>
            <w:tcMar>
              <w:left w:w="108" w:type="dxa"/>
              <w:right w:w="108" w:type="dxa"/>
            </w:tcMar>
            <w:vAlign w:val="center"/>
          </w:tcPr>
          <w:p w14:paraId="5BCE5A31">
            <w:pPr>
              <w:spacing w:line="200" w:lineRule="exact"/>
              <w:rPr>
                <w:rFonts w:ascii="黑体" w:hAnsi="黑体" w:eastAsia="黑体"/>
                <w:szCs w:val="21"/>
              </w:rPr>
            </w:pPr>
          </w:p>
        </w:tc>
        <w:tc>
          <w:tcPr>
            <w:tcW w:w="2976" w:type="dxa"/>
            <w:noWrap w:val="0"/>
            <w:tcMar>
              <w:left w:w="108" w:type="dxa"/>
              <w:right w:w="108" w:type="dxa"/>
            </w:tcMar>
            <w:vAlign w:val="center"/>
          </w:tcPr>
          <w:p w14:paraId="00128D08">
            <w:pPr>
              <w:widowControl/>
              <w:spacing w:line="200" w:lineRule="exact"/>
              <w:rPr>
                <w:rFonts w:ascii="仿宋_GB2312" w:hAnsi="黑体" w:eastAsia="仿宋_GB2312"/>
                <w:szCs w:val="21"/>
              </w:rPr>
            </w:pPr>
            <w:r>
              <w:rPr>
                <w:rFonts w:hint="eastAsia" w:ascii="仿宋_GB2312" w:hAnsi="黑体" w:eastAsia="仿宋_GB2312"/>
                <w:kern w:val="0"/>
                <w:szCs w:val="21"/>
              </w:rPr>
              <w:t>4.无正当理由大量反复申请</w:t>
            </w:r>
          </w:p>
        </w:tc>
        <w:tc>
          <w:tcPr>
            <w:tcW w:w="747" w:type="dxa"/>
            <w:noWrap w:val="0"/>
            <w:tcMar>
              <w:left w:w="108" w:type="dxa"/>
              <w:right w:w="108" w:type="dxa"/>
            </w:tcMar>
            <w:vAlign w:val="center"/>
          </w:tcPr>
          <w:p w14:paraId="269E9DB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777EA4E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461BB93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1AE3F27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6AD0AF9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4451A0C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noWrap w:val="0"/>
            <w:tcMar>
              <w:left w:w="108" w:type="dxa"/>
              <w:right w:w="108" w:type="dxa"/>
            </w:tcMar>
            <w:vAlign w:val="center"/>
          </w:tcPr>
          <w:p w14:paraId="6E1E205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14:paraId="236607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0CAEFAB5">
            <w:pPr>
              <w:rPr>
                <w:rFonts w:ascii="黑体" w:hAnsi="黑体" w:eastAsia="黑体"/>
                <w:szCs w:val="21"/>
              </w:rPr>
            </w:pPr>
          </w:p>
        </w:tc>
        <w:tc>
          <w:tcPr>
            <w:tcW w:w="1701" w:type="dxa"/>
            <w:vMerge w:val="continue"/>
            <w:noWrap w:val="0"/>
            <w:tcMar>
              <w:left w:w="108" w:type="dxa"/>
              <w:right w:w="108" w:type="dxa"/>
            </w:tcMar>
            <w:vAlign w:val="center"/>
          </w:tcPr>
          <w:p w14:paraId="7AC94B07">
            <w:pPr>
              <w:spacing w:line="200" w:lineRule="exact"/>
              <w:rPr>
                <w:rFonts w:ascii="黑体" w:hAnsi="黑体" w:eastAsia="黑体"/>
                <w:szCs w:val="21"/>
              </w:rPr>
            </w:pPr>
          </w:p>
        </w:tc>
        <w:tc>
          <w:tcPr>
            <w:tcW w:w="2976" w:type="dxa"/>
            <w:noWrap w:val="0"/>
            <w:tcMar>
              <w:left w:w="108" w:type="dxa"/>
              <w:right w:w="108" w:type="dxa"/>
            </w:tcMar>
            <w:vAlign w:val="center"/>
          </w:tcPr>
          <w:p w14:paraId="34E57A3F">
            <w:pPr>
              <w:widowControl/>
              <w:spacing w:line="300" w:lineRule="exact"/>
              <w:rPr>
                <w:rFonts w:ascii="仿宋_GB2312" w:hAnsi="黑体" w:eastAsia="仿宋_GB2312"/>
                <w:kern w:val="0"/>
                <w:szCs w:val="21"/>
              </w:rPr>
            </w:pPr>
            <w:r>
              <w:rPr>
                <w:rFonts w:hint="eastAsia" w:ascii="仿宋_GB2312" w:hAnsi="黑体" w:eastAsia="仿宋_GB2312"/>
                <w:kern w:val="0"/>
                <w:szCs w:val="21"/>
              </w:rPr>
              <w:t>5.要求行政机关确认或重新</w:t>
            </w:r>
          </w:p>
          <w:p w14:paraId="02A40A31">
            <w:pPr>
              <w:widowControl/>
              <w:spacing w:line="300" w:lineRule="exact"/>
              <w:ind w:firstLine="210" w:firstLineChars="100"/>
              <w:rPr>
                <w:rFonts w:ascii="仿宋_GB2312" w:hAnsi="黑体" w:eastAsia="仿宋_GB2312"/>
                <w:szCs w:val="21"/>
              </w:rPr>
            </w:pPr>
            <w:r>
              <w:rPr>
                <w:rFonts w:hint="eastAsia" w:ascii="仿宋_GB2312" w:hAnsi="黑体" w:eastAsia="仿宋_GB2312"/>
                <w:kern w:val="0"/>
                <w:szCs w:val="21"/>
              </w:rPr>
              <w:t>出具已获取信息</w:t>
            </w:r>
          </w:p>
        </w:tc>
        <w:tc>
          <w:tcPr>
            <w:tcW w:w="747" w:type="dxa"/>
            <w:noWrap w:val="0"/>
            <w:tcMar>
              <w:left w:w="108" w:type="dxa"/>
              <w:right w:w="108" w:type="dxa"/>
            </w:tcMar>
            <w:vAlign w:val="center"/>
          </w:tcPr>
          <w:p w14:paraId="62CAFD2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5522431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2EB19F2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0D48C4F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387034D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2C110BB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noWrap w:val="0"/>
            <w:tcMar>
              <w:left w:w="108" w:type="dxa"/>
              <w:right w:w="108" w:type="dxa"/>
            </w:tcMar>
            <w:vAlign w:val="center"/>
          </w:tcPr>
          <w:p w14:paraId="71657BB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14:paraId="1C50C6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45EC61BD">
            <w:pPr>
              <w:rPr>
                <w:rFonts w:ascii="黑体" w:hAnsi="黑体" w:eastAsia="黑体"/>
                <w:szCs w:val="21"/>
              </w:rPr>
            </w:pPr>
          </w:p>
        </w:tc>
        <w:tc>
          <w:tcPr>
            <w:tcW w:w="1701" w:type="dxa"/>
            <w:vMerge w:val="restart"/>
            <w:noWrap w:val="0"/>
            <w:tcMar>
              <w:left w:w="108" w:type="dxa"/>
              <w:right w:w="108" w:type="dxa"/>
            </w:tcMar>
            <w:vAlign w:val="center"/>
          </w:tcPr>
          <w:p w14:paraId="33B26ADF">
            <w:pPr>
              <w:widowControl/>
              <w:spacing w:line="300" w:lineRule="exact"/>
              <w:rPr>
                <w:rFonts w:ascii="黑体" w:hAnsi="黑体" w:eastAsia="黑体"/>
                <w:kern w:val="0"/>
                <w:szCs w:val="21"/>
              </w:rPr>
            </w:pPr>
            <w:r>
              <w:rPr>
                <w:rFonts w:hint="eastAsia" w:ascii="黑体" w:hAnsi="黑体" w:eastAsia="黑体"/>
                <w:kern w:val="0"/>
                <w:szCs w:val="21"/>
              </w:rPr>
              <w:t>（六）其他处理</w:t>
            </w:r>
          </w:p>
        </w:tc>
        <w:tc>
          <w:tcPr>
            <w:tcW w:w="2976" w:type="dxa"/>
            <w:noWrap w:val="0"/>
            <w:vAlign w:val="center"/>
          </w:tcPr>
          <w:p w14:paraId="2AF2E8D0">
            <w:pPr>
              <w:widowControl/>
              <w:spacing w:line="300" w:lineRule="exact"/>
              <w:rPr>
                <w:rFonts w:ascii="仿宋_GB2312" w:hAnsi="楷体" w:eastAsia="仿宋_GB2312"/>
              </w:rPr>
            </w:pPr>
            <w:r>
              <w:rPr>
                <w:rFonts w:hint="eastAsia" w:ascii="仿宋_GB2312" w:hAnsi="楷体" w:eastAsia="仿宋_GB2312"/>
              </w:rPr>
              <w:t>1.申请人无正当理由逾期不补正、行政机关不再处理其政府信息公开申请</w:t>
            </w:r>
          </w:p>
        </w:tc>
        <w:tc>
          <w:tcPr>
            <w:tcW w:w="747" w:type="dxa"/>
            <w:noWrap w:val="0"/>
            <w:tcMar>
              <w:left w:w="108" w:type="dxa"/>
              <w:right w:w="108" w:type="dxa"/>
            </w:tcMar>
            <w:vAlign w:val="center"/>
          </w:tcPr>
          <w:p w14:paraId="4248827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13F3768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123B124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7ED76FD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04C1AB5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60963AD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noWrap w:val="0"/>
            <w:tcMar>
              <w:left w:w="108" w:type="dxa"/>
              <w:right w:w="108" w:type="dxa"/>
            </w:tcMar>
            <w:vAlign w:val="center"/>
          </w:tcPr>
          <w:p w14:paraId="5EE96DE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14:paraId="069810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464FD8F5">
            <w:pPr>
              <w:rPr>
                <w:rFonts w:ascii="黑体" w:hAnsi="黑体" w:eastAsia="黑体"/>
                <w:szCs w:val="21"/>
              </w:rPr>
            </w:pPr>
          </w:p>
        </w:tc>
        <w:tc>
          <w:tcPr>
            <w:tcW w:w="1701" w:type="dxa"/>
            <w:vMerge w:val="continue"/>
            <w:noWrap w:val="0"/>
            <w:tcMar>
              <w:left w:w="108" w:type="dxa"/>
              <w:right w:w="108" w:type="dxa"/>
            </w:tcMar>
            <w:vAlign w:val="center"/>
          </w:tcPr>
          <w:p w14:paraId="1C591FDB">
            <w:pPr>
              <w:widowControl/>
              <w:spacing w:line="300" w:lineRule="exact"/>
              <w:rPr>
                <w:rFonts w:ascii="黑体" w:hAnsi="黑体" w:eastAsia="黑体"/>
                <w:kern w:val="0"/>
                <w:szCs w:val="21"/>
              </w:rPr>
            </w:pPr>
          </w:p>
        </w:tc>
        <w:tc>
          <w:tcPr>
            <w:tcW w:w="2976" w:type="dxa"/>
            <w:noWrap w:val="0"/>
            <w:vAlign w:val="center"/>
          </w:tcPr>
          <w:p w14:paraId="6590C467">
            <w:pPr>
              <w:widowControl/>
              <w:spacing w:line="300" w:lineRule="exact"/>
              <w:rPr>
                <w:rFonts w:ascii="仿宋_GB2312" w:hAnsi="黑体" w:eastAsia="仿宋_GB2312"/>
                <w:kern w:val="0"/>
                <w:szCs w:val="21"/>
              </w:rPr>
            </w:pPr>
            <w:r>
              <w:rPr>
                <w:rFonts w:hint="eastAsia" w:ascii="仿宋_GB2312" w:hAnsi="楷体" w:eastAsia="仿宋_GB2312"/>
              </w:rPr>
              <w:t>2.申请人逾期未按收费通知要求缴纳费用、行政机关不再处理其政府信息公开申请</w:t>
            </w:r>
          </w:p>
        </w:tc>
        <w:tc>
          <w:tcPr>
            <w:tcW w:w="747" w:type="dxa"/>
            <w:noWrap w:val="0"/>
            <w:tcMar>
              <w:left w:w="108" w:type="dxa"/>
              <w:right w:w="108" w:type="dxa"/>
            </w:tcMar>
            <w:vAlign w:val="center"/>
          </w:tcPr>
          <w:p w14:paraId="266D754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6CEC22A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028DFC1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614A23F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0E4D0E3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45648C7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noWrap w:val="0"/>
            <w:tcMar>
              <w:left w:w="108" w:type="dxa"/>
              <w:right w:w="108" w:type="dxa"/>
            </w:tcMar>
            <w:vAlign w:val="center"/>
          </w:tcPr>
          <w:p w14:paraId="61172BE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FF0000"/>
                <w:szCs w:val="21"/>
              </w:rPr>
            </w:pPr>
            <w:r>
              <w:rPr>
                <w:rFonts w:hint="eastAsia" w:ascii="仿宋_GB2312" w:hAnsi="Times New Roman" w:eastAsia="仿宋_GB2312"/>
                <w:szCs w:val="21"/>
                <w:lang w:val="en-US" w:eastAsia="zh-CN"/>
              </w:rPr>
              <w:t>0</w:t>
            </w:r>
          </w:p>
        </w:tc>
      </w:tr>
      <w:tr w14:paraId="53C39C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6D6F2D7D">
            <w:pPr>
              <w:rPr>
                <w:rFonts w:ascii="黑体" w:hAnsi="黑体" w:eastAsia="黑体"/>
                <w:szCs w:val="21"/>
              </w:rPr>
            </w:pPr>
          </w:p>
        </w:tc>
        <w:tc>
          <w:tcPr>
            <w:tcW w:w="1701" w:type="dxa"/>
            <w:vMerge w:val="continue"/>
            <w:noWrap w:val="0"/>
            <w:tcMar>
              <w:left w:w="108" w:type="dxa"/>
              <w:right w:w="108" w:type="dxa"/>
            </w:tcMar>
            <w:vAlign w:val="center"/>
          </w:tcPr>
          <w:p w14:paraId="3BC43FED">
            <w:pPr>
              <w:widowControl/>
              <w:spacing w:line="300" w:lineRule="exact"/>
              <w:rPr>
                <w:rFonts w:ascii="黑体" w:hAnsi="黑体" w:eastAsia="黑体"/>
                <w:kern w:val="0"/>
                <w:szCs w:val="21"/>
              </w:rPr>
            </w:pPr>
          </w:p>
        </w:tc>
        <w:tc>
          <w:tcPr>
            <w:tcW w:w="2976" w:type="dxa"/>
            <w:noWrap w:val="0"/>
            <w:vAlign w:val="center"/>
          </w:tcPr>
          <w:p w14:paraId="2DA2C3F1">
            <w:pPr>
              <w:widowControl/>
              <w:spacing w:line="300" w:lineRule="exact"/>
              <w:rPr>
                <w:rFonts w:ascii="仿宋_GB2312" w:hAnsi="黑体" w:eastAsia="仿宋_GB2312"/>
                <w:kern w:val="0"/>
                <w:szCs w:val="21"/>
              </w:rPr>
            </w:pPr>
            <w:r>
              <w:rPr>
                <w:rFonts w:hint="eastAsia" w:ascii="仿宋_GB2312" w:hAnsi="楷体" w:eastAsia="仿宋_GB2312"/>
              </w:rPr>
              <w:t>3.其他</w:t>
            </w:r>
          </w:p>
        </w:tc>
        <w:tc>
          <w:tcPr>
            <w:tcW w:w="747" w:type="dxa"/>
            <w:noWrap w:val="0"/>
            <w:tcMar>
              <w:left w:w="108" w:type="dxa"/>
              <w:right w:w="108" w:type="dxa"/>
            </w:tcMar>
            <w:vAlign w:val="center"/>
          </w:tcPr>
          <w:p w14:paraId="4D242C8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42A4619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551C02E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0B7022F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1422152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6740876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noWrap w:val="0"/>
            <w:tcMar>
              <w:left w:w="108" w:type="dxa"/>
              <w:right w:w="108" w:type="dxa"/>
            </w:tcMar>
            <w:vAlign w:val="center"/>
          </w:tcPr>
          <w:p w14:paraId="2EE4FA6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FF0000"/>
                <w:szCs w:val="21"/>
                <w:lang w:val="en-US"/>
              </w:rPr>
            </w:pPr>
            <w:r>
              <w:rPr>
                <w:rFonts w:hint="eastAsia" w:ascii="仿宋_GB2312" w:hAnsi="Times New Roman" w:eastAsia="仿宋_GB2312"/>
                <w:szCs w:val="21"/>
                <w:lang w:val="en-US" w:eastAsia="zh-CN"/>
              </w:rPr>
              <w:t>0</w:t>
            </w:r>
          </w:p>
        </w:tc>
      </w:tr>
      <w:tr w14:paraId="0E8EE5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49E14C40">
            <w:pPr>
              <w:rPr>
                <w:rFonts w:ascii="黑体" w:hAnsi="黑体" w:eastAsia="黑体"/>
                <w:szCs w:val="21"/>
              </w:rPr>
            </w:pPr>
          </w:p>
        </w:tc>
        <w:tc>
          <w:tcPr>
            <w:tcW w:w="4677" w:type="dxa"/>
            <w:gridSpan w:val="2"/>
            <w:noWrap w:val="0"/>
            <w:tcMar>
              <w:left w:w="108" w:type="dxa"/>
              <w:right w:w="108" w:type="dxa"/>
            </w:tcMar>
            <w:vAlign w:val="center"/>
          </w:tcPr>
          <w:p w14:paraId="075B6CE8">
            <w:pPr>
              <w:widowControl/>
              <w:spacing w:line="300" w:lineRule="exact"/>
              <w:rPr>
                <w:rFonts w:ascii="黑体" w:hAnsi="黑体" w:eastAsia="黑体"/>
                <w:kern w:val="0"/>
                <w:szCs w:val="21"/>
              </w:rPr>
            </w:pPr>
            <w:r>
              <w:rPr>
                <w:rFonts w:hint="eastAsia" w:ascii="黑体" w:hAnsi="黑体" w:eastAsia="黑体"/>
                <w:kern w:val="0"/>
                <w:szCs w:val="21"/>
              </w:rPr>
              <w:t>（七）总计</w:t>
            </w:r>
          </w:p>
        </w:tc>
        <w:tc>
          <w:tcPr>
            <w:tcW w:w="747" w:type="dxa"/>
            <w:noWrap w:val="0"/>
            <w:tcMar>
              <w:left w:w="108" w:type="dxa"/>
              <w:right w:w="108" w:type="dxa"/>
            </w:tcMar>
            <w:vAlign w:val="center"/>
          </w:tcPr>
          <w:p w14:paraId="363E550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1</w:t>
            </w:r>
          </w:p>
        </w:tc>
        <w:tc>
          <w:tcPr>
            <w:tcW w:w="540" w:type="dxa"/>
            <w:gridSpan w:val="2"/>
            <w:noWrap w:val="0"/>
            <w:tcMar>
              <w:left w:w="108" w:type="dxa"/>
              <w:right w:w="108" w:type="dxa"/>
            </w:tcMar>
            <w:vAlign w:val="center"/>
          </w:tcPr>
          <w:p w14:paraId="0B9D203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3DB554A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043CB33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43E836E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6D81E5D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1" w:type="dxa"/>
            <w:noWrap w:val="0"/>
            <w:tcMar>
              <w:left w:w="108" w:type="dxa"/>
              <w:right w:w="108" w:type="dxa"/>
            </w:tcMar>
            <w:vAlign w:val="center"/>
          </w:tcPr>
          <w:p w14:paraId="1392798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1</w:t>
            </w:r>
          </w:p>
        </w:tc>
      </w:tr>
      <w:tr w14:paraId="01D5F8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noWrap w:val="0"/>
            <w:tcMar>
              <w:left w:w="108" w:type="dxa"/>
              <w:right w:w="108" w:type="dxa"/>
            </w:tcMar>
            <w:vAlign w:val="center"/>
          </w:tcPr>
          <w:p w14:paraId="24F193CA">
            <w:pPr>
              <w:widowControl/>
              <w:spacing w:line="300" w:lineRule="exact"/>
              <w:rPr>
                <w:rFonts w:ascii="黑体" w:hAnsi="黑体" w:eastAsia="黑体"/>
                <w:kern w:val="0"/>
                <w:szCs w:val="21"/>
              </w:rPr>
            </w:pPr>
            <w:r>
              <w:rPr>
                <w:rFonts w:hint="eastAsia" w:ascii="黑体" w:hAnsi="黑体" w:eastAsia="黑体"/>
                <w:kern w:val="0"/>
                <w:szCs w:val="21"/>
              </w:rPr>
              <w:t>四、结转下年度继续办理</w:t>
            </w:r>
          </w:p>
        </w:tc>
        <w:tc>
          <w:tcPr>
            <w:tcW w:w="747" w:type="dxa"/>
            <w:noWrap w:val="0"/>
            <w:tcMar>
              <w:left w:w="108" w:type="dxa"/>
              <w:right w:w="108" w:type="dxa"/>
            </w:tcMar>
            <w:vAlign w:val="center"/>
          </w:tcPr>
          <w:p w14:paraId="78265C4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1F151BD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1C0921C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7748CD9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40A7F0A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206DE36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1" w:type="dxa"/>
            <w:noWrap w:val="0"/>
            <w:tcMar>
              <w:left w:w="108" w:type="dxa"/>
              <w:right w:w="108" w:type="dxa"/>
            </w:tcMar>
            <w:vAlign w:val="center"/>
          </w:tcPr>
          <w:p w14:paraId="50F3024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bl>
    <w:p w14:paraId="01AC54D7">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四、政府</w:t>
      </w:r>
      <w:r>
        <w:rPr>
          <w:rFonts w:hint="eastAsia" w:ascii="黑体" w:hAnsi="黑体" w:eastAsia="黑体" w:cs="黑体"/>
          <w:sz w:val="32"/>
          <w:szCs w:val="32"/>
        </w:rPr>
        <w:t>信息公开行政复议、行政诉讼情况</w:t>
      </w:r>
    </w:p>
    <w:tbl>
      <w:tblPr>
        <w:tblStyle w:val="8"/>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081DF6F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C5B2B6A">
            <w:pPr>
              <w:widowControl/>
              <w:jc w:val="center"/>
              <w:rPr>
                <w:rFonts w:ascii="黑体" w:hAnsi="黑体" w:eastAsia="黑体"/>
              </w:rPr>
            </w:pPr>
            <w:r>
              <w:rPr>
                <w:rFonts w:ascii="黑体" w:hAnsi="黑体" w:eastAsia="黑体"/>
                <w:kern w:val="0"/>
                <w:sz w:val="20"/>
                <w:szCs w:val="20"/>
              </w:rPr>
              <w:t>行政复议</w:t>
            </w:r>
          </w:p>
        </w:tc>
        <w:tc>
          <w:tcPr>
            <w:tcW w:w="5997" w:type="dxa"/>
            <w:gridSpan w:val="10"/>
            <w:tcBorders>
              <w:top w:val="single" w:color="auto" w:sz="8" w:space="0"/>
              <w:left w:val="nil"/>
              <w:bottom w:val="single" w:color="auto" w:sz="8" w:space="0"/>
              <w:right w:val="single" w:color="auto" w:sz="8" w:space="0"/>
            </w:tcBorders>
            <w:noWrap w:val="0"/>
            <w:tcMar>
              <w:left w:w="108" w:type="dxa"/>
              <w:right w:w="108" w:type="dxa"/>
            </w:tcMar>
            <w:vAlign w:val="center"/>
          </w:tcPr>
          <w:p w14:paraId="2E7D12B8">
            <w:pPr>
              <w:widowControl/>
              <w:jc w:val="center"/>
              <w:rPr>
                <w:rFonts w:ascii="黑体" w:hAnsi="黑体" w:eastAsia="黑体"/>
              </w:rPr>
            </w:pPr>
            <w:r>
              <w:rPr>
                <w:rFonts w:ascii="黑体" w:hAnsi="黑体" w:eastAsia="黑体"/>
                <w:kern w:val="0"/>
                <w:sz w:val="20"/>
                <w:szCs w:val="20"/>
              </w:rPr>
              <w:t>行政诉讼</w:t>
            </w:r>
          </w:p>
        </w:tc>
      </w:tr>
      <w:tr w14:paraId="15B0BCA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32485CAD">
            <w:pPr>
              <w:widowControl/>
              <w:ind w:left="-149" w:leftChars="-71" w:right="-170" w:rightChars="-81"/>
              <w:jc w:val="center"/>
              <w:rPr>
                <w:rFonts w:ascii="黑体" w:hAnsi="黑体" w:eastAsia="黑体"/>
                <w:kern w:val="0"/>
                <w:sz w:val="20"/>
                <w:szCs w:val="20"/>
              </w:rPr>
            </w:pPr>
            <w:r>
              <w:rPr>
                <w:rFonts w:ascii="黑体" w:hAnsi="黑体" w:eastAsia="黑体"/>
                <w:kern w:val="0"/>
                <w:sz w:val="20"/>
                <w:szCs w:val="20"/>
              </w:rPr>
              <w:t>结果</w:t>
            </w:r>
          </w:p>
          <w:p w14:paraId="7BF8C6A8">
            <w:pPr>
              <w:widowControl/>
              <w:ind w:left="-149" w:leftChars="-71" w:right="-170" w:rightChars="-81"/>
              <w:jc w:val="center"/>
              <w:rPr>
                <w:rFonts w:ascii="黑体" w:hAnsi="黑体" w:eastAsia="黑体"/>
              </w:rPr>
            </w:pPr>
            <w:r>
              <w:rPr>
                <w:rFonts w:ascii="黑体" w:hAnsi="黑体" w:eastAsia="黑体"/>
                <w:kern w:val="0"/>
                <w:sz w:val="20"/>
                <w:szCs w:val="20"/>
              </w:rPr>
              <w:t>维持</w:t>
            </w:r>
          </w:p>
        </w:tc>
        <w:tc>
          <w:tcPr>
            <w:tcW w:w="604" w:type="dxa"/>
            <w:vMerge w:val="restart"/>
            <w:tcBorders>
              <w:top w:val="nil"/>
              <w:left w:val="nil"/>
              <w:bottom w:val="single" w:color="auto" w:sz="8" w:space="0"/>
              <w:right w:val="single" w:color="auto" w:sz="8" w:space="0"/>
            </w:tcBorders>
            <w:noWrap w:val="0"/>
            <w:tcMar>
              <w:left w:w="108" w:type="dxa"/>
              <w:right w:w="108" w:type="dxa"/>
            </w:tcMar>
            <w:vAlign w:val="center"/>
          </w:tcPr>
          <w:p w14:paraId="167F3A21">
            <w:pPr>
              <w:widowControl/>
              <w:ind w:left="-43" w:leftChars="-21" w:right="-132" w:rightChars="-63" w:hanging="1"/>
              <w:jc w:val="center"/>
              <w:rPr>
                <w:rFonts w:ascii="黑体" w:hAnsi="黑体" w:eastAsia="黑体"/>
              </w:rPr>
            </w:pPr>
            <w:r>
              <w:rPr>
                <w:rFonts w:ascii="黑体" w:hAnsi="黑体" w:eastAsia="黑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59CD6D9E">
            <w:pPr>
              <w:widowControl/>
              <w:ind w:left="-82" w:leftChars="-39" w:right="-97" w:rightChars="-46"/>
              <w:jc w:val="center"/>
              <w:rPr>
                <w:rFonts w:ascii="黑体" w:hAnsi="黑体" w:eastAsia="黑体"/>
              </w:rPr>
            </w:pPr>
            <w:r>
              <w:rPr>
                <w:rFonts w:ascii="黑体" w:hAnsi="黑体" w:eastAsia="黑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2271160A">
            <w:pPr>
              <w:widowControl/>
              <w:ind w:left="-118" w:leftChars="-56" w:right="-118" w:rightChars="-56"/>
              <w:jc w:val="center"/>
              <w:rPr>
                <w:rFonts w:ascii="黑体" w:hAnsi="黑体" w:eastAsia="黑体"/>
                <w:kern w:val="0"/>
                <w:sz w:val="20"/>
                <w:szCs w:val="20"/>
              </w:rPr>
            </w:pPr>
            <w:r>
              <w:rPr>
                <w:rFonts w:ascii="黑体" w:hAnsi="黑体" w:eastAsia="黑体"/>
                <w:kern w:val="0"/>
                <w:sz w:val="20"/>
                <w:szCs w:val="20"/>
              </w:rPr>
              <w:t>尚未</w:t>
            </w:r>
          </w:p>
          <w:p w14:paraId="4C275F55">
            <w:pPr>
              <w:widowControl/>
              <w:ind w:left="-118" w:leftChars="-56" w:right="-118" w:rightChars="-56"/>
              <w:jc w:val="center"/>
              <w:rPr>
                <w:rFonts w:ascii="黑体" w:hAnsi="黑体" w:eastAsia="黑体"/>
              </w:rPr>
            </w:pPr>
            <w:r>
              <w:rPr>
                <w:rFonts w:ascii="黑体" w:hAnsi="黑体" w:eastAsia="黑体"/>
                <w:kern w:val="0"/>
                <w:sz w:val="20"/>
                <w:szCs w:val="20"/>
              </w:rPr>
              <w:t>审结</w:t>
            </w:r>
          </w:p>
        </w:tc>
        <w:tc>
          <w:tcPr>
            <w:tcW w:w="658"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180BBCB9">
            <w:pPr>
              <w:widowControl/>
              <w:spacing w:line="320" w:lineRule="exact"/>
              <w:jc w:val="center"/>
              <w:rPr>
                <w:rFonts w:ascii="黑体" w:hAnsi="黑体" w:eastAsia="黑体"/>
                <w:kern w:val="0"/>
                <w:sz w:val="20"/>
                <w:szCs w:val="20"/>
              </w:rPr>
            </w:pPr>
            <w:r>
              <w:rPr>
                <w:rFonts w:ascii="黑体" w:hAnsi="黑体" w:eastAsia="黑体"/>
                <w:kern w:val="0"/>
                <w:sz w:val="20"/>
                <w:szCs w:val="20"/>
              </w:rPr>
              <w:t>总</w:t>
            </w:r>
          </w:p>
          <w:p w14:paraId="030235A8">
            <w:pPr>
              <w:widowControl/>
              <w:spacing w:line="320" w:lineRule="exact"/>
              <w:jc w:val="center"/>
              <w:rPr>
                <w:rFonts w:ascii="黑体" w:hAnsi="黑体" w:eastAsia="黑体"/>
              </w:rPr>
            </w:pPr>
            <w:r>
              <w:rPr>
                <w:rFonts w:ascii="黑体" w:hAnsi="黑体" w:eastAsia="黑体"/>
                <w:kern w:val="0"/>
                <w:sz w:val="20"/>
                <w:szCs w:val="20"/>
              </w:rPr>
              <w:t>计</w:t>
            </w:r>
          </w:p>
        </w:tc>
        <w:tc>
          <w:tcPr>
            <w:tcW w:w="2970"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14:paraId="35EB17CB">
            <w:pPr>
              <w:widowControl/>
              <w:jc w:val="center"/>
              <w:rPr>
                <w:rFonts w:ascii="黑体" w:hAnsi="黑体" w:eastAsia="黑体"/>
              </w:rPr>
            </w:pPr>
            <w:r>
              <w:rPr>
                <w:rFonts w:ascii="黑体" w:hAnsi="黑体" w:eastAsia="黑体"/>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14:paraId="72FF1746">
            <w:pPr>
              <w:widowControl/>
              <w:jc w:val="center"/>
              <w:rPr>
                <w:rFonts w:ascii="黑体" w:hAnsi="黑体" w:eastAsia="黑体"/>
              </w:rPr>
            </w:pPr>
            <w:bookmarkStart w:id="9" w:name="_Hlk67039688"/>
            <w:r>
              <w:rPr>
                <w:rFonts w:ascii="黑体" w:hAnsi="黑体" w:eastAsia="黑体"/>
                <w:kern w:val="0"/>
                <w:sz w:val="20"/>
                <w:szCs w:val="20"/>
              </w:rPr>
              <w:t>复议后起诉</w:t>
            </w:r>
            <w:bookmarkEnd w:id="9"/>
          </w:p>
        </w:tc>
      </w:tr>
      <w:tr w14:paraId="49BDFFF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0FC85ACB">
            <w:pPr>
              <w:rPr>
                <w:rFonts w:ascii="黑体" w:hAnsi="黑体" w:eastAsia="黑体"/>
                <w:sz w:val="24"/>
              </w:rPr>
            </w:pPr>
          </w:p>
        </w:tc>
        <w:tc>
          <w:tcPr>
            <w:tcW w:w="604" w:type="dxa"/>
            <w:vMerge w:val="continue"/>
            <w:tcBorders>
              <w:top w:val="nil"/>
              <w:left w:val="nil"/>
              <w:bottom w:val="single" w:color="auto" w:sz="8" w:space="0"/>
              <w:right w:val="single" w:color="auto" w:sz="8" w:space="0"/>
            </w:tcBorders>
            <w:noWrap w:val="0"/>
            <w:tcMar>
              <w:left w:w="108" w:type="dxa"/>
              <w:right w:w="108" w:type="dxa"/>
            </w:tcMar>
            <w:vAlign w:val="center"/>
          </w:tcPr>
          <w:p w14:paraId="6B260F08">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14:paraId="4C7DDE07">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14:paraId="66F92940">
            <w:pPr>
              <w:rPr>
                <w:rFonts w:ascii="黑体" w:hAnsi="黑体" w:eastAsia="黑体"/>
                <w:sz w:val="24"/>
              </w:rPr>
            </w:pPr>
          </w:p>
        </w:tc>
        <w:tc>
          <w:tcPr>
            <w:tcW w:w="658"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14:paraId="0C06B35C">
            <w:pPr>
              <w:rPr>
                <w:rFonts w:ascii="黑体" w:hAnsi="黑体" w:eastAsia="黑体"/>
                <w:sz w:val="24"/>
              </w:rPr>
            </w:pPr>
          </w:p>
        </w:tc>
        <w:tc>
          <w:tcPr>
            <w:tcW w:w="550" w:type="dxa"/>
            <w:tcBorders>
              <w:top w:val="nil"/>
              <w:left w:val="nil"/>
              <w:bottom w:val="single" w:color="auto" w:sz="8" w:space="0"/>
              <w:right w:val="single" w:color="auto" w:sz="8" w:space="0"/>
            </w:tcBorders>
            <w:noWrap w:val="0"/>
            <w:tcMar>
              <w:left w:w="108" w:type="dxa"/>
              <w:right w:w="108" w:type="dxa"/>
            </w:tcMar>
            <w:vAlign w:val="center"/>
          </w:tcPr>
          <w:p w14:paraId="40B90CF2">
            <w:pPr>
              <w:widowControl/>
              <w:ind w:left="-105" w:leftChars="-50" w:right="-126" w:rightChars="-60"/>
              <w:jc w:val="center"/>
              <w:rPr>
                <w:rFonts w:ascii="黑体" w:hAnsi="黑体" w:eastAsia="黑体"/>
              </w:rPr>
            </w:pPr>
            <w:r>
              <w:rPr>
                <w:rFonts w:ascii="黑体" w:hAnsi="黑体" w:eastAsia="黑体"/>
                <w:kern w:val="0"/>
                <w:sz w:val="20"/>
                <w:szCs w:val="20"/>
              </w:rPr>
              <w:t>结果维持</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648B5640">
            <w:pPr>
              <w:widowControl/>
              <w:ind w:left="-86" w:leftChars="-41" w:right="-88" w:rightChars="-42"/>
              <w:jc w:val="center"/>
              <w:rPr>
                <w:rFonts w:ascii="黑体" w:hAnsi="黑体" w:eastAsia="黑体"/>
              </w:rPr>
            </w:pPr>
            <w:r>
              <w:rPr>
                <w:rFonts w:ascii="黑体" w:hAnsi="黑体" w:eastAsia="黑体"/>
                <w:kern w:val="0"/>
                <w:sz w:val="20"/>
                <w:szCs w:val="20"/>
              </w:rPr>
              <w:t>结果纠正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4A2DC8B7">
            <w:pPr>
              <w:widowControl/>
              <w:ind w:left="-126" w:leftChars="-60" w:right="-136" w:rightChars="-65"/>
              <w:jc w:val="center"/>
              <w:rPr>
                <w:rFonts w:ascii="黑体" w:hAnsi="黑体" w:eastAsia="黑体"/>
                <w:kern w:val="0"/>
                <w:sz w:val="20"/>
                <w:szCs w:val="20"/>
              </w:rPr>
            </w:pPr>
            <w:r>
              <w:rPr>
                <w:rFonts w:ascii="黑体" w:hAnsi="黑体" w:eastAsia="黑体"/>
                <w:kern w:val="0"/>
                <w:sz w:val="20"/>
                <w:szCs w:val="20"/>
              </w:rPr>
              <w:t>其他</w:t>
            </w:r>
          </w:p>
          <w:p w14:paraId="2920C79B">
            <w:pPr>
              <w:widowControl/>
              <w:ind w:left="-126" w:leftChars="-60" w:right="-136" w:rightChars="-65"/>
              <w:jc w:val="center"/>
              <w:rPr>
                <w:rFonts w:ascii="黑体" w:hAnsi="黑体" w:eastAsia="黑体"/>
              </w:rPr>
            </w:pPr>
            <w:r>
              <w:rPr>
                <w:rFonts w:ascii="黑体" w:hAnsi="黑体" w:eastAsia="黑体"/>
                <w:kern w:val="0"/>
                <w:sz w:val="20"/>
                <w:szCs w:val="20"/>
              </w:rPr>
              <w:t>结果</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6014C459">
            <w:pPr>
              <w:widowControl/>
              <w:ind w:left="-164" w:leftChars="-78" w:right="-153" w:rightChars="-73"/>
              <w:jc w:val="center"/>
              <w:rPr>
                <w:rFonts w:ascii="黑体" w:hAnsi="黑体" w:eastAsia="黑体"/>
                <w:kern w:val="0"/>
                <w:sz w:val="20"/>
                <w:szCs w:val="20"/>
              </w:rPr>
            </w:pPr>
            <w:r>
              <w:rPr>
                <w:rFonts w:ascii="黑体" w:hAnsi="黑体" w:eastAsia="黑体"/>
                <w:kern w:val="0"/>
                <w:sz w:val="20"/>
                <w:szCs w:val="20"/>
              </w:rPr>
              <w:t>尚未</w:t>
            </w:r>
          </w:p>
          <w:p w14:paraId="5E2F7037">
            <w:pPr>
              <w:widowControl/>
              <w:ind w:left="-164" w:leftChars="-78" w:right="-153" w:rightChars="-73"/>
              <w:jc w:val="center"/>
              <w:rPr>
                <w:rFonts w:ascii="黑体" w:hAnsi="黑体" w:eastAsia="黑体"/>
              </w:rPr>
            </w:pPr>
            <w:r>
              <w:rPr>
                <w:rFonts w:ascii="黑体" w:hAnsi="黑体" w:eastAsia="黑体"/>
                <w:kern w:val="0"/>
                <w:sz w:val="20"/>
                <w:szCs w:val="20"/>
              </w:rPr>
              <w:t>审结</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728A389B">
            <w:pPr>
              <w:widowControl/>
              <w:jc w:val="center"/>
              <w:rPr>
                <w:rFonts w:ascii="黑体" w:hAnsi="黑体" w:eastAsia="黑体"/>
              </w:rPr>
            </w:pPr>
            <w:r>
              <w:rPr>
                <w:rFonts w:ascii="黑体" w:hAnsi="黑体" w:eastAsia="黑体"/>
                <w:kern w:val="0"/>
                <w:sz w:val="20"/>
                <w:szCs w:val="20"/>
              </w:rPr>
              <w:t>总计</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583592CB">
            <w:pPr>
              <w:widowControl/>
              <w:ind w:left="-99" w:leftChars="-47" w:right="-78" w:rightChars="-37"/>
              <w:jc w:val="center"/>
              <w:rPr>
                <w:rFonts w:ascii="黑体" w:hAnsi="黑体" w:eastAsia="黑体"/>
              </w:rPr>
            </w:pPr>
            <w:r>
              <w:rPr>
                <w:rFonts w:ascii="黑体" w:hAnsi="黑体" w:eastAsia="黑体"/>
                <w:kern w:val="0"/>
                <w:sz w:val="20"/>
                <w:szCs w:val="20"/>
              </w:rPr>
              <w:t>结果维持</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60A9D318">
            <w:pPr>
              <w:widowControl/>
              <w:ind w:left="-136" w:leftChars="-65" w:right="-124" w:rightChars="-59"/>
              <w:jc w:val="center"/>
              <w:rPr>
                <w:rFonts w:ascii="黑体" w:hAnsi="黑体" w:eastAsia="黑体"/>
                <w:kern w:val="0"/>
                <w:sz w:val="20"/>
                <w:szCs w:val="20"/>
              </w:rPr>
            </w:pPr>
            <w:r>
              <w:rPr>
                <w:rFonts w:ascii="黑体" w:hAnsi="黑体" w:eastAsia="黑体"/>
                <w:kern w:val="0"/>
                <w:sz w:val="20"/>
                <w:szCs w:val="20"/>
              </w:rPr>
              <w:t>结果</w:t>
            </w:r>
          </w:p>
          <w:p w14:paraId="3C9081B0">
            <w:pPr>
              <w:widowControl/>
              <w:ind w:left="-136" w:leftChars="-65" w:right="-124" w:rightChars="-59"/>
              <w:jc w:val="center"/>
              <w:rPr>
                <w:rFonts w:ascii="黑体" w:hAnsi="黑体" w:eastAsia="黑体"/>
              </w:rPr>
            </w:pPr>
            <w:r>
              <w:rPr>
                <w:rFonts w:ascii="黑体" w:hAnsi="黑体" w:eastAsia="黑体"/>
                <w:kern w:val="0"/>
                <w:sz w:val="20"/>
                <w:szCs w:val="20"/>
              </w:rPr>
              <w:t>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02035AE2">
            <w:pPr>
              <w:widowControl/>
              <w:ind w:left="-173" w:leftChars="-83" w:right="-134" w:rightChars="-64" w:hanging="1"/>
              <w:jc w:val="center"/>
              <w:rPr>
                <w:rFonts w:ascii="黑体" w:hAnsi="黑体" w:eastAsia="黑体"/>
                <w:kern w:val="0"/>
                <w:sz w:val="20"/>
                <w:szCs w:val="20"/>
              </w:rPr>
            </w:pPr>
            <w:r>
              <w:rPr>
                <w:rFonts w:ascii="黑体" w:hAnsi="黑体" w:eastAsia="黑体"/>
                <w:kern w:val="0"/>
                <w:sz w:val="20"/>
                <w:szCs w:val="20"/>
              </w:rPr>
              <w:t>其他</w:t>
            </w:r>
          </w:p>
          <w:p w14:paraId="4D6A5D11">
            <w:pPr>
              <w:widowControl/>
              <w:ind w:left="-173" w:leftChars="-83" w:right="-134" w:rightChars="-64" w:hanging="1"/>
              <w:jc w:val="center"/>
              <w:rPr>
                <w:rFonts w:ascii="黑体" w:hAnsi="黑体" w:eastAsia="黑体"/>
              </w:rPr>
            </w:pPr>
            <w:r>
              <w:rPr>
                <w:rFonts w:ascii="黑体" w:hAnsi="黑体" w:eastAsia="黑体"/>
                <w:kern w:val="0"/>
                <w:sz w:val="20"/>
                <w:szCs w:val="20"/>
              </w:rPr>
              <w:t>结果</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14:paraId="2DCDAF4C">
            <w:pPr>
              <w:widowControl/>
              <w:ind w:left="-67" w:leftChars="-33" w:right="-105" w:rightChars="-50" w:hanging="2" w:hangingChars="1"/>
              <w:jc w:val="center"/>
              <w:rPr>
                <w:rFonts w:ascii="黑体" w:hAnsi="黑体" w:eastAsia="黑体"/>
              </w:rPr>
            </w:pPr>
            <w:r>
              <w:rPr>
                <w:rFonts w:ascii="黑体" w:hAnsi="黑体" w:eastAsia="黑体"/>
                <w:kern w:val="0"/>
                <w:sz w:val="20"/>
                <w:szCs w:val="20"/>
              </w:rPr>
              <w:t>尚未审结</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14:paraId="2C353F5D">
            <w:pPr>
              <w:widowControl/>
              <w:jc w:val="center"/>
              <w:rPr>
                <w:rFonts w:ascii="黑体" w:hAnsi="黑体" w:eastAsia="黑体"/>
              </w:rPr>
            </w:pPr>
            <w:r>
              <w:rPr>
                <w:rFonts w:ascii="黑体" w:hAnsi="黑体" w:eastAsia="黑体"/>
                <w:kern w:val="0"/>
                <w:sz w:val="20"/>
                <w:szCs w:val="20"/>
              </w:rPr>
              <w:t>总计</w:t>
            </w:r>
          </w:p>
        </w:tc>
      </w:tr>
      <w:tr w14:paraId="4469355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7138634">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14:paraId="41376DF7">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14:paraId="21EAE7C7">
            <w:pPr>
              <w:widowControl/>
              <w:spacing w:after="180"/>
              <w:jc w:val="center"/>
              <w:rPr>
                <w:rFonts w:hint="eastAsia" w:ascii="Times New Roman" w:hAnsi="Times New Roman" w:eastAsiaTheme="minorEastAsia"/>
                <w:color w:val="5B9BD5" w:themeColor="accent1"/>
                <w:lang w:val="en-US" w:eastAsia="zh-CN"/>
                <w14:textFill>
                  <w14:solidFill>
                    <w14:schemeClr w14:val="accent1"/>
                  </w14:solidFill>
                </w14:textFill>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14:paraId="727AC624">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58" w:type="dxa"/>
            <w:tcBorders>
              <w:top w:val="nil"/>
              <w:left w:val="nil"/>
              <w:bottom w:val="single" w:color="auto" w:sz="8" w:space="0"/>
              <w:right w:val="single" w:color="auto" w:sz="8" w:space="0"/>
            </w:tcBorders>
            <w:noWrap w:val="0"/>
            <w:tcMar>
              <w:left w:w="108" w:type="dxa"/>
              <w:right w:w="108" w:type="dxa"/>
            </w:tcMar>
            <w:vAlign w:val="center"/>
          </w:tcPr>
          <w:p w14:paraId="47B5C3EF">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550" w:type="dxa"/>
            <w:tcBorders>
              <w:top w:val="nil"/>
              <w:left w:val="nil"/>
              <w:bottom w:val="single" w:color="auto" w:sz="8" w:space="0"/>
              <w:right w:val="single" w:color="auto" w:sz="8" w:space="0"/>
            </w:tcBorders>
            <w:noWrap w:val="0"/>
            <w:tcMar>
              <w:left w:w="108" w:type="dxa"/>
              <w:right w:w="108" w:type="dxa"/>
            </w:tcMar>
            <w:vAlign w:val="center"/>
          </w:tcPr>
          <w:p w14:paraId="362DAE76">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4FA940A0">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550DDFF7">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603E3D3A">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6DCC3F29">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0B51C2B6">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2A50C0AF">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4E4D939C">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14:paraId="1245D569">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14:paraId="50868250">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r>
    </w:tbl>
    <w:p w14:paraId="1ACF84F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bCs/>
          <w:sz w:val="32"/>
          <w:szCs w:val="32"/>
        </w:rPr>
      </w:pPr>
      <w:r>
        <w:rPr>
          <w:rFonts w:hint="eastAsia" w:ascii="黑体" w:hAnsi="黑体" w:eastAsia="黑体" w:cs="黑体"/>
          <w:b w:val="0"/>
          <w:bCs w:val="0"/>
          <w:sz w:val="32"/>
          <w:szCs w:val="32"/>
        </w:rPr>
        <w:t>五、存在的主要问题及改进情况</w:t>
      </w:r>
    </w:p>
    <w:p w14:paraId="12EC942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lang w:val="en-US" w:eastAsia="zh-CN"/>
        </w:rPr>
        <w:t>2025年，滕州分局</w:t>
      </w:r>
      <w:r>
        <w:rPr>
          <w:rFonts w:hint="eastAsia" w:ascii="仿宋_GB2312" w:hAnsi="仿宋_GB2312" w:eastAsia="仿宋_GB2312" w:cs="仿宋_GB2312"/>
          <w:i w:val="0"/>
          <w:iCs w:val="0"/>
          <w:caps w:val="0"/>
          <w:color w:val="333333"/>
          <w:spacing w:val="0"/>
          <w:sz w:val="32"/>
          <w:szCs w:val="32"/>
          <w:shd w:val="clear" w:fill="FFFFFF"/>
        </w:rPr>
        <w:t>政府信息公开工作</w:t>
      </w:r>
      <w:r>
        <w:rPr>
          <w:rFonts w:hint="eastAsia" w:ascii="仿宋_GB2312" w:hAnsi="仿宋_GB2312" w:eastAsia="仿宋_GB2312" w:cs="仿宋_GB2312"/>
          <w:i w:val="0"/>
          <w:iCs w:val="0"/>
          <w:caps w:val="0"/>
          <w:color w:val="333333"/>
          <w:spacing w:val="0"/>
          <w:sz w:val="32"/>
          <w:szCs w:val="32"/>
          <w:shd w:val="clear" w:fill="FFFFFF"/>
          <w:lang w:val="en-US" w:eastAsia="zh-CN"/>
        </w:rPr>
        <w:t>取得了一定的成绩，</w:t>
      </w:r>
      <w:r>
        <w:rPr>
          <w:rFonts w:hint="eastAsia" w:ascii="仿宋_GB2312" w:hAnsi="仿宋_GB2312" w:eastAsia="仿宋_GB2312" w:cs="仿宋_GB2312"/>
          <w:sz w:val="32"/>
          <w:szCs w:val="32"/>
        </w:rPr>
        <w:t>但仍存在短板与不足：一是部分领域信息覆盖广度与深度有待拓展；二是政务公开宣传引导力度欠缺，公众对信息公开渠道的知晓率与参与度有待提升。</w:t>
      </w:r>
    </w:p>
    <w:p w14:paraId="422B7FC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sz w:val="32"/>
          <w:szCs w:val="32"/>
        </w:rPr>
        <w:t>2026年，分局将聚焦问题靶向施策，进一步加大政府信息公开工作力度：一是强化业务培训，提升工作人员专业素养与履职能力；二是充实完善信息公开内容，聚焦群众关切的生态环境重点领域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优化信息供给；三是充分发挥政务公开平台作用，畅通信息传播渠道，提升政务公开工作实效。</w:t>
      </w:r>
      <w:r>
        <w:rPr>
          <w:rFonts w:hint="eastAsia" w:ascii="仿宋_GB2312" w:hAnsi="仿宋_GB2312" w:eastAsia="仿宋_GB2312" w:cs="仿宋_GB2312"/>
          <w:i w:val="0"/>
          <w:iCs w:val="0"/>
          <w:caps w:val="0"/>
          <w:color w:val="333333"/>
          <w:spacing w:val="0"/>
          <w:sz w:val="32"/>
          <w:szCs w:val="32"/>
          <w:shd w:val="clear" w:fill="FFFFFF"/>
        </w:rPr>
        <w:t xml:space="preserve"> </w:t>
      </w:r>
    </w:p>
    <w:p w14:paraId="05090E7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六、其他需要报告的事项</w:t>
      </w:r>
    </w:p>
    <w:p w14:paraId="6293538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依申请公开信息处理费收费</w:t>
      </w:r>
      <w:r>
        <w:rPr>
          <w:rFonts w:hint="eastAsia" w:ascii="仿宋_GB2312" w:hAnsi="仿宋_GB2312" w:eastAsia="仿宋_GB2312" w:cs="仿宋_GB2312"/>
          <w:sz w:val="32"/>
          <w:szCs w:val="32"/>
        </w:rPr>
        <w:t>情况。</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年度，本单位未收取</w:t>
      </w:r>
      <w:r>
        <w:rPr>
          <w:rFonts w:hint="eastAsia" w:ascii="仿宋_GB2312" w:hAnsi="仿宋_GB2312" w:eastAsia="仿宋_GB2312" w:cs="仿宋_GB2312"/>
          <w:sz w:val="32"/>
          <w:szCs w:val="32"/>
          <w:lang w:val="en-US" w:eastAsia="zh-CN"/>
        </w:rPr>
        <w:t>依申请公开信息处理费</w:t>
      </w:r>
      <w:r>
        <w:rPr>
          <w:rFonts w:hint="eastAsia" w:ascii="仿宋_GB2312" w:hAnsi="仿宋_GB2312" w:eastAsia="仿宋_GB2312" w:cs="仿宋_GB2312"/>
          <w:sz w:val="32"/>
          <w:szCs w:val="32"/>
          <w:lang w:eastAsia="zh-CN"/>
        </w:rPr>
        <w:t>。</w:t>
      </w:r>
    </w:p>
    <w:p w14:paraId="440B294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2.落实上级年度政务公开工作要点情况。对照政务公开工作要点，</w:t>
      </w:r>
      <w:r>
        <w:rPr>
          <w:rFonts w:hint="eastAsia" w:ascii="仿宋_GB2312" w:hAnsi="仿宋_GB2312" w:eastAsia="仿宋_GB2312" w:cs="仿宋_GB2312"/>
          <w:sz w:val="32"/>
          <w:szCs w:val="32"/>
          <w:lang w:val="en-US" w:eastAsia="zh-CN"/>
        </w:rPr>
        <w:t>围绕</w:t>
      </w:r>
      <w:r>
        <w:rPr>
          <w:rFonts w:hint="eastAsia" w:ascii="仿宋_GB2312" w:hAnsi="Times New Roman" w:eastAsia="仿宋_GB2312"/>
          <w:sz w:val="32"/>
          <w:szCs w:val="32"/>
          <w:lang w:val="en-US" w:eastAsia="zh-CN"/>
        </w:rPr>
        <w:t>生态环境质量等</w:t>
      </w:r>
      <w:r>
        <w:rPr>
          <w:rFonts w:hint="eastAsia" w:ascii="仿宋_GB2312" w:hAnsi="仿宋_GB2312" w:eastAsia="仿宋_GB2312" w:cs="仿宋_GB2312"/>
          <w:sz w:val="32"/>
          <w:szCs w:val="32"/>
          <w:lang w:val="en-US" w:eastAsia="zh-CN"/>
        </w:rPr>
        <w:t>重点领域强化政务公开力度</w:t>
      </w:r>
      <w:r>
        <w:rPr>
          <w:rFonts w:hint="eastAsia" w:ascii="仿宋_GB2312" w:hAnsi="仿宋_GB2312" w:eastAsia="仿宋_GB2312" w:cs="仿宋_GB2312"/>
          <w:sz w:val="32"/>
          <w:szCs w:val="32"/>
        </w:rPr>
        <w:t>。</w:t>
      </w:r>
    </w:p>
    <w:p w14:paraId="6B562F5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3.人大建议和政协提案办理情况。</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枣庄市生态环境局滕州分局</w:t>
      </w:r>
      <w:r>
        <w:rPr>
          <w:rFonts w:hint="eastAsia" w:ascii="仿宋_GB2312" w:hAnsi="仿宋_GB2312" w:eastAsia="仿宋_GB2312" w:cs="仿宋_GB2312"/>
          <w:sz w:val="32"/>
          <w:szCs w:val="32"/>
        </w:rPr>
        <w:t>承办</w:t>
      </w:r>
      <w:r>
        <w:rPr>
          <w:rFonts w:hint="eastAsia" w:ascii="仿宋_GB2312" w:hAnsi="仿宋_GB2312" w:eastAsia="仿宋_GB2312" w:cs="仿宋_GB2312"/>
          <w:sz w:val="32"/>
          <w:szCs w:val="32"/>
          <w:lang w:val="en-US" w:eastAsia="zh-CN"/>
        </w:rPr>
        <w:t>枣庄政协提案1件，</w:t>
      </w:r>
      <w:r>
        <w:rPr>
          <w:rFonts w:hint="eastAsia" w:ascii="仿宋_GB2312" w:hAnsi="仿宋_GB2312" w:eastAsia="仿宋_GB2312" w:cs="仿宋_GB2312"/>
          <w:sz w:val="32"/>
          <w:szCs w:val="32"/>
        </w:rPr>
        <w:t>已办结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承办</w:t>
      </w:r>
      <w:r>
        <w:rPr>
          <w:rFonts w:hint="eastAsia" w:ascii="仿宋_GB2312" w:hAnsi="仿宋_GB2312" w:eastAsia="仿宋_GB2312" w:cs="仿宋_GB2312"/>
          <w:sz w:val="32"/>
          <w:szCs w:val="32"/>
          <w:lang w:val="en-US" w:eastAsia="zh-CN"/>
        </w:rPr>
        <w:t>滕州人大建议2件，</w:t>
      </w:r>
      <w:r>
        <w:rPr>
          <w:rFonts w:hint="eastAsia" w:ascii="仿宋_GB2312" w:hAnsi="仿宋_GB2312" w:eastAsia="仿宋_GB2312" w:cs="仿宋_GB2312"/>
          <w:sz w:val="32"/>
          <w:szCs w:val="32"/>
        </w:rPr>
        <w:t>已办结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承办</w:t>
      </w:r>
      <w:r>
        <w:rPr>
          <w:rFonts w:hint="eastAsia" w:ascii="仿宋_GB2312" w:hAnsi="仿宋_GB2312" w:eastAsia="仿宋_GB2312" w:cs="仿宋_GB2312"/>
          <w:sz w:val="32"/>
          <w:szCs w:val="32"/>
          <w:lang w:val="en-US" w:eastAsia="zh-CN"/>
        </w:rPr>
        <w:t>滕州政协提案4件，</w:t>
      </w:r>
      <w:r>
        <w:rPr>
          <w:rFonts w:hint="eastAsia" w:ascii="仿宋_GB2312" w:hAnsi="仿宋_GB2312" w:eastAsia="仿宋_GB2312" w:cs="仿宋_GB2312"/>
          <w:sz w:val="32"/>
          <w:szCs w:val="32"/>
        </w:rPr>
        <w:t>已办结</w:t>
      </w:r>
      <w:r>
        <w:rPr>
          <w:rFonts w:hint="eastAsia" w:ascii="仿宋_GB2312" w:hAnsi="仿宋_GB2312" w:eastAsia="仿宋_GB2312" w:cs="仿宋_GB2312"/>
          <w:sz w:val="32"/>
          <w:szCs w:val="32"/>
          <w:lang w:eastAsia="zh-CN"/>
        </w:rPr>
        <w:t>。</w:t>
      </w:r>
    </w:p>
    <w:p w14:paraId="40A9C76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.本单位政府信息公开工作年度报告数据统计需要说明的事项：无</w:t>
      </w:r>
    </w:p>
    <w:p w14:paraId="0E6400F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.其他有关文件专门要求通过政府信息公开工作年度报告予以报告的事项：无</w:t>
      </w:r>
    </w:p>
    <w:p w14:paraId="39F3A35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.本报告的电子版可在“中国滕州网”（http://www.tengzhou.gov.cn/）网站查询和下载。如对本报告有任何疑问，请与</w:t>
      </w:r>
      <w:r>
        <w:rPr>
          <w:rFonts w:hint="eastAsia" w:ascii="仿宋_GB2312" w:hAnsi="仿宋_GB2312" w:eastAsia="仿宋_GB2312" w:cs="仿宋_GB2312"/>
          <w:sz w:val="32"/>
          <w:szCs w:val="32"/>
          <w:lang w:val="en-US" w:eastAsia="zh-CN"/>
        </w:rPr>
        <w:t>枣庄市生态环境局滕州分局环境信息中心</w:t>
      </w:r>
      <w:r>
        <w:rPr>
          <w:rFonts w:hint="eastAsia" w:ascii="仿宋_GB2312" w:hAnsi="仿宋_GB2312" w:eastAsia="仿宋_GB2312" w:cs="仿宋_GB2312"/>
          <w:sz w:val="32"/>
          <w:szCs w:val="32"/>
        </w:rPr>
        <w:t>联系。 （地址：山东省滕州市北辛中路政务</w:t>
      </w:r>
      <w:r>
        <w:rPr>
          <w:rFonts w:hint="eastAsia" w:ascii="仿宋_GB2312" w:hAnsi="仿宋_GB2312" w:eastAsia="仿宋_GB2312" w:cs="仿宋_GB2312"/>
          <w:sz w:val="32"/>
          <w:szCs w:val="32"/>
          <w:lang w:val="en-US" w:eastAsia="zh-CN"/>
        </w:rPr>
        <w:t>服务</w:t>
      </w:r>
      <w:r>
        <w:rPr>
          <w:rFonts w:hint="eastAsia" w:ascii="仿宋_GB2312" w:hAnsi="仿宋_GB2312" w:eastAsia="仿宋_GB2312" w:cs="仿宋_GB2312"/>
          <w:sz w:val="32"/>
          <w:szCs w:val="32"/>
        </w:rPr>
        <w:t>中心</w:t>
      </w:r>
      <w:r>
        <w:rPr>
          <w:rFonts w:hint="eastAsia" w:ascii="仿宋_GB2312" w:hAnsi="仿宋_GB2312" w:eastAsia="仿宋_GB2312" w:cs="仿宋_GB2312"/>
          <w:sz w:val="32"/>
          <w:szCs w:val="32"/>
          <w:lang w:val="en-US" w:eastAsia="zh-CN"/>
        </w:rPr>
        <w:t>515</w:t>
      </w:r>
      <w:r>
        <w:rPr>
          <w:rFonts w:hint="eastAsia" w:ascii="仿宋_GB2312" w:hAnsi="仿宋_GB2312" w:eastAsia="仿宋_GB2312" w:cs="仿宋_GB2312"/>
          <w:sz w:val="32"/>
          <w:szCs w:val="32"/>
        </w:rPr>
        <w:t>房间，联系电话：0632—</w:t>
      </w:r>
      <w:r>
        <w:rPr>
          <w:rFonts w:hint="eastAsia" w:ascii="仿宋_GB2312" w:hAnsi="仿宋_GB2312" w:eastAsia="仿宋_GB2312" w:cs="仿宋_GB2312"/>
          <w:sz w:val="32"/>
          <w:szCs w:val="32"/>
          <w:lang w:val="en-US" w:eastAsia="zh-CN"/>
        </w:rPr>
        <w:t>5510081</w:t>
      </w:r>
      <w:r>
        <w:rPr>
          <w:rFonts w:hint="eastAsia" w:ascii="仿宋_GB2312" w:hAnsi="仿宋_GB2312" w:eastAsia="仿宋_GB2312" w:cs="仿宋_GB2312"/>
          <w:sz w:val="32"/>
          <w:szCs w:val="32"/>
        </w:rPr>
        <w:t>，电子邮箱：</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"mailto:tzzwgk@zz.shandong.cn%EF%BC%89%E3%80%82" </w:instrText>
      </w:r>
      <w:r>
        <w:rPr>
          <w:rFonts w:hint="eastAsia" w:ascii="仿宋_GB2312" w:hAnsi="仿宋_GB2312" w:eastAsia="仿宋_GB2312" w:cs="仿宋_GB2312"/>
          <w:sz w:val="32"/>
          <w:szCs w:val="32"/>
        </w:rPr>
        <w:fldChar w:fldCharType="separate"/>
      </w:r>
      <w:r>
        <w:rPr>
          <w:rStyle w:val="12"/>
          <w:rFonts w:hint="eastAsia" w:ascii="仿宋_GB2312" w:hAnsi="仿宋_GB2312" w:eastAsia="仿宋_GB2312" w:cs="仿宋_GB2312"/>
          <w:i w:val="0"/>
          <w:iCs w:val="0"/>
          <w:caps w:val="0"/>
          <w:color w:val="333333"/>
          <w:spacing w:val="0"/>
          <w:sz w:val="32"/>
          <w:szCs w:val="32"/>
          <w:u w:val="none"/>
          <w:shd w:val="clear" w:fill="FFFFFF"/>
          <w:lang w:val="en-US" w:eastAsia="zh-CN"/>
        </w:rPr>
        <w:t>tzhbxxzx@</w:t>
      </w:r>
      <w:r>
        <w:rPr>
          <w:rStyle w:val="12"/>
          <w:rFonts w:hint="eastAsia" w:ascii="仿宋_GB2312" w:hAnsi="仿宋_GB2312" w:eastAsia="仿宋_GB2312" w:cs="仿宋_GB2312"/>
          <w:i w:val="0"/>
          <w:iCs w:val="0"/>
          <w:caps w:val="0"/>
          <w:color w:val="333333"/>
          <w:spacing w:val="0"/>
          <w:sz w:val="32"/>
          <w:szCs w:val="32"/>
          <w:u w:val="none"/>
          <w:shd w:val="clear" w:fill="FFFFFF"/>
        </w:rPr>
        <w:t>zz.shandong.cn</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w:t>
      </w:r>
    </w:p>
    <w:p w14:paraId="0BD8357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303629F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22D026FA">
      <w:pPr>
        <w:bidi w:val="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年1月</w:t>
      </w:r>
      <w:r>
        <w:rPr>
          <w:rFonts w:hint="eastAsia" w:ascii="仿宋_GB2312" w:hAnsi="仿宋_GB2312" w:eastAsia="仿宋_GB2312" w:cs="仿宋_GB2312"/>
          <w:sz w:val="32"/>
          <w:szCs w:val="32"/>
          <w:lang w:val="en-US" w:eastAsia="zh-CN"/>
        </w:rPr>
        <w:t>9</w:t>
      </w:r>
      <w:bookmarkStart w:id="10" w:name="_GoBack"/>
      <w:bookmarkEnd w:id="10"/>
      <w:r>
        <w:rPr>
          <w:rFonts w:hint="eastAsia" w:ascii="仿宋_GB2312" w:hAnsi="仿宋_GB2312" w:eastAsia="仿宋_GB2312" w:cs="仿宋_GB2312"/>
          <w:sz w:val="32"/>
          <w:szCs w:val="32"/>
        </w:rPr>
        <w:t>日</w:t>
      </w:r>
    </w:p>
    <w:p w14:paraId="31234FBB">
      <w:pPr>
        <w:bidi w:val="0"/>
        <w:rPr>
          <w:rFonts w:hint="eastAsia" w:ascii="仿宋_GB2312" w:hAnsi="仿宋_GB2312" w:eastAsia="仿宋_GB2312" w:cs="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2000000000000000000"/>
    <w:charset w:val="86"/>
    <w:family w:val="auto"/>
    <w:pitch w:val="default"/>
    <w:sig w:usb0="00000000" w:usb1="00000000" w:usb2="00082016" w:usb3="00000000" w:csb0="00040001"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decorative"/>
    <w:pitch w:val="default"/>
    <w:sig w:usb0="800002BF" w:usb1="38CF7CFA" w:usb2="00000016" w:usb3="00000000" w:csb0="00040001" w:csb1="00000000"/>
  </w:font>
  <w:font w:name="KSOF51D5AD36">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94E701">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5622BD">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95622BD">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yYjg0NzYzMjZmZmQ4YTRlM2ZlM2Q2ZTg0MzdiNWUifQ=="/>
  </w:docVars>
  <w:rsids>
    <w:rsidRoot w:val="678B13FD"/>
    <w:rsid w:val="000F7DC7"/>
    <w:rsid w:val="001008BE"/>
    <w:rsid w:val="001600C5"/>
    <w:rsid w:val="005D7667"/>
    <w:rsid w:val="006971BF"/>
    <w:rsid w:val="007827C5"/>
    <w:rsid w:val="00883ED9"/>
    <w:rsid w:val="009F49CC"/>
    <w:rsid w:val="00B970F7"/>
    <w:rsid w:val="00C73588"/>
    <w:rsid w:val="00D1449B"/>
    <w:rsid w:val="00D84190"/>
    <w:rsid w:val="00E34B1D"/>
    <w:rsid w:val="012F05BA"/>
    <w:rsid w:val="021C0528"/>
    <w:rsid w:val="02487AB4"/>
    <w:rsid w:val="02CC42EB"/>
    <w:rsid w:val="04115E30"/>
    <w:rsid w:val="04544215"/>
    <w:rsid w:val="04886E00"/>
    <w:rsid w:val="048E1D3A"/>
    <w:rsid w:val="067A2A80"/>
    <w:rsid w:val="06A4548C"/>
    <w:rsid w:val="088C0D4A"/>
    <w:rsid w:val="09012783"/>
    <w:rsid w:val="099C7151"/>
    <w:rsid w:val="0AA90B70"/>
    <w:rsid w:val="0AC12B08"/>
    <w:rsid w:val="0D3E799F"/>
    <w:rsid w:val="0DC3019B"/>
    <w:rsid w:val="0DEB0BBD"/>
    <w:rsid w:val="0E0B1E3B"/>
    <w:rsid w:val="0ED81726"/>
    <w:rsid w:val="0FE45294"/>
    <w:rsid w:val="10F92125"/>
    <w:rsid w:val="11163BC1"/>
    <w:rsid w:val="12A163E2"/>
    <w:rsid w:val="13CC3B21"/>
    <w:rsid w:val="148B5678"/>
    <w:rsid w:val="14CE2B7E"/>
    <w:rsid w:val="15171D99"/>
    <w:rsid w:val="15763759"/>
    <w:rsid w:val="159C15E7"/>
    <w:rsid w:val="164F17E0"/>
    <w:rsid w:val="17D949D7"/>
    <w:rsid w:val="1A944BF5"/>
    <w:rsid w:val="1AD95EA8"/>
    <w:rsid w:val="1AF37BE5"/>
    <w:rsid w:val="1B966EEF"/>
    <w:rsid w:val="1CAE503A"/>
    <w:rsid w:val="1F285EF3"/>
    <w:rsid w:val="1F736597"/>
    <w:rsid w:val="1F7F60B9"/>
    <w:rsid w:val="1FF20DFB"/>
    <w:rsid w:val="20AB7ECD"/>
    <w:rsid w:val="21C45690"/>
    <w:rsid w:val="22E70030"/>
    <w:rsid w:val="23A4207F"/>
    <w:rsid w:val="24287EDB"/>
    <w:rsid w:val="243C0179"/>
    <w:rsid w:val="251E5B96"/>
    <w:rsid w:val="274A4557"/>
    <w:rsid w:val="27787F81"/>
    <w:rsid w:val="2832064D"/>
    <w:rsid w:val="28CB2BA5"/>
    <w:rsid w:val="2931789B"/>
    <w:rsid w:val="2932200E"/>
    <w:rsid w:val="293C3FF2"/>
    <w:rsid w:val="2B045C46"/>
    <w:rsid w:val="2B6D36A4"/>
    <w:rsid w:val="2C142823"/>
    <w:rsid w:val="2D7652AA"/>
    <w:rsid w:val="2E0777D8"/>
    <w:rsid w:val="304304E5"/>
    <w:rsid w:val="309714A5"/>
    <w:rsid w:val="309C1901"/>
    <w:rsid w:val="30F81EA6"/>
    <w:rsid w:val="320F2461"/>
    <w:rsid w:val="32613669"/>
    <w:rsid w:val="32BB215C"/>
    <w:rsid w:val="34F652F3"/>
    <w:rsid w:val="35A53371"/>
    <w:rsid w:val="36262A6A"/>
    <w:rsid w:val="36296EA0"/>
    <w:rsid w:val="3683376A"/>
    <w:rsid w:val="37A8268A"/>
    <w:rsid w:val="383E4AD7"/>
    <w:rsid w:val="394666DC"/>
    <w:rsid w:val="3A45614C"/>
    <w:rsid w:val="3B86457A"/>
    <w:rsid w:val="3C763BDF"/>
    <w:rsid w:val="3CA84554"/>
    <w:rsid w:val="3CC53ECB"/>
    <w:rsid w:val="3CFE5097"/>
    <w:rsid w:val="3D535F7D"/>
    <w:rsid w:val="3DE43543"/>
    <w:rsid w:val="3F834062"/>
    <w:rsid w:val="4111276E"/>
    <w:rsid w:val="41253F5D"/>
    <w:rsid w:val="41B30401"/>
    <w:rsid w:val="42D20FCA"/>
    <w:rsid w:val="435713BE"/>
    <w:rsid w:val="439C4B3A"/>
    <w:rsid w:val="43DC3D25"/>
    <w:rsid w:val="44060890"/>
    <w:rsid w:val="44BD69EB"/>
    <w:rsid w:val="44ED579C"/>
    <w:rsid w:val="45DE5870"/>
    <w:rsid w:val="46346EF3"/>
    <w:rsid w:val="4652735B"/>
    <w:rsid w:val="476E55D0"/>
    <w:rsid w:val="47AD13CF"/>
    <w:rsid w:val="4DBC7167"/>
    <w:rsid w:val="4F7905D1"/>
    <w:rsid w:val="4F7D517D"/>
    <w:rsid w:val="50D81F61"/>
    <w:rsid w:val="51E70B3A"/>
    <w:rsid w:val="520C3A08"/>
    <w:rsid w:val="52F46F3B"/>
    <w:rsid w:val="53B42F5D"/>
    <w:rsid w:val="53D118E9"/>
    <w:rsid w:val="548B6B3A"/>
    <w:rsid w:val="54E9355C"/>
    <w:rsid w:val="55721460"/>
    <w:rsid w:val="563238C0"/>
    <w:rsid w:val="56692707"/>
    <w:rsid w:val="569C2925"/>
    <w:rsid w:val="574A1E64"/>
    <w:rsid w:val="57D026CB"/>
    <w:rsid w:val="58980E1B"/>
    <w:rsid w:val="5898712F"/>
    <w:rsid w:val="58C633EA"/>
    <w:rsid w:val="59965D30"/>
    <w:rsid w:val="59D6437F"/>
    <w:rsid w:val="5A60384C"/>
    <w:rsid w:val="5AF41016"/>
    <w:rsid w:val="5B907432"/>
    <w:rsid w:val="5C394FAE"/>
    <w:rsid w:val="5C5D0F67"/>
    <w:rsid w:val="5F8D15FE"/>
    <w:rsid w:val="5FFC63AF"/>
    <w:rsid w:val="609C184C"/>
    <w:rsid w:val="614554EA"/>
    <w:rsid w:val="61497F56"/>
    <w:rsid w:val="618D0A0C"/>
    <w:rsid w:val="62423FC8"/>
    <w:rsid w:val="62460FA4"/>
    <w:rsid w:val="636C365E"/>
    <w:rsid w:val="63F94EE8"/>
    <w:rsid w:val="63FE664D"/>
    <w:rsid w:val="64C6123D"/>
    <w:rsid w:val="65942F18"/>
    <w:rsid w:val="66B46942"/>
    <w:rsid w:val="67851AEB"/>
    <w:rsid w:val="678809D3"/>
    <w:rsid w:val="678B13FD"/>
    <w:rsid w:val="67FA732B"/>
    <w:rsid w:val="6986179C"/>
    <w:rsid w:val="69C36A75"/>
    <w:rsid w:val="6A993671"/>
    <w:rsid w:val="6ABD052C"/>
    <w:rsid w:val="6B1336F4"/>
    <w:rsid w:val="6B517D09"/>
    <w:rsid w:val="6BDF49A8"/>
    <w:rsid w:val="6F397B08"/>
    <w:rsid w:val="6F79782E"/>
    <w:rsid w:val="70533B33"/>
    <w:rsid w:val="70DD7C0B"/>
    <w:rsid w:val="71DA7865"/>
    <w:rsid w:val="73564087"/>
    <w:rsid w:val="73B5352F"/>
    <w:rsid w:val="74303B8F"/>
    <w:rsid w:val="74B35F62"/>
    <w:rsid w:val="7578789B"/>
    <w:rsid w:val="763B293A"/>
    <w:rsid w:val="76D631AB"/>
    <w:rsid w:val="78CC0FF1"/>
    <w:rsid w:val="79477948"/>
    <w:rsid w:val="79AA0C63"/>
    <w:rsid w:val="7B5E0C5A"/>
    <w:rsid w:val="7CD819B0"/>
    <w:rsid w:val="7D2C4E96"/>
    <w:rsid w:val="7DDE64AF"/>
    <w:rsid w:val="7E3B2341"/>
    <w:rsid w:val="7F1E3F4E"/>
    <w:rsid w:val="7FBC1345"/>
    <w:rsid w:val="7FF4634D"/>
    <w:rsid w:val="EBFF54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5"/>
    <w:qFormat/>
    <w:uiPriority w:val="0"/>
    <w:rPr>
      <w:sz w:val="18"/>
      <w:szCs w:val="18"/>
    </w:r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toc 1"/>
    <w:basedOn w:val="1"/>
    <w:next w:val="1"/>
    <w:qFormat/>
    <w:uiPriority w:val="0"/>
    <w:pPr>
      <w:spacing w:line="660" w:lineRule="exact"/>
      <w:ind w:firstLine="705"/>
    </w:pPr>
    <w:rPr>
      <w:rFonts w:ascii="仿宋_GB2312" w:eastAsia="仿宋_GB2312"/>
      <w:color w:val="000000"/>
      <w:sz w:val="36"/>
      <w:szCs w:val="36"/>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Strong"/>
    <w:basedOn w:val="9"/>
    <w:qFormat/>
    <w:uiPriority w:val="0"/>
    <w:rPr>
      <w:b/>
    </w:rPr>
  </w:style>
  <w:style w:type="character" w:styleId="11">
    <w:name w:val="Emphasis"/>
    <w:basedOn w:val="9"/>
    <w:qFormat/>
    <w:uiPriority w:val="0"/>
    <w:rPr>
      <w:i/>
    </w:rPr>
  </w:style>
  <w:style w:type="character" w:styleId="12">
    <w:name w:val="Hyperlink"/>
    <w:basedOn w:val="9"/>
    <w:qFormat/>
    <w:uiPriority w:val="0"/>
    <w:rPr>
      <w:color w:val="0000FF"/>
      <w:u w:val="single"/>
    </w:rPr>
  </w:style>
  <w:style w:type="character" w:customStyle="1" w:styleId="13">
    <w:name w:val="页眉 Char"/>
    <w:basedOn w:val="9"/>
    <w:link w:val="5"/>
    <w:qFormat/>
    <w:uiPriority w:val="0"/>
    <w:rPr>
      <w:rFonts w:asciiTheme="minorHAnsi" w:hAnsiTheme="minorHAnsi" w:eastAsiaTheme="minorEastAsia" w:cstheme="minorBidi"/>
      <w:kern w:val="2"/>
      <w:sz w:val="18"/>
      <w:szCs w:val="18"/>
    </w:rPr>
  </w:style>
  <w:style w:type="character" w:customStyle="1" w:styleId="14">
    <w:name w:val="页脚 Char"/>
    <w:basedOn w:val="9"/>
    <w:link w:val="4"/>
    <w:qFormat/>
    <w:uiPriority w:val="0"/>
    <w:rPr>
      <w:rFonts w:asciiTheme="minorHAnsi" w:hAnsiTheme="minorHAnsi" w:eastAsiaTheme="minorEastAsia" w:cstheme="minorBidi"/>
      <w:kern w:val="2"/>
      <w:sz w:val="18"/>
      <w:szCs w:val="18"/>
    </w:rPr>
  </w:style>
  <w:style w:type="character" w:customStyle="1" w:styleId="15">
    <w:name w:val="批注框文本 Char"/>
    <w:basedOn w:val="9"/>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manualLayout>
          <c:layoutTarget val="inner"/>
          <c:xMode val="edge"/>
          <c:yMode val="edge"/>
          <c:x val="0.187303696545059"/>
          <c:y val="0.0923085762939029"/>
          <c:w val="0.633365547233631"/>
          <c:h val="0.725373547315993"/>
        </c:manualLayout>
      </c:layout>
      <c:pieChart>
        <c:varyColors val="1"/>
        <c:ser>
          <c:idx val="0"/>
          <c:order val="0"/>
          <c:tx>
            <c:strRef>
              <c:f>Sheet1!$B$1</c:f>
              <c:strCache>
                <c:ptCount val="1"/>
                <c:pt idx="0">
                  <c:v>主动公开政府信息</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Pt>
            <c:idx val="6"/>
            <c:bubble3D val="0"/>
            <c:spPr>
              <a:solidFill>
                <a:schemeClr val="accent1">
                  <a:lumMod val="60000"/>
                </a:schemeClr>
              </a:solidFill>
              <a:ln>
                <a:solidFill>
                  <a:schemeClr val="bg1"/>
                </a:solidFill>
              </a:ln>
              <a:effectLst/>
            </c:spPr>
          </c:dPt>
          <c:dPt>
            <c:idx val="7"/>
            <c:bubble3D val="0"/>
            <c:spPr>
              <a:solidFill>
                <a:schemeClr val="accent2">
                  <a:lumMod val="60000"/>
                </a:schemeClr>
              </a:solidFill>
              <a:ln>
                <a:solidFill>
                  <a:schemeClr val="bg1"/>
                </a:solidFill>
              </a:ln>
              <a:effectLst/>
            </c:spPr>
          </c:dPt>
          <c:dPt>
            <c:idx val="8"/>
            <c:bubble3D val="0"/>
            <c:spPr>
              <a:solidFill>
                <a:schemeClr val="accent3">
                  <a:lumMod val="60000"/>
                </a:schemeClr>
              </a:solidFill>
              <a:ln>
                <a:solidFill>
                  <a:schemeClr val="bg1"/>
                </a:solidFill>
              </a:ln>
              <a:effectLst/>
            </c:spPr>
          </c:dPt>
          <c:dLbls>
            <c:dLbl>
              <c:idx val="0"/>
              <c:layout>
                <c:manualLayout>
                  <c:x val="0.179149553032133"/>
                  <c:y val="0.0155511207892234"/>
                </c:manualLayout>
              </c:layout>
              <c:dLblPos val="bestFit"/>
              <c:showLegendKey val="0"/>
              <c:showVal val="0"/>
              <c:showCatName val="1"/>
              <c:showSerName val="0"/>
              <c:showPercent val="0"/>
              <c:showBubbleSize val="0"/>
              <c:extLst>
                <c:ext xmlns:c15="http://schemas.microsoft.com/office/drawing/2012/chart" uri="{CE6537A1-D6FC-4f65-9D91-7224C49458BB}">
                  <c15:layout/>
                </c:ext>
              </c:extLst>
            </c:dLbl>
            <c:dLbl>
              <c:idx val="1"/>
              <c:layout>
                <c:manualLayout>
                  <c:x val="0.254892486107756"/>
                  <c:y val="0.0135991171148636"/>
                </c:manualLayout>
              </c:layout>
              <c:dLblPos val="bestFit"/>
              <c:showLegendKey val="0"/>
              <c:showVal val="0"/>
              <c:showCatName val="1"/>
              <c:showSerName val="0"/>
              <c:showPercent val="0"/>
              <c:showBubbleSize val="0"/>
              <c:extLst>
                <c:ext xmlns:c15="http://schemas.microsoft.com/office/drawing/2012/chart" uri="{CE6537A1-D6FC-4f65-9D91-7224C49458BB}">
                  <c15:layout/>
                </c:ext>
              </c:extLst>
            </c:dLbl>
            <c:dLbl>
              <c:idx val="2"/>
              <c:layout>
                <c:manualLayout>
                  <c:x val="0.21490698236289"/>
                  <c:y val="0.0562800553483061"/>
                </c:manualLayout>
              </c:layout>
              <c:dLblPos val="bestFit"/>
              <c:showLegendKey val="0"/>
              <c:showVal val="0"/>
              <c:showCatName val="1"/>
              <c:showSerName val="0"/>
              <c:showPercent val="0"/>
              <c:showBubbleSize val="0"/>
              <c:extLst>
                <c:ext xmlns:c15="http://schemas.microsoft.com/office/drawing/2012/chart" uri="{CE6537A1-D6FC-4f65-9D91-7224C49458BB}">
                  <c15:layout/>
                </c:ext>
              </c:extLst>
            </c:dLbl>
            <c:dLbl>
              <c:idx val="3"/>
              <c:layout>
                <c:manualLayout>
                  <c:x val="0.0141617348952955"/>
                  <c:y val="0.010395537525355"/>
                </c:manualLayout>
              </c:layout>
              <c:dLblPos val="bestFit"/>
              <c:showLegendKey val="0"/>
              <c:showVal val="0"/>
              <c:showCatName val="1"/>
              <c:showSerName val="0"/>
              <c:showPercent val="0"/>
              <c:showBubbleSize val="0"/>
              <c:extLst>
                <c:ext xmlns:c15="http://schemas.microsoft.com/office/drawing/2012/chart" uri="{CE6537A1-D6FC-4f65-9D91-7224C49458BB}">
                  <c15:layout/>
                </c:ext>
              </c:extLst>
            </c:dLbl>
            <c:dLbl>
              <c:idx val="4"/>
              <c:layout>
                <c:manualLayout>
                  <c:x val="-0.105460256100507"/>
                  <c:y val="-0.0105223123732252"/>
                </c:manualLayout>
              </c:layout>
              <c:dLblPos val="bestFit"/>
              <c:showLegendKey val="0"/>
              <c:showVal val="0"/>
              <c:showCatName val="1"/>
              <c:showSerName val="0"/>
              <c:showPercent val="0"/>
              <c:showBubbleSize val="0"/>
              <c:extLst>
                <c:ext xmlns:c15="http://schemas.microsoft.com/office/drawing/2012/chart" uri="{CE6537A1-D6FC-4f65-9D91-7224C49458BB}">
                  <c15:layout/>
                </c:ext>
              </c:extLst>
            </c:dLbl>
            <c:dLbl>
              <c:idx val="5"/>
              <c:layout>
                <c:manualLayout>
                  <c:x val="-0.240879439478135"/>
                  <c:y val="0.102617317610166"/>
                </c:manualLayout>
              </c:layout>
              <c:dLblPos val="bestFit"/>
              <c:showLegendKey val="0"/>
              <c:showVal val="0"/>
              <c:showCatName val="1"/>
              <c:showSerName val="0"/>
              <c:showPercent val="0"/>
              <c:showBubbleSize val="0"/>
              <c:extLst>
                <c:ext xmlns:c15="http://schemas.microsoft.com/office/drawing/2012/chart" uri="{CE6537A1-D6FC-4f65-9D91-7224C49458BB}">
                  <c15:layout/>
                </c:ext>
              </c:extLst>
            </c:dLbl>
            <c:dLbl>
              <c:idx val="6"/>
              <c:layout>
                <c:manualLayout>
                  <c:x val="-0.306716598212129"/>
                  <c:y val="0.0414977791038018"/>
                </c:manualLayout>
              </c:layout>
              <c:dLblPos val="bestFit"/>
              <c:showLegendKey val="0"/>
              <c:showVal val="0"/>
              <c:showCatName val="1"/>
              <c:showSerName val="0"/>
              <c:showPercent val="0"/>
              <c:showBubbleSize val="0"/>
              <c:extLst>
                <c:ext xmlns:c15="http://schemas.microsoft.com/office/drawing/2012/chart" uri="{CE6537A1-D6FC-4f65-9D91-7224C49458BB}">
                  <c15:layout/>
                </c:ext>
              </c:extLst>
            </c:dLbl>
            <c:dLbl>
              <c:idx val="7"/>
              <c:layout>
                <c:manualLayout>
                  <c:x val="-0.240879439478135"/>
                  <c:y val="0.00374446726431134"/>
                </c:manualLayout>
              </c:layout>
              <c:dLblPos val="bestFit"/>
              <c:showLegendKey val="0"/>
              <c:showVal val="0"/>
              <c:showCatName val="1"/>
              <c:showSerName val="0"/>
              <c:showPercent val="0"/>
              <c:showBubbleSize val="0"/>
              <c:extLst>
                <c:ext xmlns:c15="http://schemas.microsoft.com/office/drawing/2012/chart" uri="{CE6537A1-D6FC-4f65-9D91-7224C49458BB}">
                  <c15:layout/>
                </c:ext>
              </c:extLst>
            </c:dLbl>
            <c:dLbl>
              <c:idx val="8"/>
              <c:layout>
                <c:manualLayout>
                  <c:x val="0.00193283401787871"/>
                  <c:y val="-0.0237671802220181"/>
                </c:manualLayout>
              </c:layout>
              <c:dLblPos val="bestFit"/>
              <c:showLegendKey val="0"/>
              <c:showVal val="0"/>
              <c:showCatName val="1"/>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0"/>
            <c:showCatName val="1"/>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Sheet1!$A$2:$A$10</c:f>
              <c:strCache>
                <c:ptCount val="9"/>
                <c:pt idx="0">
                  <c:v>主动公开通知公告</c:v>
                </c:pt>
                <c:pt idx="1">
                  <c:v>规划计划</c:v>
                </c:pt>
                <c:pt idx="2">
                  <c:v>政府工作报告</c:v>
                </c:pt>
                <c:pt idx="3">
                  <c:v>行政执法公示</c:v>
                </c:pt>
                <c:pt idx="4">
                  <c:v>建设项目影响评价</c:v>
                </c:pt>
                <c:pt idx="5">
                  <c:v>生活饮用水水源水质状况</c:v>
                </c:pt>
                <c:pt idx="6">
                  <c:v>提案议案</c:v>
                </c:pt>
                <c:pt idx="7">
                  <c:v>组织管理</c:v>
                </c:pt>
                <c:pt idx="8">
                  <c:v>政务公开基本目录</c:v>
                </c:pt>
              </c:strCache>
            </c:strRef>
          </c:cat>
          <c:val>
            <c:numRef>
              <c:f>Sheet1!$B$2:$B$10</c:f>
              <c:numCache>
                <c:formatCode>General</c:formatCode>
                <c:ptCount val="9"/>
                <c:pt idx="0">
                  <c:v>40</c:v>
                </c:pt>
                <c:pt idx="1">
                  <c:v>1</c:v>
                </c:pt>
                <c:pt idx="2">
                  <c:v>4</c:v>
                </c:pt>
                <c:pt idx="3">
                  <c:v>52</c:v>
                </c:pt>
                <c:pt idx="4">
                  <c:v>205</c:v>
                </c:pt>
                <c:pt idx="5">
                  <c:v>12</c:v>
                </c:pt>
                <c:pt idx="6">
                  <c:v>7</c:v>
                </c:pt>
                <c:pt idx="7">
                  <c:v>8</c:v>
                </c:pt>
                <c:pt idx="8">
                  <c:v>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manualLayout>
          <c:xMode val="edge"/>
          <c:yMode val="edge"/>
          <c:x val="0.00990577434162841"/>
          <c:y val="0.782650802434975"/>
          <c:w val="0.967745832326649"/>
          <c:h val="0.213198671831765"/>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77e0b9dc-45be-4f6c-9439-b42110e28f92}"/>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2362</Words>
  <Characters>2511</Characters>
  <Lines>16</Lines>
  <Paragraphs>4</Paragraphs>
  <TotalTime>5</TotalTime>
  <ScaleCrop>false</ScaleCrop>
  <LinksUpToDate>false</LinksUpToDate>
  <CharactersWithSpaces>2514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2021-01-25T09:43:00Z</dcterms:created>
  <dc:creator>Administrator</dc:creator>
  <cp:lastModifiedBy>蕊儿</cp:lastModifiedBy>
  <cp:lastPrinted>2025-01-08T15:28:00Z</cp:lastPrinted>
  <dcterms:modified xsi:type="dcterms:W3CDTF">2026-01-09T01:32:46Z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F4C54F85BF1F41F3B53AB95586F07A7C_13</vt:lpwstr>
  </property>
  <property fmtid="{D5CDD505-2E9C-101B-9397-08002B2CF9AE}" pid="4" name="KSOTemplateDocerSaveRecord">
    <vt:lpwstr>eyJoZGlkIjoiN2QyYjg0NzYzMjZmZmQ4YTRlM2ZlM2Q2ZTg0MzdiNWUiLCJ1c2VySWQiOiI2MDk0NzU0NjUifQ==</vt:lpwstr>
  </property>
</Properties>
</file>