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41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滕州市卫生健康局</w:t>
      </w:r>
    </w:p>
    <w:p w14:paraId="5C462E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2025年政府信息公开年度报告</w:t>
      </w:r>
    </w:p>
    <w:p w14:paraId="15A034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仿宋_GB2312" w:hAnsi="仿宋_GB2312" w:eastAsia="仿宋_GB2312" w:cs="仿宋_GB2312"/>
          <w:color w:val="auto"/>
          <w:sz w:val="32"/>
          <w:szCs w:val="32"/>
          <w:highlight w:val="none"/>
        </w:rPr>
      </w:pPr>
    </w:p>
    <w:p w14:paraId="4BD60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根据《中华人民共和国政府信息公开条例》规定及省政府办公厅、枣庄市政府办公室、滕州市政府办公室相关通知要求，结合滕州市卫生健康局2025年工作实际，编制本政府信息公开年度报告并向社会公布。本报告所列数据统计期限为2025年1月1日至12月31日。</w:t>
      </w:r>
    </w:p>
    <w:p w14:paraId="7E734C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both"/>
        <w:textAlignment w:val="auto"/>
        <w:rPr>
          <w:rFonts w:hint="eastAsia" w:ascii="黑体" w:hAnsi="宋体" w:eastAsia="黑体" w:cs="黑体"/>
          <w:color w:val="auto"/>
          <w:sz w:val="31"/>
          <w:szCs w:val="31"/>
          <w:highlight w:val="none"/>
        </w:rPr>
      </w:pPr>
      <w:r>
        <w:rPr>
          <w:rFonts w:hint="eastAsia" w:ascii="黑体" w:hAnsi="宋体" w:eastAsia="黑体" w:cs="黑体"/>
          <w:color w:val="auto"/>
          <w:sz w:val="31"/>
          <w:szCs w:val="31"/>
          <w:highlight w:val="none"/>
        </w:rPr>
        <w:t>一、总体情况</w:t>
      </w:r>
    </w:p>
    <w:p w14:paraId="7619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滕州市卫生健康局深入贯彻落实上级关于政务公开工作的最新部署要求，以提升公开质量、优化服务效能为核心，持续健全工作体系，创新公开模式，推动政务公开与卫生健康业务深度融合，实现公开工作提质增效。2025年全年公开政府信息</w:t>
      </w:r>
      <w:r>
        <w:rPr>
          <w:rFonts w:hint="eastAsia" w:ascii="仿宋_GB2312" w:hAnsi="仿宋_GB2312" w:eastAsia="仿宋_GB2312" w:cs="仿宋_GB2312"/>
          <w:color w:val="auto"/>
          <w:kern w:val="0"/>
          <w:sz w:val="32"/>
          <w:szCs w:val="32"/>
          <w:highlight w:val="none"/>
          <w:lang w:val="en-US" w:eastAsia="zh-CN" w:bidi="ar"/>
        </w:rPr>
        <w:t>1172</w:t>
      </w:r>
      <w:r>
        <w:rPr>
          <w:rFonts w:hint="eastAsia" w:ascii="仿宋_GB2312" w:hAnsi="仿宋_GB2312" w:eastAsia="仿宋_GB2312" w:cs="仿宋_GB2312"/>
          <w:color w:val="auto"/>
          <w:kern w:val="0"/>
          <w:sz w:val="32"/>
          <w:szCs w:val="32"/>
          <w:lang w:val="en-US" w:eastAsia="zh-CN" w:bidi="ar"/>
        </w:rPr>
        <w:t>条，其中通过滕州市人民政府官网卫生健康局栏目发布</w:t>
      </w:r>
      <w:r>
        <w:rPr>
          <w:rFonts w:hint="eastAsia" w:ascii="仿宋_GB2312" w:hAnsi="仿宋_GB2312" w:eastAsia="仿宋_GB2312" w:cs="仿宋_GB2312"/>
          <w:color w:val="auto"/>
          <w:kern w:val="0"/>
          <w:sz w:val="32"/>
          <w:szCs w:val="32"/>
          <w:highlight w:val="none"/>
          <w:lang w:val="en-US" w:eastAsia="zh-CN" w:bidi="ar"/>
        </w:rPr>
        <w:t>102</w:t>
      </w:r>
      <w:r>
        <w:rPr>
          <w:rFonts w:hint="eastAsia" w:ascii="仿宋_GB2312" w:hAnsi="仿宋_GB2312" w:eastAsia="仿宋_GB2312" w:cs="仿宋_GB2312"/>
          <w:color w:val="auto"/>
          <w:kern w:val="0"/>
          <w:sz w:val="32"/>
          <w:szCs w:val="32"/>
          <w:lang w:val="en-US" w:eastAsia="zh-CN" w:bidi="ar"/>
        </w:rPr>
        <w:t>条，通过信息公开网站公开</w:t>
      </w:r>
      <w:r>
        <w:rPr>
          <w:rFonts w:hint="eastAsia" w:ascii="仿宋_GB2312" w:hAnsi="仿宋_GB2312" w:eastAsia="仿宋_GB2312" w:cs="仿宋_GB2312"/>
          <w:color w:val="auto"/>
          <w:kern w:val="0"/>
          <w:sz w:val="32"/>
          <w:szCs w:val="32"/>
          <w:highlight w:val="none"/>
          <w:lang w:val="en-US" w:eastAsia="zh-CN" w:bidi="ar"/>
        </w:rPr>
        <w:t>174</w:t>
      </w:r>
      <w:r>
        <w:rPr>
          <w:rFonts w:hint="eastAsia" w:ascii="仿宋_GB2312" w:hAnsi="仿宋_GB2312" w:eastAsia="仿宋_GB2312" w:cs="仿宋_GB2312"/>
          <w:color w:val="auto"/>
          <w:kern w:val="0"/>
          <w:sz w:val="32"/>
          <w:szCs w:val="32"/>
          <w:lang w:val="en-US" w:eastAsia="zh-CN" w:bidi="ar"/>
        </w:rPr>
        <w:t>条，依托“滕州卫生健康”微信公众号推送信息</w:t>
      </w:r>
      <w:r>
        <w:rPr>
          <w:rFonts w:hint="eastAsia" w:ascii="仿宋_GB2312" w:hAnsi="仿宋_GB2312" w:eastAsia="仿宋_GB2312" w:cs="仿宋_GB2312"/>
          <w:color w:val="auto"/>
          <w:kern w:val="0"/>
          <w:sz w:val="32"/>
          <w:szCs w:val="32"/>
          <w:highlight w:val="none"/>
          <w:lang w:val="en-US" w:eastAsia="zh-CN" w:bidi="ar"/>
        </w:rPr>
        <w:t>896</w:t>
      </w:r>
      <w:r>
        <w:rPr>
          <w:rFonts w:hint="eastAsia" w:ascii="仿宋_GB2312" w:hAnsi="仿宋_GB2312" w:eastAsia="仿宋_GB2312" w:cs="仿宋_GB2312"/>
          <w:color w:val="auto"/>
          <w:kern w:val="0"/>
          <w:sz w:val="32"/>
          <w:szCs w:val="32"/>
          <w:lang w:val="en-US" w:eastAsia="zh-CN" w:bidi="ar"/>
        </w:rPr>
        <w:t>条，其余信息通过媒体合作、线下活动等渠道公开。</w:t>
      </w:r>
    </w:p>
    <w:p w14:paraId="60B36D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28575</wp:posOffset>
            </wp:positionH>
            <wp:positionV relativeFrom="paragraph">
              <wp:posOffset>41275</wp:posOffset>
            </wp:positionV>
            <wp:extent cx="5184775" cy="2440305"/>
            <wp:effectExtent l="4445" t="4445" r="11430" b="12700"/>
            <wp:wrapNone/>
            <wp:docPr id="3" name="图表 3" descr="7b0a202020202263686172745265734964223a20223230323931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6C774B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p>
    <w:p w14:paraId="3AE23D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14:paraId="28F0EC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14:paraId="18A1B95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14:paraId="500D460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pacing w:val="0"/>
          <w:sz w:val="31"/>
          <w:szCs w:val="31"/>
          <w:highlight w:val="none"/>
          <w:shd w:val="clear" w:color="auto" w:fill="FFFFFF"/>
          <w:lang w:eastAsia="zh-CN"/>
        </w:rPr>
        <w:drawing>
          <wp:anchor distT="0" distB="0" distL="114300" distR="114300" simplePos="0" relativeHeight="251661312" behindDoc="1" locked="0" layoutInCell="1" allowOverlap="1">
            <wp:simplePos x="0" y="0"/>
            <wp:positionH relativeFrom="column">
              <wp:posOffset>52070</wp:posOffset>
            </wp:positionH>
            <wp:positionV relativeFrom="paragraph">
              <wp:posOffset>102235</wp:posOffset>
            </wp:positionV>
            <wp:extent cx="5256530" cy="2988310"/>
            <wp:effectExtent l="5080" t="4445" r="15240" b="17145"/>
            <wp:wrapNone/>
            <wp:docPr id="4" name="图表 4" descr="7b0a202020202263686172745265734964223a20223230323931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E8701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lang w:eastAsia="zh-CN"/>
        </w:rPr>
      </w:pPr>
    </w:p>
    <w:p w14:paraId="766872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54ED33D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5253507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131342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2357A9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558C36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楷体_GB2312" w:hAnsi="楷体_GB2312" w:eastAsia="楷体_GB2312" w:cs="楷体_GB2312"/>
          <w:color w:val="auto"/>
          <w:spacing w:val="0"/>
          <w:sz w:val="31"/>
          <w:szCs w:val="31"/>
          <w:highlight w:val="none"/>
          <w:shd w:val="clear" w:color="auto" w:fill="FFFFFF"/>
          <w:lang w:eastAsia="zh-CN"/>
        </w:rPr>
      </w:pPr>
    </w:p>
    <w:p w14:paraId="7D57A0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（一）深化主动公开实效</w:t>
      </w:r>
    </w:p>
    <w:p w14:paraId="1479C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聚焦卫生健康核心业务与公众高频需求，进一步规范信息发布流程，提升公开信息的精准性和实用性。全面公开局机关职能职责、领导分工、机构设置、及民生信息等基础信息，确保公众清晰知晓办事依据与流程。针对医疗服务、公共卫生、健康科普等社会关注热点，建立热点信息快速响应机制，通过专题专栏等形式及时发布权威信息。稳步推进医疗卫生机构等公共企事业单位信息公开，细化公开内容分类，优化公开目录设置，切实提升医疗服务透明度与群众就医体验。</w:t>
      </w:r>
    </w:p>
    <w:p w14:paraId="35C9CC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（二）规范依申请公开办理</w:t>
      </w:r>
    </w:p>
    <w:p w14:paraId="025A9E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高度重视依申请公开工作，完善“申请接收—审核研判—办理答复—归档备查”全流程工作机制，明确专人负责申请接收与跟踪督办，在官方平台清晰公布咨询电话、电子邮箱、办理地址等申请渠道，为申请人提供便捷指引。2025年，</w:t>
      </w:r>
      <w:r>
        <w:rPr>
          <w:rFonts w:hint="eastAsia" w:ascii="仿宋_GB2312" w:eastAsia="仿宋_GB2312"/>
          <w:color w:val="000000" w:themeColor="text1"/>
          <w:sz w:val="32"/>
          <w:szCs w:val="32"/>
          <w:highlight w:val="none"/>
          <w:lang w:val="en-US" w:eastAsia="zh-CN"/>
          <w14:textFill>
            <w14:solidFill>
              <w14:schemeClr w14:val="tx1"/>
            </w14:solidFill>
          </w14:textFill>
        </w:rPr>
        <w:t>新收</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政府信息公开申请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eastAsia="仿宋_GB2312"/>
          <w:color w:val="000000" w:themeColor="text1"/>
          <w:sz w:val="32"/>
          <w:szCs w:val="32"/>
          <w:highlight w:val="none"/>
          <w:lang w:val="en-US" w:eastAsia="zh-CN"/>
          <w14:textFill>
            <w14:solidFill>
              <w14:schemeClr w14:val="tx1"/>
            </w14:solidFill>
          </w14:textFill>
        </w:rPr>
        <w:t>件，</w:t>
      </w:r>
      <w:r>
        <w:rPr>
          <w:rFonts w:hint="eastAsia" w:ascii="仿宋_GB2312" w:hAnsi="仿宋_GB2312" w:eastAsia="仿宋_GB2312" w:cs="仿宋_GB2312"/>
          <w:color w:val="000000" w:themeColor="text1"/>
          <w:sz w:val="32"/>
          <w:szCs w:val="32"/>
          <w:highlight w:val="none"/>
          <w14:textFill>
            <w14:solidFill>
              <w14:schemeClr w14:val="tx1"/>
            </w14:solidFill>
          </w14:textFill>
        </w:rPr>
        <w:t>上年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结转3件，总计10件。其中，自然人申请10件，商业企业0件。办理总体数量与上年相比增幅明显。从申请答复看，予以公开5件；不予公开3件；转发下一年办理2件。</w:t>
      </w:r>
      <w:r>
        <w:rPr>
          <w:rFonts w:hint="eastAsia" w:ascii="仿宋_GB2312" w:hAnsi="仿宋_GB2312" w:eastAsia="仿宋_GB2312" w:cs="仿宋_GB2312"/>
          <w:b w:val="0"/>
          <w:bCs w:val="0"/>
          <w:color w:val="auto"/>
          <w:sz w:val="32"/>
          <w:szCs w:val="32"/>
          <w:lang w:val="en-US" w:eastAsia="zh-CN"/>
        </w:rPr>
        <w:t>本年度发生因政府信息公开引发的行政复议案件1件，经法定程序审理，复议机关维持原行政行为；发生行政诉讼案件1件，截至本报告编制完成，案件进入‌庭前准备阶段。</w:t>
      </w:r>
    </w:p>
    <w:p w14:paraId="64D47F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（三）强化政府信息管理</w:t>
      </w:r>
    </w:p>
    <w:p w14:paraId="72FDB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持续优化政府信息公开目录体系，结合年度工作重点动态调整公开内容，建立健全信息生成、审核、发布、更新、归档的全生命周期管理机制。加强政策文件与公开信息的关联性管理，确保公开信息与现行政策保持一致。严格落实保密审查“一岗双责”，细化审查流程，明确审查标准，对拟公开信息实行“多级审核、层层把关”，坚决杜绝涉密信息泄露，同时保障合法公开信息及时准确发布。</w:t>
      </w:r>
    </w:p>
    <w:p w14:paraId="5EB904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（四）优化公开平台建设</w:t>
      </w:r>
    </w:p>
    <w:p w14:paraId="1EA41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一是健全制度保障。修订完善政府信息公开工作细则，进一步明确各科室职责分工，规范信息发布审核、平台维护、互动回应等工作标准，推动公开工作制度化、规范化运行。二是拓宽公开渠道。优化栏目设置；深化“滕州卫生健康”微信公众号服务效能、持续用好市长热线、畅通公众沟通渠道。三是深化媒体合作，2025年全年，共有2122篇稿件在《人口与健康》《健康中国观察》《健康报》《中国家庭报》《新华网》《学习强国》《中国新闻网》《人口健康报》《大众网》等国家和省、市级主流媒体、杂志以及中央、省市级新媒体刊发。</w:t>
      </w:r>
      <w:r>
        <w:rPr>
          <w:rFonts w:hint="eastAsia" w:ascii="仿宋_GB2312" w:hAnsi="仿宋_GB2312" w:eastAsia="仿宋_GB2312" w:cs="仿宋_GB2312"/>
          <w:color w:val="auto"/>
          <w:spacing w:val="0"/>
          <w:sz w:val="32"/>
          <w:szCs w:val="32"/>
          <w:lang w:val="en-US" w:eastAsia="zh-CN"/>
        </w:rPr>
        <w:t>其中，国家级媒体刊发26篇，省级媒体刊发1883篇</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kern w:val="0"/>
          <w:sz w:val="32"/>
          <w:szCs w:val="32"/>
          <w:lang w:val="en-US" w:eastAsia="zh-CN" w:bidi="ar"/>
        </w:rPr>
        <w:t>邀请医疗专家开展健康科普、政策解读直播活动，扩大卫生健康工作宣传覆盖面与影响力。</w:t>
      </w:r>
    </w:p>
    <w:p w14:paraId="07EE3F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（五）夯实监督保障基础</w:t>
      </w:r>
    </w:p>
    <w:p w14:paraId="312A2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黑体"/>
          <w:color w:val="auto"/>
          <w:sz w:val="31"/>
          <w:szCs w:val="31"/>
          <w:highlight w:val="none"/>
        </w:rPr>
      </w:pPr>
      <w:r>
        <w:rPr>
          <w:rFonts w:hint="eastAsia" w:ascii="仿宋_GB2312" w:hAnsi="仿宋_GB2312" w:eastAsia="仿宋_GB2312" w:cs="仿宋_GB2312"/>
          <w:color w:val="auto"/>
          <w:kern w:val="0"/>
          <w:sz w:val="32"/>
          <w:szCs w:val="32"/>
          <w:lang w:val="en-US" w:eastAsia="zh-CN" w:bidi="ar"/>
        </w:rPr>
        <w:t>调整充实政务公开工作领导小组，由主要负责同志担任组长，分管领导具体抓落实，各科室负责人为成员，形成 “统一领导、分工负责、协同推进” 的工作格局。建立定期通报机制，对公开不及时、内容不规范等问题督促限期整改。加强业务培训，组织开展政务公开专题培训4次，提升工作人员专业素养与实操能力。2025年未发生因信息公开审查不当引发的失泄密事件，未出现责任追究情况。</w:t>
      </w:r>
    </w:p>
    <w:p w14:paraId="2EB3E0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20" w:firstLineChars="200"/>
        <w:jc w:val="both"/>
        <w:textAlignment w:val="auto"/>
        <w:rPr>
          <w:rFonts w:hint="eastAsia" w:ascii="黑体" w:hAnsi="宋体" w:eastAsia="黑体" w:cs="黑体"/>
          <w:color w:val="auto"/>
          <w:sz w:val="31"/>
          <w:szCs w:val="31"/>
          <w:highlight w:val="none"/>
        </w:rPr>
      </w:pPr>
      <w:r>
        <w:rPr>
          <w:rFonts w:hint="eastAsia" w:ascii="黑体" w:hAnsi="宋体" w:eastAsia="黑体" w:cs="黑体"/>
          <w:color w:val="auto"/>
          <w:sz w:val="31"/>
          <w:szCs w:val="31"/>
          <w:highlight w:val="none"/>
        </w:rPr>
        <w:t>二、 主动公开政府信息情况统计表</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6E76396C">
        <w:tblPrEx>
          <w:tblCellMar>
            <w:top w:w="0" w:type="dxa"/>
            <w:left w:w="108" w:type="dxa"/>
            <w:bottom w:w="0" w:type="dxa"/>
            <w:right w:w="108" w:type="dxa"/>
          </w:tblCellMar>
        </w:tblPrEx>
        <w:trPr>
          <w:trHeight w:val="923"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60BFD6B">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第二十条第（一）项</w:t>
            </w:r>
          </w:p>
        </w:tc>
      </w:tr>
      <w:tr w14:paraId="69B4A3B6">
        <w:tblPrEx>
          <w:tblCellMar>
            <w:top w:w="0" w:type="dxa"/>
            <w:left w:w="108" w:type="dxa"/>
            <w:bottom w:w="0" w:type="dxa"/>
            <w:right w:w="108" w:type="dxa"/>
          </w:tblCellMar>
        </w:tblPrEx>
        <w:trPr>
          <w:trHeight w:val="615" w:hRule="atLeast"/>
        </w:trPr>
        <w:tc>
          <w:tcPr>
            <w:tcW w:w="2206" w:type="dxa"/>
            <w:tcBorders>
              <w:top w:val="nil"/>
              <w:left w:val="single" w:color="auto" w:sz="8" w:space="0"/>
              <w:bottom w:val="single" w:color="auto" w:sz="8" w:space="0"/>
              <w:right w:val="single" w:color="auto" w:sz="8" w:space="0"/>
            </w:tcBorders>
            <w:noWrap w:val="0"/>
            <w:vAlign w:val="center"/>
          </w:tcPr>
          <w:p w14:paraId="7FE264C1">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2206" w:type="dxa"/>
            <w:tcBorders>
              <w:top w:val="nil"/>
              <w:left w:val="nil"/>
              <w:bottom w:val="single" w:color="auto" w:sz="8" w:space="0"/>
              <w:right w:val="single" w:color="auto" w:sz="8" w:space="0"/>
            </w:tcBorders>
            <w:noWrap w:val="0"/>
            <w:vAlign w:val="center"/>
          </w:tcPr>
          <w:p w14:paraId="4BB26AD1">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本年制发件数</w:t>
            </w:r>
          </w:p>
        </w:tc>
        <w:tc>
          <w:tcPr>
            <w:tcW w:w="2206" w:type="dxa"/>
            <w:tcBorders>
              <w:top w:val="nil"/>
              <w:left w:val="nil"/>
              <w:bottom w:val="single" w:color="auto" w:sz="8" w:space="0"/>
              <w:right w:val="single" w:color="auto" w:sz="8" w:space="0"/>
            </w:tcBorders>
            <w:noWrap w:val="0"/>
            <w:vAlign w:val="center"/>
          </w:tcPr>
          <w:p w14:paraId="5B3854B1">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本年废止件数</w:t>
            </w:r>
          </w:p>
        </w:tc>
        <w:tc>
          <w:tcPr>
            <w:tcW w:w="2206" w:type="dxa"/>
            <w:tcBorders>
              <w:top w:val="nil"/>
              <w:left w:val="nil"/>
              <w:bottom w:val="single" w:color="auto" w:sz="8" w:space="0"/>
              <w:right w:val="single" w:color="auto" w:sz="8" w:space="0"/>
            </w:tcBorders>
            <w:noWrap w:val="0"/>
            <w:vAlign w:val="center"/>
          </w:tcPr>
          <w:p w14:paraId="10988CF6">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现行有效件数</w:t>
            </w:r>
          </w:p>
        </w:tc>
      </w:tr>
      <w:tr w14:paraId="169C13F3">
        <w:tblPrEx>
          <w:tblCellMar>
            <w:top w:w="0" w:type="dxa"/>
            <w:left w:w="108" w:type="dxa"/>
            <w:bottom w:w="0" w:type="dxa"/>
            <w:right w:w="108" w:type="dxa"/>
          </w:tblCellMar>
        </w:tblPrEx>
        <w:trPr>
          <w:trHeight w:val="376" w:hRule="atLeast"/>
        </w:trPr>
        <w:tc>
          <w:tcPr>
            <w:tcW w:w="2206" w:type="dxa"/>
            <w:tcBorders>
              <w:top w:val="nil"/>
              <w:left w:val="single" w:color="auto" w:sz="8" w:space="0"/>
              <w:bottom w:val="single" w:color="auto" w:sz="8" w:space="0"/>
              <w:right w:val="single" w:color="auto" w:sz="8" w:space="0"/>
            </w:tcBorders>
            <w:noWrap w:val="0"/>
            <w:vAlign w:val="center"/>
          </w:tcPr>
          <w:p w14:paraId="04D8306E">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规章</w:t>
            </w:r>
          </w:p>
        </w:tc>
        <w:tc>
          <w:tcPr>
            <w:tcW w:w="2206" w:type="dxa"/>
            <w:tcBorders>
              <w:top w:val="nil"/>
              <w:left w:val="nil"/>
              <w:bottom w:val="single" w:color="auto" w:sz="8" w:space="0"/>
              <w:right w:val="single" w:color="auto" w:sz="8" w:space="0"/>
            </w:tcBorders>
            <w:noWrap w:val="0"/>
            <w:vAlign w:val="center"/>
          </w:tcPr>
          <w:p w14:paraId="6361AB2B">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26B641E3">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47E404E5">
            <w:pPr>
              <w:widowControl/>
              <w:jc w:val="both"/>
              <w:rPr>
                <w:rFonts w:ascii="仿宋_GB2312" w:hAnsi="Calibri" w:eastAsia="仿宋_GB2312" w:cs="Calibri"/>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r>
      <w:tr w14:paraId="061099FD">
        <w:tblPrEx>
          <w:tblCellMar>
            <w:top w:w="0" w:type="dxa"/>
            <w:left w:w="108" w:type="dxa"/>
            <w:bottom w:w="0" w:type="dxa"/>
            <w:right w:w="108" w:type="dxa"/>
          </w:tblCellMar>
        </w:tblPrEx>
        <w:trPr>
          <w:trHeight w:val="483" w:hRule="atLeast"/>
        </w:trPr>
        <w:tc>
          <w:tcPr>
            <w:tcW w:w="2206" w:type="dxa"/>
            <w:tcBorders>
              <w:top w:val="nil"/>
              <w:left w:val="single" w:color="auto" w:sz="8" w:space="0"/>
              <w:bottom w:val="single" w:color="auto" w:sz="8" w:space="0"/>
              <w:right w:val="single" w:color="auto" w:sz="8" w:space="0"/>
            </w:tcBorders>
            <w:noWrap w:val="0"/>
            <w:vAlign w:val="center"/>
          </w:tcPr>
          <w:p w14:paraId="350E57D5">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行政规范性文件</w:t>
            </w:r>
          </w:p>
        </w:tc>
        <w:tc>
          <w:tcPr>
            <w:tcW w:w="2206" w:type="dxa"/>
            <w:tcBorders>
              <w:top w:val="nil"/>
              <w:left w:val="nil"/>
              <w:bottom w:val="single" w:color="auto" w:sz="8" w:space="0"/>
              <w:right w:val="single" w:color="auto" w:sz="8" w:space="0"/>
            </w:tcBorders>
            <w:noWrap w:val="0"/>
            <w:vAlign w:val="center"/>
          </w:tcPr>
          <w:p w14:paraId="75B97397">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47D8B4DF">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37464572">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7</w:t>
            </w:r>
          </w:p>
        </w:tc>
      </w:tr>
      <w:tr w14:paraId="2700876C">
        <w:tblPrEx>
          <w:tblCellMar>
            <w:top w:w="0" w:type="dxa"/>
            <w:left w:w="108" w:type="dxa"/>
            <w:bottom w:w="0" w:type="dxa"/>
            <w:right w:w="108" w:type="dxa"/>
          </w:tblCellMar>
        </w:tblPrEx>
        <w:trPr>
          <w:trHeight w:val="728"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5DC8EB1">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第二十条第（五）项</w:t>
            </w:r>
          </w:p>
        </w:tc>
      </w:tr>
      <w:tr w14:paraId="0F74DBB9">
        <w:tblPrEx>
          <w:tblCellMar>
            <w:top w:w="0" w:type="dxa"/>
            <w:left w:w="108" w:type="dxa"/>
            <w:bottom w:w="0" w:type="dxa"/>
            <w:right w:w="108" w:type="dxa"/>
          </w:tblCellMar>
        </w:tblPrEx>
        <w:trPr>
          <w:trHeight w:val="608" w:hRule="atLeast"/>
        </w:trPr>
        <w:tc>
          <w:tcPr>
            <w:tcW w:w="2206" w:type="dxa"/>
            <w:tcBorders>
              <w:top w:val="nil"/>
              <w:left w:val="single" w:color="auto" w:sz="8" w:space="0"/>
              <w:bottom w:val="single" w:color="auto" w:sz="8" w:space="0"/>
              <w:right w:val="single" w:color="auto" w:sz="8" w:space="0"/>
            </w:tcBorders>
            <w:noWrap w:val="0"/>
            <w:vAlign w:val="center"/>
          </w:tcPr>
          <w:p w14:paraId="5E619D4E">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B675693">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14:paraId="346A8DFB">
        <w:tblPrEx>
          <w:tblCellMar>
            <w:top w:w="0" w:type="dxa"/>
            <w:left w:w="108" w:type="dxa"/>
            <w:bottom w:w="0" w:type="dxa"/>
            <w:right w:w="108" w:type="dxa"/>
          </w:tblCellMar>
        </w:tblPrEx>
        <w:trPr>
          <w:trHeight w:val="580" w:hRule="atLeast"/>
        </w:trPr>
        <w:tc>
          <w:tcPr>
            <w:tcW w:w="2206" w:type="dxa"/>
            <w:tcBorders>
              <w:top w:val="nil"/>
              <w:left w:val="single" w:color="auto" w:sz="8" w:space="0"/>
              <w:bottom w:val="single" w:color="auto" w:sz="8" w:space="0"/>
              <w:right w:val="single" w:color="auto" w:sz="8" w:space="0"/>
            </w:tcBorders>
            <w:noWrap w:val="0"/>
            <w:vAlign w:val="center"/>
          </w:tcPr>
          <w:p w14:paraId="6EEDB030">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05C2C4AB">
            <w:pPr>
              <w:widowControl/>
              <w:jc w:val="both"/>
              <w:rPr>
                <w:rFonts w:hint="eastAsia"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0</w:t>
            </w:r>
          </w:p>
        </w:tc>
      </w:tr>
      <w:tr w14:paraId="2821ADB0">
        <w:tblPrEx>
          <w:tblCellMar>
            <w:top w:w="0" w:type="dxa"/>
            <w:left w:w="108" w:type="dxa"/>
            <w:bottom w:w="0" w:type="dxa"/>
            <w:right w:w="108" w:type="dxa"/>
          </w:tblCellMar>
        </w:tblPrEx>
        <w:trPr>
          <w:trHeight w:val="568"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24E5EC4">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第二十条第（六）项</w:t>
            </w:r>
          </w:p>
        </w:tc>
      </w:tr>
      <w:tr w14:paraId="23423924">
        <w:tblPrEx>
          <w:tblCellMar>
            <w:top w:w="0" w:type="dxa"/>
            <w:left w:w="108" w:type="dxa"/>
            <w:bottom w:w="0" w:type="dxa"/>
            <w:right w:w="108" w:type="dxa"/>
          </w:tblCellMar>
        </w:tblPrEx>
        <w:trPr>
          <w:trHeight w:val="622" w:hRule="atLeast"/>
        </w:trPr>
        <w:tc>
          <w:tcPr>
            <w:tcW w:w="2206" w:type="dxa"/>
            <w:tcBorders>
              <w:top w:val="nil"/>
              <w:left w:val="single" w:color="auto" w:sz="8" w:space="0"/>
              <w:bottom w:val="single" w:color="auto" w:sz="8" w:space="0"/>
              <w:right w:val="single" w:color="auto" w:sz="8" w:space="0"/>
            </w:tcBorders>
            <w:noWrap w:val="0"/>
            <w:vAlign w:val="center"/>
          </w:tcPr>
          <w:p w14:paraId="793364CC">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649CBA1E">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14:paraId="3E363057">
        <w:tblPrEx>
          <w:tblCellMar>
            <w:top w:w="0" w:type="dxa"/>
            <w:left w:w="108" w:type="dxa"/>
            <w:bottom w:w="0" w:type="dxa"/>
            <w:right w:w="108" w:type="dxa"/>
          </w:tblCellMar>
        </w:tblPrEx>
        <w:trPr>
          <w:trHeight w:val="512" w:hRule="atLeast"/>
        </w:trPr>
        <w:tc>
          <w:tcPr>
            <w:tcW w:w="2206" w:type="dxa"/>
            <w:tcBorders>
              <w:top w:val="nil"/>
              <w:left w:val="single" w:color="auto" w:sz="8" w:space="0"/>
              <w:bottom w:val="single" w:color="auto" w:sz="8" w:space="0"/>
              <w:right w:val="single" w:color="auto" w:sz="8" w:space="0"/>
            </w:tcBorders>
            <w:noWrap w:val="0"/>
            <w:vAlign w:val="center"/>
          </w:tcPr>
          <w:p w14:paraId="388420BA">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0482C6FB">
            <w:pPr>
              <w:widowControl/>
              <w:jc w:val="both"/>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267</w:t>
            </w:r>
          </w:p>
        </w:tc>
      </w:tr>
      <w:tr w14:paraId="2BCA4053">
        <w:tblPrEx>
          <w:tblCellMar>
            <w:top w:w="0" w:type="dxa"/>
            <w:left w:w="108" w:type="dxa"/>
            <w:bottom w:w="0" w:type="dxa"/>
            <w:right w:w="108" w:type="dxa"/>
          </w:tblCellMar>
        </w:tblPrEx>
        <w:trPr>
          <w:trHeight w:val="458" w:hRule="atLeast"/>
        </w:trPr>
        <w:tc>
          <w:tcPr>
            <w:tcW w:w="2206" w:type="dxa"/>
            <w:tcBorders>
              <w:top w:val="nil"/>
              <w:left w:val="single" w:color="auto" w:sz="8" w:space="0"/>
              <w:bottom w:val="single" w:color="auto" w:sz="8" w:space="0"/>
              <w:right w:val="single" w:color="auto" w:sz="8" w:space="0"/>
            </w:tcBorders>
            <w:noWrap w:val="0"/>
            <w:vAlign w:val="center"/>
          </w:tcPr>
          <w:p w14:paraId="061919B0">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102F50E2">
            <w:pPr>
              <w:widowControl/>
              <w:jc w:val="both"/>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r w14:paraId="6A5EBE09">
        <w:tblPrEx>
          <w:tblCellMar>
            <w:top w:w="0" w:type="dxa"/>
            <w:left w:w="108" w:type="dxa"/>
            <w:bottom w:w="0" w:type="dxa"/>
            <w:right w:w="108" w:type="dxa"/>
          </w:tblCellMar>
        </w:tblPrEx>
        <w:trPr>
          <w:trHeight w:val="623"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3783D4B">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第二十条第（八）项</w:t>
            </w:r>
          </w:p>
        </w:tc>
      </w:tr>
      <w:tr w14:paraId="15054199">
        <w:tblPrEx>
          <w:tblCellMar>
            <w:top w:w="0" w:type="dxa"/>
            <w:left w:w="108" w:type="dxa"/>
            <w:bottom w:w="0" w:type="dxa"/>
            <w:right w:w="108" w:type="dxa"/>
          </w:tblCellMar>
        </w:tblPrEx>
        <w:trPr>
          <w:trHeight w:val="690" w:hRule="atLeast"/>
        </w:trPr>
        <w:tc>
          <w:tcPr>
            <w:tcW w:w="2206" w:type="dxa"/>
            <w:tcBorders>
              <w:top w:val="nil"/>
              <w:left w:val="single" w:color="auto" w:sz="8" w:space="0"/>
              <w:bottom w:val="single" w:color="auto" w:sz="8" w:space="0"/>
              <w:right w:val="single" w:color="auto" w:sz="8" w:space="0"/>
            </w:tcBorders>
            <w:noWrap w:val="0"/>
            <w:vAlign w:val="center"/>
          </w:tcPr>
          <w:p w14:paraId="1FE7917A">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0392B8B">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本年收费金额（单位：万元）</w:t>
            </w:r>
          </w:p>
        </w:tc>
      </w:tr>
      <w:tr w14:paraId="67CCC515">
        <w:tblPrEx>
          <w:tblCellMar>
            <w:top w:w="0" w:type="dxa"/>
            <w:left w:w="108" w:type="dxa"/>
            <w:bottom w:w="0" w:type="dxa"/>
            <w:right w:w="108" w:type="dxa"/>
          </w:tblCellMar>
        </w:tblPrEx>
        <w:trPr>
          <w:trHeight w:val="621" w:hRule="atLeast"/>
        </w:trPr>
        <w:tc>
          <w:tcPr>
            <w:tcW w:w="2206" w:type="dxa"/>
            <w:tcBorders>
              <w:top w:val="nil"/>
              <w:left w:val="single" w:color="auto" w:sz="8" w:space="0"/>
              <w:bottom w:val="single" w:color="auto" w:sz="8" w:space="0"/>
              <w:right w:val="single" w:color="auto" w:sz="8" w:space="0"/>
            </w:tcBorders>
            <w:noWrap w:val="0"/>
            <w:vAlign w:val="center"/>
          </w:tcPr>
          <w:p w14:paraId="55306DD3">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7618ECD7">
            <w:pPr>
              <w:widowControl/>
              <w:jc w:val="both"/>
              <w:rPr>
                <w:rFonts w:hint="eastAsia" w:ascii="仿宋_GB2312" w:hAnsi="Calibri" w:eastAsia="仿宋_GB2312" w:cs="Calibri"/>
                <w:color w:val="auto"/>
                <w:kern w:val="0"/>
                <w:szCs w:val="21"/>
                <w:highlight w:val="none"/>
                <w:lang w:eastAsia="zh-CN"/>
              </w:rPr>
            </w:pPr>
            <w:r>
              <w:rPr>
                <w:rFonts w:hint="eastAsia" w:ascii="仿宋_GB2312" w:eastAsia="仿宋_GB2312" w:cs="Calibri"/>
                <w:color w:val="auto"/>
                <w:kern w:val="0"/>
                <w:szCs w:val="21"/>
                <w:highlight w:val="none"/>
                <w:lang w:val="en-US" w:eastAsia="zh-CN"/>
              </w:rPr>
              <w:t>0</w:t>
            </w:r>
          </w:p>
        </w:tc>
      </w:tr>
    </w:tbl>
    <w:p w14:paraId="33FBA9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310" w:firstLineChars="100"/>
        <w:jc w:val="both"/>
        <w:textAlignment w:val="auto"/>
        <w:rPr>
          <w:rFonts w:hint="eastAsia" w:ascii="黑体" w:hAnsi="宋体" w:eastAsia="黑体" w:cs="黑体"/>
          <w:color w:val="auto"/>
          <w:sz w:val="31"/>
          <w:szCs w:val="31"/>
          <w:highlight w:val="none"/>
        </w:rPr>
      </w:pPr>
      <w:r>
        <w:rPr>
          <w:rFonts w:hint="eastAsia" w:ascii="黑体" w:hAnsi="宋体" w:eastAsia="黑体" w:cs="黑体"/>
          <w:color w:val="auto"/>
          <w:sz w:val="31"/>
          <w:szCs w:val="31"/>
          <w:highlight w:val="none"/>
        </w:rPr>
        <w:t>三、收到和处理政府信息公开申请情况统计表</w:t>
      </w:r>
    </w:p>
    <w:tbl>
      <w:tblPr>
        <w:tblStyle w:val="7"/>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18600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5E2D0FDC">
            <w:pPr>
              <w:widowControl/>
              <w:jc w:val="both"/>
              <w:rPr>
                <w:rFonts w:ascii="楷体_GB2312" w:hAnsi="黑体" w:eastAsia="楷体_GB2312"/>
                <w:color w:val="auto"/>
                <w:kern w:val="0"/>
                <w:szCs w:val="21"/>
                <w:highlight w:val="none"/>
              </w:rPr>
            </w:pPr>
            <w:r>
              <w:rPr>
                <w:rFonts w:hint="eastAsia" w:ascii="楷体_GB2312" w:hAnsi="黑体" w:eastAsia="楷体_GB2312"/>
                <w:color w:val="auto"/>
                <w:kern w:val="0"/>
                <w:szCs w:val="21"/>
                <w:highlight w:val="none"/>
              </w:rPr>
              <w:t>（本列数据的勾稽关系为：第一项加第二项之和，</w:t>
            </w:r>
          </w:p>
          <w:p w14:paraId="057D43C5">
            <w:pPr>
              <w:widowControl/>
              <w:jc w:val="both"/>
              <w:rPr>
                <w:rFonts w:ascii="仿宋_GB2312" w:hAnsi="Times New Roman" w:eastAsia="仿宋_GB2312"/>
                <w:color w:val="auto"/>
                <w:szCs w:val="21"/>
                <w:highlight w:val="none"/>
              </w:rPr>
            </w:pPr>
            <w:r>
              <w:rPr>
                <w:rFonts w:hint="eastAsia" w:ascii="楷体_GB2312" w:hAnsi="黑体" w:eastAsia="楷体_GB2312"/>
                <w:color w:val="auto"/>
                <w:kern w:val="0"/>
                <w:szCs w:val="21"/>
                <w:highlight w:val="none"/>
              </w:rPr>
              <w:t>等于第三项加第四项之和）</w:t>
            </w:r>
          </w:p>
        </w:tc>
        <w:tc>
          <w:tcPr>
            <w:tcW w:w="4448" w:type="dxa"/>
            <w:gridSpan w:val="10"/>
            <w:noWrap w:val="0"/>
            <w:tcMar>
              <w:left w:w="108" w:type="dxa"/>
              <w:right w:w="108" w:type="dxa"/>
            </w:tcMar>
            <w:vAlign w:val="center"/>
          </w:tcPr>
          <w:p w14:paraId="08205F5C">
            <w:pPr>
              <w:widowControl/>
              <w:spacing w:line="320" w:lineRule="exact"/>
              <w:jc w:val="both"/>
              <w:rPr>
                <w:rFonts w:ascii="黑体" w:hAnsi="黑体" w:eastAsia="黑体"/>
                <w:color w:val="auto"/>
                <w:szCs w:val="21"/>
                <w:highlight w:val="none"/>
              </w:rPr>
            </w:pPr>
            <w:r>
              <w:rPr>
                <w:rFonts w:hint="eastAsia" w:ascii="黑体" w:hAnsi="黑体" w:eastAsia="黑体"/>
                <w:color w:val="auto"/>
                <w:kern w:val="0"/>
                <w:szCs w:val="21"/>
                <w:highlight w:val="none"/>
              </w:rPr>
              <w:t>申请人情况</w:t>
            </w:r>
          </w:p>
        </w:tc>
      </w:tr>
      <w:tr w14:paraId="7573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E0A2F0D">
            <w:pPr>
              <w:jc w:val="both"/>
              <w:rPr>
                <w:rFonts w:ascii="仿宋_GB2312" w:hAnsi="Times New Roman" w:eastAsia="仿宋_GB2312"/>
                <w:color w:val="auto"/>
                <w:szCs w:val="21"/>
                <w:highlight w:val="none"/>
              </w:rPr>
            </w:pPr>
          </w:p>
        </w:tc>
        <w:tc>
          <w:tcPr>
            <w:tcW w:w="747" w:type="dxa"/>
            <w:vMerge w:val="restart"/>
            <w:noWrap w:val="0"/>
            <w:tcMar>
              <w:left w:w="108" w:type="dxa"/>
              <w:right w:w="108" w:type="dxa"/>
            </w:tcMar>
            <w:vAlign w:val="center"/>
          </w:tcPr>
          <w:p w14:paraId="132AFB93">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自然人</w:t>
            </w:r>
          </w:p>
        </w:tc>
        <w:tc>
          <w:tcPr>
            <w:tcW w:w="3000" w:type="dxa"/>
            <w:gridSpan w:val="7"/>
            <w:noWrap w:val="0"/>
            <w:tcMar>
              <w:left w:w="108" w:type="dxa"/>
              <w:right w:w="108" w:type="dxa"/>
            </w:tcMar>
            <w:vAlign w:val="center"/>
          </w:tcPr>
          <w:p w14:paraId="2B6F1307">
            <w:pPr>
              <w:widowControl/>
              <w:spacing w:line="320" w:lineRule="exact"/>
              <w:jc w:val="both"/>
              <w:rPr>
                <w:rFonts w:ascii="黑体" w:hAnsi="黑体" w:eastAsia="黑体"/>
                <w:color w:val="auto"/>
                <w:szCs w:val="21"/>
                <w:highlight w:val="none"/>
              </w:rPr>
            </w:pPr>
            <w:r>
              <w:rPr>
                <w:rFonts w:hint="eastAsia" w:ascii="黑体" w:hAnsi="黑体" w:eastAsia="黑体"/>
                <w:color w:val="auto"/>
                <w:kern w:val="0"/>
                <w:szCs w:val="21"/>
                <w:highlight w:val="none"/>
              </w:rPr>
              <w:t>法人或其他组织</w:t>
            </w:r>
          </w:p>
        </w:tc>
        <w:tc>
          <w:tcPr>
            <w:tcW w:w="701" w:type="dxa"/>
            <w:gridSpan w:val="2"/>
            <w:vMerge w:val="restart"/>
            <w:noWrap w:val="0"/>
            <w:tcMar>
              <w:left w:w="108" w:type="dxa"/>
              <w:right w:w="108" w:type="dxa"/>
            </w:tcMar>
            <w:vAlign w:val="center"/>
          </w:tcPr>
          <w:p w14:paraId="24B60DAC">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总计</w:t>
            </w:r>
          </w:p>
        </w:tc>
      </w:tr>
      <w:tr w14:paraId="2C137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5329922D">
            <w:pPr>
              <w:jc w:val="both"/>
              <w:rPr>
                <w:rFonts w:ascii="仿宋_GB2312" w:hAnsi="Times New Roman" w:eastAsia="仿宋_GB2312"/>
                <w:color w:val="auto"/>
                <w:szCs w:val="21"/>
                <w:highlight w:val="none"/>
              </w:rPr>
            </w:pPr>
          </w:p>
        </w:tc>
        <w:tc>
          <w:tcPr>
            <w:tcW w:w="747" w:type="dxa"/>
            <w:vMerge w:val="continue"/>
            <w:noWrap w:val="0"/>
            <w:tcMar>
              <w:left w:w="108" w:type="dxa"/>
              <w:right w:w="108" w:type="dxa"/>
            </w:tcMar>
            <w:vAlign w:val="center"/>
          </w:tcPr>
          <w:p w14:paraId="69F46F2B">
            <w:pPr>
              <w:jc w:val="both"/>
              <w:rPr>
                <w:rFonts w:ascii="黑体" w:hAnsi="黑体" w:eastAsia="黑体"/>
                <w:color w:val="auto"/>
                <w:szCs w:val="21"/>
                <w:highlight w:val="none"/>
              </w:rPr>
            </w:pPr>
          </w:p>
        </w:tc>
        <w:tc>
          <w:tcPr>
            <w:tcW w:w="540" w:type="dxa"/>
            <w:gridSpan w:val="2"/>
            <w:noWrap w:val="0"/>
            <w:tcMar>
              <w:left w:w="108" w:type="dxa"/>
              <w:right w:w="108" w:type="dxa"/>
            </w:tcMar>
            <w:vAlign w:val="center"/>
          </w:tcPr>
          <w:p w14:paraId="7D5F5691">
            <w:pPr>
              <w:widowControl/>
              <w:spacing w:line="320" w:lineRule="exact"/>
              <w:ind w:left="-106" w:leftChars="-51" w:right="-107" w:rightChars="-51" w:hanging="1"/>
              <w:jc w:val="both"/>
              <w:rPr>
                <w:rFonts w:ascii="黑体" w:hAnsi="黑体" w:eastAsia="黑体"/>
                <w:color w:val="auto"/>
                <w:szCs w:val="21"/>
                <w:highlight w:val="none"/>
              </w:rPr>
            </w:pPr>
            <w:r>
              <w:rPr>
                <w:rFonts w:hint="eastAsia" w:ascii="黑体" w:hAnsi="黑体" w:eastAsia="黑体"/>
                <w:color w:val="auto"/>
                <w:kern w:val="0"/>
                <w:szCs w:val="21"/>
                <w:highlight w:val="none"/>
              </w:rPr>
              <w:t>商业企业</w:t>
            </w:r>
          </w:p>
        </w:tc>
        <w:tc>
          <w:tcPr>
            <w:tcW w:w="540" w:type="dxa"/>
            <w:gridSpan w:val="2"/>
            <w:noWrap w:val="0"/>
            <w:tcMar>
              <w:left w:w="108" w:type="dxa"/>
              <w:right w:w="108" w:type="dxa"/>
            </w:tcMar>
            <w:vAlign w:val="center"/>
          </w:tcPr>
          <w:p w14:paraId="79B43F24">
            <w:pPr>
              <w:widowControl/>
              <w:spacing w:line="320" w:lineRule="exact"/>
              <w:ind w:left="-107" w:leftChars="-51" w:right="-107" w:rightChars="-51"/>
              <w:jc w:val="both"/>
              <w:rPr>
                <w:rFonts w:ascii="黑体" w:hAnsi="黑体" w:eastAsia="黑体"/>
                <w:color w:val="auto"/>
                <w:szCs w:val="21"/>
                <w:highlight w:val="none"/>
              </w:rPr>
            </w:pPr>
            <w:r>
              <w:rPr>
                <w:rFonts w:hint="eastAsia" w:ascii="黑体" w:hAnsi="黑体" w:eastAsia="黑体"/>
                <w:color w:val="auto"/>
                <w:kern w:val="0"/>
                <w:szCs w:val="21"/>
                <w:highlight w:val="none"/>
              </w:rPr>
              <w:t>科研机构</w:t>
            </w:r>
          </w:p>
        </w:tc>
        <w:tc>
          <w:tcPr>
            <w:tcW w:w="720" w:type="dxa"/>
            <w:noWrap w:val="0"/>
            <w:tcMar>
              <w:left w:w="108" w:type="dxa"/>
              <w:right w:w="108" w:type="dxa"/>
            </w:tcMar>
            <w:vAlign w:val="center"/>
          </w:tcPr>
          <w:p w14:paraId="1786D232">
            <w:pPr>
              <w:widowControl/>
              <w:spacing w:line="320" w:lineRule="exact"/>
              <w:ind w:left="-107" w:leftChars="-51" w:right="-107" w:rightChars="-51"/>
              <w:jc w:val="both"/>
              <w:rPr>
                <w:rFonts w:ascii="黑体" w:hAnsi="黑体" w:eastAsia="黑体"/>
                <w:color w:val="auto"/>
                <w:szCs w:val="21"/>
                <w:highlight w:val="none"/>
              </w:rPr>
            </w:pPr>
            <w:r>
              <w:rPr>
                <w:rFonts w:hint="eastAsia" w:ascii="黑体" w:hAnsi="黑体" w:eastAsia="黑体"/>
                <w:color w:val="auto"/>
                <w:kern w:val="0"/>
                <w:szCs w:val="21"/>
                <w:highlight w:val="none"/>
              </w:rPr>
              <w:t>社会公益组织</w:t>
            </w:r>
          </w:p>
        </w:tc>
        <w:tc>
          <w:tcPr>
            <w:tcW w:w="675" w:type="dxa"/>
            <w:noWrap w:val="0"/>
            <w:tcMar>
              <w:left w:w="108" w:type="dxa"/>
              <w:right w:w="108" w:type="dxa"/>
            </w:tcMar>
            <w:vAlign w:val="center"/>
          </w:tcPr>
          <w:p w14:paraId="4490784D">
            <w:pPr>
              <w:widowControl/>
              <w:spacing w:line="320" w:lineRule="exact"/>
              <w:ind w:left="-106" w:leftChars="-51" w:right="-107" w:rightChars="-51" w:hanging="1"/>
              <w:jc w:val="both"/>
              <w:rPr>
                <w:rFonts w:ascii="黑体" w:hAnsi="黑体" w:eastAsia="黑体"/>
                <w:color w:val="auto"/>
                <w:szCs w:val="21"/>
                <w:highlight w:val="none"/>
              </w:rPr>
            </w:pPr>
            <w:r>
              <w:rPr>
                <w:rFonts w:hint="eastAsia" w:ascii="黑体" w:hAnsi="黑体" w:eastAsia="黑体"/>
                <w:color w:val="auto"/>
                <w:kern w:val="0"/>
                <w:szCs w:val="21"/>
                <w:highlight w:val="none"/>
              </w:rPr>
              <w:t>法律服务机构</w:t>
            </w:r>
          </w:p>
        </w:tc>
        <w:tc>
          <w:tcPr>
            <w:tcW w:w="525" w:type="dxa"/>
            <w:noWrap w:val="0"/>
            <w:tcMar>
              <w:left w:w="108" w:type="dxa"/>
              <w:right w:w="108" w:type="dxa"/>
            </w:tcMar>
            <w:vAlign w:val="center"/>
          </w:tcPr>
          <w:p w14:paraId="3AEC4297">
            <w:pPr>
              <w:widowControl/>
              <w:spacing w:line="360" w:lineRule="exact"/>
              <w:ind w:left="-63" w:leftChars="-30" w:right="-134" w:rightChars="-64"/>
              <w:jc w:val="both"/>
              <w:rPr>
                <w:rFonts w:ascii="黑体" w:hAnsi="黑体" w:eastAsia="黑体"/>
                <w:color w:val="auto"/>
                <w:szCs w:val="21"/>
                <w:highlight w:val="none"/>
              </w:rPr>
            </w:pPr>
            <w:r>
              <w:rPr>
                <w:rFonts w:hint="eastAsia" w:ascii="黑体" w:hAnsi="黑体" w:eastAsia="黑体"/>
                <w:color w:val="auto"/>
                <w:kern w:val="0"/>
                <w:szCs w:val="21"/>
                <w:highlight w:val="none"/>
              </w:rPr>
              <w:t>其他</w:t>
            </w:r>
          </w:p>
        </w:tc>
        <w:tc>
          <w:tcPr>
            <w:tcW w:w="701" w:type="dxa"/>
            <w:gridSpan w:val="2"/>
            <w:vMerge w:val="continue"/>
            <w:noWrap w:val="0"/>
            <w:tcMar>
              <w:left w:w="108" w:type="dxa"/>
              <w:right w:w="108" w:type="dxa"/>
            </w:tcMar>
            <w:vAlign w:val="center"/>
          </w:tcPr>
          <w:p w14:paraId="402B5FFB">
            <w:pPr>
              <w:jc w:val="both"/>
              <w:rPr>
                <w:rFonts w:ascii="仿宋_GB2312" w:hAnsi="Times New Roman" w:eastAsia="仿宋_GB2312"/>
                <w:color w:val="auto"/>
                <w:szCs w:val="21"/>
                <w:highlight w:val="none"/>
              </w:rPr>
            </w:pPr>
          </w:p>
        </w:tc>
      </w:tr>
      <w:tr w14:paraId="686F8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EB8B985">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一、</w:t>
            </w:r>
            <w:bookmarkStart w:id="0" w:name="_Hlk66973412"/>
            <w:r>
              <w:rPr>
                <w:rFonts w:hint="eastAsia" w:ascii="黑体" w:hAnsi="黑体" w:eastAsia="黑体"/>
                <w:color w:val="auto"/>
                <w:kern w:val="0"/>
                <w:szCs w:val="21"/>
                <w:highlight w:val="none"/>
              </w:rPr>
              <w:t>本年新收政府信息公开申请数量</w:t>
            </w:r>
            <w:bookmarkEnd w:id="0"/>
          </w:p>
        </w:tc>
        <w:tc>
          <w:tcPr>
            <w:tcW w:w="747" w:type="dxa"/>
            <w:noWrap w:val="0"/>
            <w:tcMar>
              <w:left w:w="108" w:type="dxa"/>
              <w:right w:w="108" w:type="dxa"/>
            </w:tcMar>
            <w:vAlign w:val="center"/>
          </w:tcPr>
          <w:p w14:paraId="620D615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7</w:t>
            </w:r>
          </w:p>
        </w:tc>
        <w:tc>
          <w:tcPr>
            <w:tcW w:w="540" w:type="dxa"/>
            <w:gridSpan w:val="2"/>
            <w:noWrap w:val="0"/>
            <w:tcMar>
              <w:left w:w="108" w:type="dxa"/>
              <w:right w:w="108" w:type="dxa"/>
            </w:tcMar>
            <w:vAlign w:val="center"/>
          </w:tcPr>
          <w:p w14:paraId="34A569F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B38674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4DA39C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405248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306AA8E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391B665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7</w:t>
            </w:r>
          </w:p>
        </w:tc>
      </w:tr>
      <w:tr w14:paraId="26189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6D3C933">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二、上年结转政府信息公开申请数量</w:t>
            </w:r>
          </w:p>
        </w:tc>
        <w:tc>
          <w:tcPr>
            <w:tcW w:w="747" w:type="dxa"/>
            <w:noWrap w:val="0"/>
            <w:tcMar>
              <w:left w:w="108" w:type="dxa"/>
              <w:right w:w="108" w:type="dxa"/>
            </w:tcMar>
            <w:vAlign w:val="center"/>
          </w:tcPr>
          <w:p w14:paraId="2F41572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c>
          <w:tcPr>
            <w:tcW w:w="540" w:type="dxa"/>
            <w:gridSpan w:val="2"/>
            <w:noWrap w:val="0"/>
            <w:tcMar>
              <w:left w:w="108" w:type="dxa"/>
              <w:right w:w="108" w:type="dxa"/>
            </w:tcMar>
            <w:vAlign w:val="center"/>
          </w:tcPr>
          <w:p w14:paraId="57A9185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9BA22A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146638C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EAEA7B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14:paraId="293B70D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14:paraId="17FC851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r>
      <w:tr w14:paraId="3205E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7CB75B4B">
            <w:pPr>
              <w:widowControl/>
              <w:spacing w:after="180"/>
              <w:jc w:val="both"/>
              <w:rPr>
                <w:rFonts w:ascii="黑体" w:hAnsi="黑体" w:eastAsia="黑体"/>
                <w:color w:val="auto"/>
                <w:szCs w:val="21"/>
                <w:highlight w:val="none"/>
              </w:rPr>
            </w:pPr>
            <w:r>
              <w:rPr>
                <w:rFonts w:hint="eastAsia" w:ascii="黑体" w:hAnsi="黑体" w:eastAsia="黑体"/>
                <w:color w:val="auto"/>
                <w:kern w:val="0"/>
                <w:szCs w:val="21"/>
                <w:highlight w:val="none"/>
              </w:rPr>
              <w:t>三、本年度办理结果</w:t>
            </w:r>
          </w:p>
        </w:tc>
        <w:tc>
          <w:tcPr>
            <w:tcW w:w="4677" w:type="dxa"/>
            <w:gridSpan w:val="2"/>
            <w:noWrap w:val="0"/>
            <w:tcMar>
              <w:left w:w="108" w:type="dxa"/>
              <w:right w:w="108" w:type="dxa"/>
            </w:tcMar>
            <w:vAlign w:val="center"/>
          </w:tcPr>
          <w:p w14:paraId="3A5A5142">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（一）予以公开</w:t>
            </w:r>
          </w:p>
        </w:tc>
        <w:tc>
          <w:tcPr>
            <w:tcW w:w="752" w:type="dxa"/>
            <w:gridSpan w:val="2"/>
            <w:noWrap w:val="0"/>
            <w:tcMar>
              <w:left w:w="108" w:type="dxa"/>
              <w:right w:w="108" w:type="dxa"/>
            </w:tcMar>
            <w:vAlign w:val="center"/>
          </w:tcPr>
          <w:p w14:paraId="55FB836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5</w:t>
            </w:r>
          </w:p>
        </w:tc>
        <w:tc>
          <w:tcPr>
            <w:tcW w:w="540" w:type="dxa"/>
            <w:gridSpan w:val="2"/>
            <w:noWrap w:val="0"/>
            <w:tcMar>
              <w:left w:w="108" w:type="dxa"/>
              <w:right w:w="108" w:type="dxa"/>
            </w:tcMar>
            <w:vAlign w:val="center"/>
          </w:tcPr>
          <w:p w14:paraId="27EC76F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35" w:type="dxa"/>
            <w:noWrap w:val="0"/>
            <w:tcMar>
              <w:left w:w="108" w:type="dxa"/>
              <w:right w:w="108" w:type="dxa"/>
            </w:tcMar>
            <w:vAlign w:val="center"/>
          </w:tcPr>
          <w:p w14:paraId="05FB830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04FE6E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A649AB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14:paraId="571ECE8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14:paraId="4D504FC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5</w:t>
            </w:r>
          </w:p>
        </w:tc>
      </w:tr>
      <w:tr w14:paraId="519EC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2CB44D6">
            <w:pPr>
              <w:jc w:val="both"/>
              <w:rPr>
                <w:rFonts w:ascii="黑体" w:hAnsi="黑体" w:eastAsia="黑体"/>
                <w:color w:val="auto"/>
                <w:szCs w:val="21"/>
                <w:highlight w:val="none"/>
              </w:rPr>
            </w:pPr>
          </w:p>
        </w:tc>
        <w:tc>
          <w:tcPr>
            <w:tcW w:w="4677" w:type="dxa"/>
            <w:gridSpan w:val="2"/>
            <w:noWrap w:val="0"/>
            <w:tcMar>
              <w:left w:w="108" w:type="dxa"/>
              <w:right w:w="108" w:type="dxa"/>
            </w:tcMar>
            <w:vAlign w:val="center"/>
          </w:tcPr>
          <w:p w14:paraId="32122EF4">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（二）部分公开（</w:t>
            </w:r>
            <w:bookmarkStart w:id="1" w:name="_Hlk66973981"/>
            <w:r>
              <w:rPr>
                <w:rFonts w:hint="eastAsia" w:ascii="黑体" w:hAnsi="黑体" w:eastAsia="黑体"/>
                <w:color w:val="auto"/>
                <w:kern w:val="0"/>
                <w:szCs w:val="21"/>
                <w:highlight w:val="none"/>
              </w:rPr>
              <w:t>区分处理的，只计这一情形，不计其他情形</w:t>
            </w:r>
            <w:bookmarkEnd w:id="1"/>
            <w:r>
              <w:rPr>
                <w:rFonts w:hint="eastAsia" w:ascii="黑体" w:hAnsi="黑体" w:eastAsia="黑体"/>
                <w:color w:val="auto"/>
                <w:kern w:val="0"/>
                <w:szCs w:val="21"/>
                <w:highlight w:val="none"/>
              </w:rPr>
              <w:t>）</w:t>
            </w:r>
          </w:p>
        </w:tc>
        <w:tc>
          <w:tcPr>
            <w:tcW w:w="752" w:type="dxa"/>
            <w:gridSpan w:val="2"/>
            <w:noWrap w:val="0"/>
            <w:tcMar>
              <w:left w:w="108" w:type="dxa"/>
              <w:right w:w="108" w:type="dxa"/>
            </w:tcMar>
            <w:vAlign w:val="center"/>
          </w:tcPr>
          <w:p w14:paraId="7D0DD9C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2ACCDA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35" w:type="dxa"/>
            <w:noWrap w:val="0"/>
            <w:tcMar>
              <w:left w:w="108" w:type="dxa"/>
              <w:right w:w="108" w:type="dxa"/>
            </w:tcMar>
            <w:vAlign w:val="center"/>
          </w:tcPr>
          <w:p w14:paraId="366E53A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1F8D294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DA7D5A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14:paraId="6527639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14:paraId="4AB04E3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05746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D6606F3">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4AAABACF">
            <w:pPr>
              <w:keepNext w:val="0"/>
              <w:keepLines w:val="0"/>
              <w:pageBreakBefore w:val="0"/>
              <w:widowControl/>
              <w:kinsoku/>
              <w:wordWrap/>
              <w:overflowPunct/>
              <w:topLinePunct w:val="0"/>
              <w:autoSpaceDE/>
              <w:autoSpaceDN/>
              <w:bidi w:val="0"/>
              <w:adjustRightInd/>
              <w:snapToGrid/>
              <w:spacing w:line="240" w:lineRule="exact"/>
              <w:ind w:left="-107" w:leftChars="-51"/>
              <w:jc w:val="both"/>
              <w:textAlignment w:val="auto"/>
              <w:rPr>
                <w:rFonts w:ascii="黑体" w:hAnsi="黑体" w:eastAsia="黑体"/>
                <w:color w:val="auto"/>
                <w:szCs w:val="21"/>
                <w:highlight w:val="none"/>
              </w:rPr>
            </w:pPr>
            <w:r>
              <w:rPr>
                <w:rFonts w:hint="eastAsia" w:ascii="黑体" w:hAnsi="黑体" w:eastAsia="黑体"/>
                <w:color w:val="auto"/>
                <w:kern w:val="0"/>
                <w:szCs w:val="21"/>
                <w:highlight w:val="none"/>
              </w:rPr>
              <w:t>（三）不予公开</w:t>
            </w:r>
          </w:p>
        </w:tc>
        <w:tc>
          <w:tcPr>
            <w:tcW w:w="2976" w:type="dxa"/>
            <w:noWrap w:val="0"/>
            <w:tcMar>
              <w:left w:w="108" w:type="dxa"/>
              <w:right w:w="108" w:type="dxa"/>
            </w:tcMar>
            <w:vAlign w:val="center"/>
          </w:tcPr>
          <w:p w14:paraId="31C077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1.属于国家秘密</w:t>
            </w:r>
          </w:p>
        </w:tc>
        <w:tc>
          <w:tcPr>
            <w:tcW w:w="747" w:type="dxa"/>
            <w:noWrap w:val="0"/>
            <w:tcMar>
              <w:left w:w="108" w:type="dxa"/>
              <w:right w:w="108" w:type="dxa"/>
            </w:tcMar>
            <w:vAlign w:val="center"/>
          </w:tcPr>
          <w:p w14:paraId="3B13C87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1A5DCB4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EBE00F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1E1720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3B8A7C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2ED23D9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5324DF6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21EAF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9FC6BB7">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D7886B9">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1647DF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2" w:name="_Hlk66974104"/>
            <w:r>
              <w:rPr>
                <w:rFonts w:hint="eastAsia" w:ascii="仿宋_GB2312" w:hAnsi="黑体" w:eastAsia="仿宋_GB2312"/>
                <w:color w:val="auto"/>
                <w:kern w:val="0"/>
                <w:szCs w:val="21"/>
                <w:highlight w:val="none"/>
              </w:rPr>
              <w:t>其他法律行政法规禁止公开</w:t>
            </w:r>
            <w:bookmarkEnd w:id="2"/>
          </w:p>
        </w:tc>
        <w:tc>
          <w:tcPr>
            <w:tcW w:w="747" w:type="dxa"/>
            <w:noWrap w:val="0"/>
            <w:tcMar>
              <w:left w:w="108" w:type="dxa"/>
              <w:right w:w="108" w:type="dxa"/>
            </w:tcMar>
            <w:vAlign w:val="center"/>
          </w:tcPr>
          <w:p w14:paraId="51B41AF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90D0FD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69D1F8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3F8407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D54854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4E3723D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40C29CE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2F00D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761CFE">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6FF2D39">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A1DEC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3.危及“三安全一稳定”</w:t>
            </w:r>
          </w:p>
        </w:tc>
        <w:tc>
          <w:tcPr>
            <w:tcW w:w="747" w:type="dxa"/>
            <w:noWrap w:val="0"/>
            <w:tcMar>
              <w:left w:w="108" w:type="dxa"/>
              <w:right w:w="108" w:type="dxa"/>
            </w:tcMar>
            <w:vAlign w:val="center"/>
          </w:tcPr>
          <w:p w14:paraId="02C6326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0693B17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401814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80045E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57AF365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2F1F844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A32825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1D1E3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FB1DF67">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2A4C85F7">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50FC97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4.</w:t>
            </w:r>
            <w:bookmarkStart w:id="3" w:name="_Hlk66974290"/>
            <w:r>
              <w:rPr>
                <w:rFonts w:hint="eastAsia" w:ascii="仿宋_GB2312" w:hAnsi="黑体" w:eastAsia="仿宋_GB2312"/>
                <w:color w:val="auto"/>
                <w:kern w:val="0"/>
                <w:szCs w:val="21"/>
                <w:highlight w:val="none"/>
              </w:rPr>
              <w:t>保护第三方合法权益</w:t>
            </w:r>
            <w:bookmarkEnd w:id="3"/>
          </w:p>
        </w:tc>
        <w:tc>
          <w:tcPr>
            <w:tcW w:w="747" w:type="dxa"/>
            <w:noWrap w:val="0"/>
            <w:tcMar>
              <w:left w:w="108" w:type="dxa"/>
              <w:right w:w="108" w:type="dxa"/>
            </w:tcMar>
            <w:vAlign w:val="center"/>
          </w:tcPr>
          <w:p w14:paraId="3BF2951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09B2C5E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1D304CD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276E2F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75A16A8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6068E0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47FB9D2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B37C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D89BC2">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6B86CA31">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1EC96D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5.属于三类内部事务信息</w:t>
            </w:r>
          </w:p>
        </w:tc>
        <w:tc>
          <w:tcPr>
            <w:tcW w:w="747" w:type="dxa"/>
            <w:noWrap w:val="0"/>
            <w:tcMar>
              <w:left w:w="108" w:type="dxa"/>
              <w:right w:w="108" w:type="dxa"/>
            </w:tcMar>
            <w:vAlign w:val="center"/>
          </w:tcPr>
          <w:p w14:paraId="1CC41B1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84A874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225315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C82878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5F2B1B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10736AD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21C2161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7AC54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690C90">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2EDA3BF6">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2927D7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6.</w:t>
            </w:r>
            <w:bookmarkStart w:id="4" w:name="_Hlk66974555"/>
            <w:r>
              <w:rPr>
                <w:rFonts w:hint="eastAsia" w:ascii="仿宋_GB2312" w:hAnsi="黑体" w:eastAsia="仿宋_GB2312"/>
                <w:color w:val="auto"/>
                <w:kern w:val="0"/>
                <w:szCs w:val="21"/>
                <w:highlight w:val="none"/>
              </w:rPr>
              <w:t>属于四类过程性信息</w:t>
            </w:r>
            <w:bookmarkEnd w:id="4"/>
          </w:p>
        </w:tc>
        <w:tc>
          <w:tcPr>
            <w:tcW w:w="747" w:type="dxa"/>
            <w:noWrap w:val="0"/>
            <w:tcMar>
              <w:left w:w="108" w:type="dxa"/>
              <w:right w:w="108" w:type="dxa"/>
            </w:tcMar>
            <w:vAlign w:val="center"/>
          </w:tcPr>
          <w:p w14:paraId="1A3F77D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73A8D7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F802B9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78A1A9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A169BE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4282F75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6AF682A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5EC76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AD76AB">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3AB895C">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7FDE1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7.属于行政执法案卷</w:t>
            </w:r>
          </w:p>
        </w:tc>
        <w:tc>
          <w:tcPr>
            <w:tcW w:w="747" w:type="dxa"/>
            <w:noWrap w:val="0"/>
            <w:tcMar>
              <w:left w:w="108" w:type="dxa"/>
              <w:right w:w="108" w:type="dxa"/>
            </w:tcMar>
            <w:vAlign w:val="center"/>
          </w:tcPr>
          <w:p w14:paraId="607AF28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56ECAB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FB8E22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90FCB1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325F1AD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0243179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6C5E41E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06D51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A34B07D">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5836AC4">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51DD18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8.</w:t>
            </w:r>
            <w:bookmarkStart w:id="5" w:name="_Hlk66975211"/>
            <w:r>
              <w:rPr>
                <w:rFonts w:hint="eastAsia" w:ascii="仿宋_GB2312" w:hAnsi="黑体" w:eastAsia="仿宋_GB2312"/>
                <w:color w:val="auto"/>
                <w:kern w:val="0"/>
                <w:szCs w:val="21"/>
                <w:highlight w:val="none"/>
              </w:rPr>
              <w:t>属于行政查询事项</w:t>
            </w:r>
            <w:bookmarkEnd w:id="5"/>
          </w:p>
        </w:tc>
        <w:tc>
          <w:tcPr>
            <w:tcW w:w="747" w:type="dxa"/>
            <w:noWrap w:val="0"/>
            <w:tcMar>
              <w:left w:w="108" w:type="dxa"/>
              <w:right w:w="108" w:type="dxa"/>
            </w:tcMar>
            <w:vAlign w:val="center"/>
          </w:tcPr>
          <w:p w14:paraId="36618CF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68D47E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1BE590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6D57FF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4BC5C8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0CF2254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E51908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5687A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ED1EC4">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2F4E91E3">
            <w:pPr>
              <w:keepNext w:val="0"/>
              <w:keepLines w:val="0"/>
              <w:pageBreakBefore w:val="0"/>
              <w:widowControl/>
              <w:kinsoku/>
              <w:wordWrap/>
              <w:overflowPunct/>
              <w:topLinePunct w:val="0"/>
              <w:autoSpaceDE/>
              <w:autoSpaceDN/>
              <w:bidi w:val="0"/>
              <w:adjustRightInd/>
              <w:snapToGrid/>
              <w:spacing w:line="320" w:lineRule="exact"/>
              <w:ind w:left="-107" w:leftChars="-51"/>
              <w:jc w:val="both"/>
              <w:textAlignment w:val="auto"/>
              <w:rPr>
                <w:rFonts w:ascii="黑体" w:hAnsi="黑体" w:eastAsia="黑体"/>
                <w:color w:val="auto"/>
                <w:szCs w:val="21"/>
                <w:highlight w:val="none"/>
              </w:rPr>
            </w:pPr>
            <w:r>
              <w:rPr>
                <w:rFonts w:hint="eastAsia" w:ascii="黑体" w:hAnsi="黑体" w:eastAsia="黑体"/>
                <w:color w:val="auto"/>
                <w:kern w:val="0"/>
                <w:szCs w:val="21"/>
                <w:highlight w:val="none"/>
              </w:rPr>
              <w:t>（四）无法提供</w:t>
            </w:r>
          </w:p>
        </w:tc>
        <w:tc>
          <w:tcPr>
            <w:tcW w:w="2976" w:type="dxa"/>
            <w:noWrap w:val="0"/>
            <w:tcMar>
              <w:left w:w="108" w:type="dxa"/>
              <w:right w:w="108" w:type="dxa"/>
            </w:tcMar>
            <w:vAlign w:val="center"/>
          </w:tcPr>
          <w:p w14:paraId="5A9CA3AA">
            <w:pPr>
              <w:widowControl/>
              <w:spacing w:line="200" w:lineRule="exact"/>
              <w:jc w:val="both"/>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1.本机关不掌握相关政府信息</w:t>
            </w:r>
          </w:p>
        </w:tc>
        <w:tc>
          <w:tcPr>
            <w:tcW w:w="747" w:type="dxa"/>
            <w:noWrap w:val="0"/>
            <w:tcMar>
              <w:left w:w="108" w:type="dxa"/>
              <w:right w:w="108" w:type="dxa"/>
            </w:tcMar>
            <w:vAlign w:val="center"/>
          </w:tcPr>
          <w:p w14:paraId="484F169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c>
          <w:tcPr>
            <w:tcW w:w="540" w:type="dxa"/>
            <w:gridSpan w:val="2"/>
            <w:noWrap w:val="0"/>
            <w:tcMar>
              <w:left w:w="108" w:type="dxa"/>
              <w:right w:w="108" w:type="dxa"/>
            </w:tcMar>
            <w:vAlign w:val="center"/>
          </w:tcPr>
          <w:p w14:paraId="1B56A13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2CB5C9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4997E7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E0FCBD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449374C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1CCCDB0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r>
      <w:tr w14:paraId="4A87C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9AFA9F4">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54897573">
            <w:pPr>
              <w:spacing w:line="200" w:lineRule="exact"/>
              <w:ind w:left="-107" w:leftChars="-51"/>
              <w:jc w:val="both"/>
              <w:rPr>
                <w:rFonts w:ascii="黑体" w:hAnsi="黑体" w:eastAsia="黑体"/>
                <w:color w:val="auto"/>
                <w:szCs w:val="21"/>
                <w:highlight w:val="none"/>
              </w:rPr>
            </w:pPr>
          </w:p>
        </w:tc>
        <w:tc>
          <w:tcPr>
            <w:tcW w:w="2976" w:type="dxa"/>
            <w:noWrap w:val="0"/>
            <w:tcMar>
              <w:left w:w="108" w:type="dxa"/>
              <w:right w:w="108" w:type="dxa"/>
            </w:tcMar>
            <w:vAlign w:val="center"/>
          </w:tcPr>
          <w:p w14:paraId="00FE93BC">
            <w:pPr>
              <w:widowControl/>
              <w:spacing w:line="200" w:lineRule="exact"/>
              <w:jc w:val="both"/>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6" w:name="_Hlk66975392"/>
            <w:r>
              <w:rPr>
                <w:rFonts w:hint="eastAsia" w:ascii="仿宋_GB2312" w:hAnsi="黑体" w:eastAsia="仿宋_GB2312"/>
                <w:color w:val="auto"/>
                <w:kern w:val="0"/>
                <w:szCs w:val="21"/>
                <w:highlight w:val="none"/>
              </w:rPr>
              <w:t>没有现成信息需要另行制作</w:t>
            </w:r>
            <w:bookmarkEnd w:id="6"/>
          </w:p>
        </w:tc>
        <w:tc>
          <w:tcPr>
            <w:tcW w:w="747" w:type="dxa"/>
            <w:noWrap w:val="0"/>
            <w:tcMar>
              <w:left w:w="108" w:type="dxa"/>
              <w:right w:w="108" w:type="dxa"/>
            </w:tcMar>
            <w:vAlign w:val="center"/>
          </w:tcPr>
          <w:p w14:paraId="396F9AA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F62EF4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316F61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5ADDCB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57E8570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8FC31F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A7E7F4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5ED9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00CCA1">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51F148D0">
            <w:pPr>
              <w:spacing w:line="200" w:lineRule="exact"/>
              <w:ind w:left="-107" w:leftChars="-51"/>
              <w:jc w:val="both"/>
              <w:rPr>
                <w:rFonts w:ascii="黑体" w:hAnsi="黑体" w:eastAsia="黑体"/>
                <w:color w:val="auto"/>
                <w:szCs w:val="21"/>
                <w:highlight w:val="none"/>
              </w:rPr>
            </w:pPr>
          </w:p>
        </w:tc>
        <w:tc>
          <w:tcPr>
            <w:tcW w:w="2976" w:type="dxa"/>
            <w:noWrap w:val="0"/>
            <w:tcMar>
              <w:left w:w="108" w:type="dxa"/>
              <w:right w:w="108" w:type="dxa"/>
            </w:tcMar>
            <w:vAlign w:val="center"/>
          </w:tcPr>
          <w:p w14:paraId="54F7F16A">
            <w:pPr>
              <w:widowControl/>
              <w:spacing w:line="200" w:lineRule="exact"/>
              <w:jc w:val="both"/>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w:t>
            </w:r>
            <w:bookmarkStart w:id="7" w:name="_Hlk66975466"/>
            <w:r>
              <w:rPr>
                <w:rFonts w:hint="eastAsia" w:ascii="仿宋_GB2312" w:hAnsi="黑体" w:eastAsia="仿宋_GB2312"/>
                <w:color w:val="auto"/>
                <w:kern w:val="0"/>
                <w:szCs w:val="21"/>
                <w:highlight w:val="none"/>
              </w:rPr>
              <w:t>补正后申请内容仍不明确</w:t>
            </w:r>
            <w:bookmarkEnd w:id="7"/>
          </w:p>
        </w:tc>
        <w:tc>
          <w:tcPr>
            <w:tcW w:w="747" w:type="dxa"/>
            <w:noWrap w:val="0"/>
            <w:tcMar>
              <w:left w:w="108" w:type="dxa"/>
              <w:right w:w="108" w:type="dxa"/>
            </w:tcMar>
            <w:vAlign w:val="center"/>
          </w:tcPr>
          <w:p w14:paraId="1D75B1D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FA8ECD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E531A1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DB7EC7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06E4BB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0332882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624BC1E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1A9E5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34BBA72">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243173AA">
            <w:pPr>
              <w:widowControl/>
              <w:spacing w:line="200" w:lineRule="exact"/>
              <w:ind w:left="-107" w:leftChars="-51"/>
              <w:jc w:val="both"/>
              <w:rPr>
                <w:rFonts w:ascii="黑体" w:hAnsi="黑体" w:eastAsia="黑体"/>
                <w:color w:val="auto"/>
                <w:szCs w:val="21"/>
                <w:highlight w:val="none"/>
              </w:rPr>
            </w:pPr>
            <w:r>
              <w:rPr>
                <w:rFonts w:hint="eastAsia" w:ascii="黑体" w:hAnsi="黑体" w:eastAsia="黑体"/>
                <w:color w:val="auto"/>
                <w:kern w:val="0"/>
                <w:szCs w:val="21"/>
                <w:highlight w:val="none"/>
              </w:rPr>
              <w:t>（五）不予处理</w:t>
            </w:r>
          </w:p>
        </w:tc>
        <w:tc>
          <w:tcPr>
            <w:tcW w:w="2976" w:type="dxa"/>
            <w:noWrap w:val="0"/>
            <w:tcMar>
              <w:left w:w="108" w:type="dxa"/>
              <w:right w:w="108" w:type="dxa"/>
            </w:tcMar>
            <w:vAlign w:val="center"/>
          </w:tcPr>
          <w:p w14:paraId="336B34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w:t>
            </w:r>
            <w:bookmarkStart w:id="8" w:name="_Hlk66975537"/>
            <w:r>
              <w:rPr>
                <w:rFonts w:hint="eastAsia" w:ascii="仿宋_GB2312" w:hAnsi="黑体" w:eastAsia="仿宋_GB2312"/>
                <w:color w:val="auto"/>
                <w:kern w:val="0"/>
                <w:szCs w:val="21"/>
                <w:highlight w:val="none"/>
              </w:rPr>
              <w:t>信访举报投诉类申请</w:t>
            </w:r>
            <w:bookmarkEnd w:id="8"/>
          </w:p>
        </w:tc>
        <w:tc>
          <w:tcPr>
            <w:tcW w:w="747" w:type="dxa"/>
            <w:noWrap w:val="0"/>
            <w:tcMar>
              <w:left w:w="108" w:type="dxa"/>
              <w:right w:w="108" w:type="dxa"/>
            </w:tcMar>
            <w:vAlign w:val="center"/>
          </w:tcPr>
          <w:p w14:paraId="39B4D31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648A5A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9B59B5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070FE3E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316B42B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38CF257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3D81428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41CEF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745DA5C">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882FA6C">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74D688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2.重复申请</w:t>
            </w:r>
          </w:p>
        </w:tc>
        <w:tc>
          <w:tcPr>
            <w:tcW w:w="747" w:type="dxa"/>
            <w:noWrap w:val="0"/>
            <w:tcMar>
              <w:left w:w="108" w:type="dxa"/>
              <w:right w:w="108" w:type="dxa"/>
            </w:tcMar>
            <w:vAlign w:val="center"/>
          </w:tcPr>
          <w:p w14:paraId="7FECD0D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B223BF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9DA31F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68A8A20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24E1B50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61F027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C3DEBD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CA44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46A23A">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C752595">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6E322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3.要求提供公开出版物</w:t>
            </w:r>
          </w:p>
        </w:tc>
        <w:tc>
          <w:tcPr>
            <w:tcW w:w="747" w:type="dxa"/>
            <w:noWrap w:val="0"/>
            <w:tcMar>
              <w:left w:w="108" w:type="dxa"/>
              <w:right w:w="108" w:type="dxa"/>
            </w:tcMar>
            <w:vAlign w:val="center"/>
          </w:tcPr>
          <w:p w14:paraId="438D37C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05CFFE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BC8B10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06A7F9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7CD1E9B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97B656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3D1750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5164E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14BAB2E">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F8ADFE1">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4B8747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4.无正当理由大量反复申请</w:t>
            </w:r>
          </w:p>
        </w:tc>
        <w:tc>
          <w:tcPr>
            <w:tcW w:w="747" w:type="dxa"/>
            <w:noWrap w:val="0"/>
            <w:tcMar>
              <w:left w:w="108" w:type="dxa"/>
              <w:right w:w="108" w:type="dxa"/>
            </w:tcMar>
            <w:vAlign w:val="center"/>
          </w:tcPr>
          <w:p w14:paraId="4807B01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CAE9E1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8A7AAF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92C360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A418ED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671E7B6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1C8DBD8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08F55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DC9F8A1">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4D54D6F">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21187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5.要求行政机关确认或重新</w:t>
            </w:r>
          </w:p>
          <w:p w14:paraId="2ACD597D">
            <w:pPr>
              <w:keepNext w:val="0"/>
              <w:keepLines w:val="0"/>
              <w:pageBreakBefore w:val="0"/>
              <w:widowControl/>
              <w:kinsoku/>
              <w:wordWrap/>
              <w:overflowPunct/>
              <w:topLinePunct w:val="0"/>
              <w:autoSpaceDE/>
              <w:autoSpaceDN/>
              <w:bidi w:val="0"/>
              <w:adjustRightInd/>
              <w:snapToGrid/>
              <w:spacing w:line="240" w:lineRule="exact"/>
              <w:ind w:firstLine="210" w:firstLineChars="100"/>
              <w:jc w:val="both"/>
              <w:textAlignment w:val="auto"/>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出具已获取信息</w:t>
            </w:r>
          </w:p>
        </w:tc>
        <w:tc>
          <w:tcPr>
            <w:tcW w:w="747" w:type="dxa"/>
            <w:noWrap w:val="0"/>
            <w:tcMar>
              <w:left w:w="108" w:type="dxa"/>
              <w:right w:w="108" w:type="dxa"/>
            </w:tcMar>
            <w:vAlign w:val="center"/>
          </w:tcPr>
          <w:p w14:paraId="00E59AB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9F4ABB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BC4D38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2839B5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1F931D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162D6D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1947BE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616C5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F0F083B">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6FCF093A">
            <w:pPr>
              <w:widowControl/>
              <w:spacing w:line="300" w:lineRule="exact"/>
              <w:jc w:val="both"/>
              <w:rPr>
                <w:rFonts w:ascii="黑体" w:hAnsi="黑体" w:eastAsia="黑体"/>
                <w:color w:val="auto"/>
                <w:kern w:val="0"/>
                <w:szCs w:val="21"/>
                <w:highlight w:val="none"/>
              </w:rPr>
            </w:pPr>
            <w:r>
              <w:rPr>
                <w:rFonts w:hint="eastAsia" w:ascii="黑体" w:hAnsi="黑体" w:eastAsia="黑体"/>
                <w:color w:val="auto"/>
                <w:kern w:val="0"/>
                <w:szCs w:val="21"/>
                <w:highlight w:val="none"/>
              </w:rPr>
              <w:t>（六）其他处理</w:t>
            </w:r>
          </w:p>
        </w:tc>
        <w:tc>
          <w:tcPr>
            <w:tcW w:w="2976" w:type="dxa"/>
            <w:noWrap w:val="0"/>
            <w:vAlign w:val="center"/>
          </w:tcPr>
          <w:p w14:paraId="27BACA86">
            <w:pPr>
              <w:widowControl/>
              <w:spacing w:line="300" w:lineRule="exact"/>
              <w:jc w:val="both"/>
              <w:rPr>
                <w:rFonts w:ascii="仿宋_GB2312" w:hAnsi="楷体" w:eastAsia="仿宋_GB2312"/>
                <w:color w:val="auto"/>
                <w:highlight w:val="none"/>
              </w:rPr>
            </w:pPr>
            <w:r>
              <w:rPr>
                <w:rFonts w:hint="eastAsia" w:ascii="仿宋_GB2312" w:hAnsi="楷体" w:eastAsia="仿宋_GB2312"/>
                <w:color w:val="auto"/>
                <w:highlight w:val="none"/>
              </w:rPr>
              <w:t>1.申请人无正当理由逾期不补正、行政机关不再处理其政府信息公开申请</w:t>
            </w:r>
          </w:p>
        </w:tc>
        <w:tc>
          <w:tcPr>
            <w:tcW w:w="747" w:type="dxa"/>
            <w:noWrap w:val="0"/>
            <w:tcMar>
              <w:left w:w="108" w:type="dxa"/>
              <w:right w:w="108" w:type="dxa"/>
            </w:tcMar>
            <w:vAlign w:val="center"/>
          </w:tcPr>
          <w:p w14:paraId="51C417F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ADE0DF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980EE3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646580E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9DD196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F58666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2232C25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40294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C4901C6">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6DD0A745">
            <w:pPr>
              <w:widowControl/>
              <w:spacing w:line="300" w:lineRule="exact"/>
              <w:jc w:val="both"/>
              <w:rPr>
                <w:rFonts w:ascii="黑体" w:hAnsi="黑体" w:eastAsia="黑体"/>
                <w:color w:val="auto"/>
                <w:kern w:val="0"/>
                <w:szCs w:val="21"/>
                <w:highlight w:val="none"/>
              </w:rPr>
            </w:pPr>
          </w:p>
        </w:tc>
        <w:tc>
          <w:tcPr>
            <w:tcW w:w="2976" w:type="dxa"/>
            <w:noWrap w:val="0"/>
            <w:vAlign w:val="center"/>
          </w:tcPr>
          <w:p w14:paraId="285810BE">
            <w:pPr>
              <w:widowControl/>
              <w:spacing w:line="300" w:lineRule="exact"/>
              <w:jc w:val="both"/>
              <w:rPr>
                <w:rFonts w:ascii="仿宋_GB2312" w:hAnsi="黑体" w:eastAsia="仿宋_GB2312"/>
                <w:color w:val="auto"/>
                <w:kern w:val="0"/>
                <w:szCs w:val="21"/>
                <w:highlight w:val="none"/>
              </w:rPr>
            </w:pPr>
            <w:r>
              <w:rPr>
                <w:rFonts w:hint="eastAsia" w:ascii="仿宋_GB2312" w:hAnsi="楷体" w:eastAsia="仿宋_GB2312"/>
                <w:color w:val="auto"/>
                <w:highlight w:val="none"/>
              </w:rPr>
              <w:t>2.申请人逾期未按收费通知要求缴纳费用、行政机关不再处理其政府信息公开申请</w:t>
            </w:r>
          </w:p>
        </w:tc>
        <w:tc>
          <w:tcPr>
            <w:tcW w:w="747" w:type="dxa"/>
            <w:noWrap w:val="0"/>
            <w:tcMar>
              <w:left w:w="108" w:type="dxa"/>
              <w:right w:w="108" w:type="dxa"/>
            </w:tcMar>
            <w:vAlign w:val="center"/>
          </w:tcPr>
          <w:p w14:paraId="6502A8D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0AD357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D35218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43E1B1D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1F56B37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6E8E751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6F56C4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11943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3210781">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5769D11A">
            <w:pPr>
              <w:widowControl/>
              <w:spacing w:line="300" w:lineRule="exact"/>
              <w:jc w:val="both"/>
              <w:rPr>
                <w:rFonts w:ascii="黑体" w:hAnsi="黑体" w:eastAsia="黑体"/>
                <w:color w:val="auto"/>
                <w:kern w:val="0"/>
                <w:szCs w:val="21"/>
                <w:highlight w:val="none"/>
              </w:rPr>
            </w:pPr>
          </w:p>
        </w:tc>
        <w:tc>
          <w:tcPr>
            <w:tcW w:w="2976" w:type="dxa"/>
            <w:noWrap w:val="0"/>
            <w:vAlign w:val="center"/>
          </w:tcPr>
          <w:p w14:paraId="2F04A408">
            <w:pPr>
              <w:widowControl/>
              <w:spacing w:line="300" w:lineRule="exact"/>
              <w:jc w:val="both"/>
              <w:rPr>
                <w:rFonts w:ascii="仿宋_GB2312" w:hAnsi="黑体" w:eastAsia="仿宋_GB2312"/>
                <w:color w:val="auto"/>
                <w:kern w:val="0"/>
                <w:szCs w:val="21"/>
                <w:highlight w:val="none"/>
              </w:rPr>
            </w:pPr>
            <w:r>
              <w:rPr>
                <w:rFonts w:hint="eastAsia" w:ascii="仿宋_GB2312" w:hAnsi="楷体" w:eastAsia="仿宋_GB2312"/>
                <w:color w:val="auto"/>
                <w:highlight w:val="none"/>
              </w:rPr>
              <w:t>3.其他</w:t>
            </w:r>
          </w:p>
        </w:tc>
        <w:tc>
          <w:tcPr>
            <w:tcW w:w="747" w:type="dxa"/>
            <w:noWrap w:val="0"/>
            <w:tcMar>
              <w:left w:w="108" w:type="dxa"/>
              <w:right w:w="108" w:type="dxa"/>
            </w:tcMar>
            <w:vAlign w:val="center"/>
          </w:tcPr>
          <w:p w14:paraId="346FAF5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FCB98E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1585078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03E7938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7ABD932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689E4B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5287FF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AE2A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6C825B4">
            <w:pPr>
              <w:jc w:val="both"/>
              <w:rPr>
                <w:rFonts w:ascii="黑体" w:hAnsi="黑体" w:eastAsia="黑体"/>
                <w:color w:val="auto"/>
                <w:szCs w:val="21"/>
                <w:highlight w:val="none"/>
              </w:rPr>
            </w:pPr>
          </w:p>
        </w:tc>
        <w:tc>
          <w:tcPr>
            <w:tcW w:w="4677" w:type="dxa"/>
            <w:gridSpan w:val="2"/>
            <w:noWrap w:val="0"/>
            <w:tcMar>
              <w:left w:w="108" w:type="dxa"/>
              <w:right w:w="108" w:type="dxa"/>
            </w:tcMar>
            <w:vAlign w:val="center"/>
          </w:tcPr>
          <w:p w14:paraId="7423107F">
            <w:pPr>
              <w:widowControl/>
              <w:spacing w:line="300" w:lineRule="exact"/>
              <w:jc w:val="both"/>
              <w:rPr>
                <w:rFonts w:ascii="黑体" w:hAnsi="黑体" w:eastAsia="黑体"/>
                <w:color w:val="auto"/>
                <w:kern w:val="0"/>
                <w:szCs w:val="21"/>
                <w:highlight w:val="none"/>
              </w:rPr>
            </w:pPr>
            <w:r>
              <w:rPr>
                <w:rFonts w:hint="eastAsia" w:ascii="黑体" w:hAnsi="黑体" w:eastAsia="黑体"/>
                <w:color w:val="auto"/>
                <w:kern w:val="0"/>
                <w:szCs w:val="21"/>
                <w:highlight w:val="none"/>
              </w:rPr>
              <w:t>（七）总计</w:t>
            </w:r>
          </w:p>
        </w:tc>
        <w:tc>
          <w:tcPr>
            <w:tcW w:w="747" w:type="dxa"/>
            <w:noWrap w:val="0"/>
            <w:tcMar>
              <w:left w:w="108" w:type="dxa"/>
              <w:right w:w="108" w:type="dxa"/>
            </w:tcMar>
            <w:vAlign w:val="center"/>
          </w:tcPr>
          <w:p w14:paraId="52C3CA6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7</w:t>
            </w:r>
          </w:p>
        </w:tc>
        <w:tc>
          <w:tcPr>
            <w:tcW w:w="540" w:type="dxa"/>
            <w:gridSpan w:val="2"/>
            <w:noWrap w:val="0"/>
            <w:tcMar>
              <w:left w:w="108" w:type="dxa"/>
              <w:right w:w="108" w:type="dxa"/>
            </w:tcMar>
            <w:vAlign w:val="center"/>
          </w:tcPr>
          <w:p w14:paraId="50ABC94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9884E2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69E8CD4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60B8CA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7F9076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B1B73B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7</w:t>
            </w:r>
          </w:p>
        </w:tc>
      </w:tr>
      <w:tr w14:paraId="40168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7D27A6F9">
            <w:pPr>
              <w:widowControl/>
              <w:spacing w:line="300" w:lineRule="exact"/>
              <w:jc w:val="both"/>
              <w:rPr>
                <w:rFonts w:ascii="黑体" w:hAnsi="黑体" w:eastAsia="黑体"/>
                <w:color w:val="auto"/>
                <w:kern w:val="0"/>
                <w:szCs w:val="21"/>
                <w:highlight w:val="none"/>
              </w:rPr>
            </w:pPr>
            <w:r>
              <w:rPr>
                <w:rFonts w:hint="eastAsia" w:ascii="黑体" w:hAnsi="黑体" w:eastAsia="黑体"/>
                <w:color w:val="auto"/>
                <w:kern w:val="0"/>
                <w:szCs w:val="21"/>
                <w:highlight w:val="none"/>
              </w:rPr>
              <w:t>四、结转下年度继续办理</w:t>
            </w:r>
          </w:p>
        </w:tc>
        <w:tc>
          <w:tcPr>
            <w:tcW w:w="747" w:type="dxa"/>
            <w:noWrap w:val="0"/>
            <w:tcMar>
              <w:left w:w="108" w:type="dxa"/>
              <w:right w:w="108" w:type="dxa"/>
            </w:tcMar>
            <w:vAlign w:val="center"/>
          </w:tcPr>
          <w:p w14:paraId="58E83AE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w:t>
            </w:r>
          </w:p>
        </w:tc>
        <w:tc>
          <w:tcPr>
            <w:tcW w:w="540" w:type="dxa"/>
            <w:gridSpan w:val="2"/>
            <w:noWrap w:val="0"/>
            <w:tcMar>
              <w:left w:w="108" w:type="dxa"/>
              <w:right w:w="108" w:type="dxa"/>
            </w:tcMar>
            <w:vAlign w:val="center"/>
          </w:tcPr>
          <w:p w14:paraId="338B897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7A74DC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13F3D9A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2180F1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25C312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2609EA2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w:t>
            </w:r>
          </w:p>
        </w:tc>
      </w:tr>
    </w:tbl>
    <w:p w14:paraId="02BF44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20" w:firstLineChars="200"/>
        <w:jc w:val="both"/>
        <w:textAlignment w:val="auto"/>
        <w:rPr>
          <w:rFonts w:hint="eastAsia" w:ascii="黑体" w:hAnsi="宋体" w:eastAsia="黑体" w:cs="黑体"/>
          <w:color w:val="auto"/>
          <w:sz w:val="31"/>
          <w:szCs w:val="31"/>
          <w:highlight w:val="none"/>
        </w:rPr>
      </w:pPr>
    </w:p>
    <w:p w14:paraId="199CA2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20" w:firstLineChars="200"/>
        <w:jc w:val="both"/>
        <w:textAlignment w:val="auto"/>
        <w:rPr>
          <w:color w:val="auto"/>
          <w:highlight w:val="none"/>
        </w:rPr>
      </w:pPr>
      <w:r>
        <w:rPr>
          <w:rFonts w:hint="eastAsia" w:ascii="黑体" w:hAnsi="宋体" w:eastAsia="黑体" w:cs="黑体"/>
          <w:color w:val="auto"/>
          <w:sz w:val="31"/>
          <w:szCs w:val="31"/>
          <w:highlight w:val="none"/>
        </w:rPr>
        <w:t>四、政府信息公开行政复议、行政诉讼情况统计表</w:t>
      </w:r>
    </w:p>
    <w:tbl>
      <w:tblPr>
        <w:tblStyle w:val="7"/>
        <w:tblW w:w="915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634"/>
        <w:gridCol w:w="540"/>
        <w:gridCol w:w="615"/>
        <w:gridCol w:w="645"/>
        <w:gridCol w:w="690"/>
        <w:gridCol w:w="570"/>
        <w:gridCol w:w="525"/>
        <w:gridCol w:w="540"/>
        <w:gridCol w:w="615"/>
        <w:gridCol w:w="675"/>
        <w:gridCol w:w="615"/>
        <w:gridCol w:w="570"/>
        <w:gridCol w:w="555"/>
        <w:gridCol w:w="585"/>
        <w:gridCol w:w="780"/>
      </w:tblGrid>
      <w:tr w14:paraId="051E2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3124"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17D074E">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行政复议</w:t>
            </w:r>
          </w:p>
        </w:tc>
        <w:tc>
          <w:tcPr>
            <w:tcW w:w="6030" w:type="dxa"/>
            <w:gridSpan w:val="10"/>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2CF80E2B">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行政诉讼</w:t>
            </w:r>
          </w:p>
        </w:tc>
      </w:tr>
      <w:tr w14:paraId="5F82E7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4" w:type="dxa"/>
            <w:vMerge w:val="restart"/>
            <w:tcBorders>
              <w:top w:val="nil"/>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31F9C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结果维持</w:t>
            </w:r>
          </w:p>
        </w:tc>
        <w:tc>
          <w:tcPr>
            <w:tcW w:w="540" w:type="dxa"/>
            <w:vMerge w:val="restart"/>
            <w:tcBorders>
              <w:top w:val="nil"/>
              <w:left w:val="nil"/>
              <w:bottom w:val="single" w:color="auto" w:sz="6" w:space="0"/>
              <w:right w:val="single" w:color="auto" w:sz="6" w:space="0"/>
            </w:tcBorders>
            <w:noWrap w:val="0"/>
            <w:tcMar>
              <w:top w:w="0" w:type="dxa"/>
              <w:left w:w="0" w:type="dxa"/>
              <w:bottom w:w="0" w:type="dxa"/>
              <w:right w:w="0" w:type="dxa"/>
            </w:tcMar>
            <w:vAlign w:val="center"/>
          </w:tcPr>
          <w:p w14:paraId="52C838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结果纠正</w:t>
            </w:r>
          </w:p>
        </w:tc>
        <w:tc>
          <w:tcPr>
            <w:tcW w:w="615" w:type="dxa"/>
            <w:vMerge w:val="restart"/>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186D787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其他结果</w:t>
            </w:r>
          </w:p>
        </w:tc>
        <w:tc>
          <w:tcPr>
            <w:tcW w:w="645" w:type="dxa"/>
            <w:vMerge w:val="restart"/>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4118D1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尚未审结</w:t>
            </w:r>
          </w:p>
        </w:tc>
        <w:tc>
          <w:tcPr>
            <w:tcW w:w="690" w:type="dxa"/>
            <w:vMerge w:val="restart"/>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0A2B27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总计</w:t>
            </w:r>
          </w:p>
        </w:tc>
        <w:tc>
          <w:tcPr>
            <w:tcW w:w="2925" w:type="dxa"/>
            <w:gridSpan w:val="5"/>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6901F6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未经复议直接起诉</w:t>
            </w:r>
          </w:p>
        </w:tc>
        <w:tc>
          <w:tcPr>
            <w:tcW w:w="3105" w:type="dxa"/>
            <w:gridSpan w:val="5"/>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315BD6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复议后起诉</w:t>
            </w:r>
          </w:p>
        </w:tc>
      </w:tr>
      <w:tr w14:paraId="0F7A21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4" w:type="dxa"/>
            <w:vMerge w:val="continue"/>
            <w:tcBorders>
              <w:top w:val="nil"/>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489686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540" w:type="dxa"/>
            <w:vMerge w:val="continue"/>
            <w:tcBorders>
              <w:top w:val="nil"/>
              <w:left w:val="nil"/>
              <w:bottom w:val="single" w:color="auto" w:sz="6" w:space="0"/>
              <w:right w:val="single" w:color="auto" w:sz="6" w:space="0"/>
            </w:tcBorders>
            <w:noWrap w:val="0"/>
            <w:tcMar>
              <w:top w:w="0" w:type="dxa"/>
              <w:left w:w="0" w:type="dxa"/>
              <w:bottom w:w="0" w:type="dxa"/>
              <w:right w:w="0" w:type="dxa"/>
            </w:tcMar>
            <w:vAlign w:val="center"/>
          </w:tcPr>
          <w:p w14:paraId="00E891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615" w:type="dxa"/>
            <w:vMerge w:val="continue"/>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4EB11F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645" w:type="dxa"/>
            <w:vMerge w:val="continue"/>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7A95DC2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690" w:type="dxa"/>
            <w:vMerge w:val="continue"/>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7A53B5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57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59659A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结果维持</w:t>
            </w:r>
          </w:p>
        </w:tc>
        <w:tc>
          <w:tcPr>
            <w:tcW w:w="52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078B3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结果纠正</w:t>
            </w:r>
          </w:p>
        </w:tc>
        <w:tc>
          <w:tcPr>
            <w:tcW w:w="540"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791970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其他结果</w:t>
            </w:r>
          </w:p>
        </w:tc>
        <w:tc>
          <w:tcPr>
            <w:tcW w:w="61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3D68C2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尚未审结</w:t>
            </w:r>
          </w:p>
        </w:tc>
        <w:tc>
          <w:tcPr>
            <w:tcW w:w="67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1E8F42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总计</w:t>
            </w:r>
          </w:p>
        </w:tc>
        <w:tc>
          <w:tcPr>
            <w:tcW w:w="61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5FEF4C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结果维持</w:t>
            </w:r>
          </w:p>
        </w:tc>
        <w:tc>
          <w:tcPr>
            <w:tcW w:w="570"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509A1F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结果纠正</w:t>
            </w:r>
          </w:p>
        </w:tc>
        <w:tc>
          <w:tcPr>
            <w:tcW w:w="55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1AA1E2A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其他结果</w:t>
            </w:r>
          </w:p>
        </w:tc>
        <w:tc>
          <w:tcPr>
            <w:tcW w:w="58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2C8DA4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尚未审结</w:t>
            </w:r>
          </w:p>
        </w:tc>
        <w:tc>
          <w:tcPr>
            <w:tcW w:w="780"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277843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总计</w:t>
            </w:r>
          </w:p>
        </w:tc>
      </w:tr>
      <w:tr w14:paraId="095025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4" w:type="dxa"/>
            <w:tcBorders>
              <w:top w:val="nil"/>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352AE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c>
          <w:tcPr>
            <w:tcW w:w="54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F385A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1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35F62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4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C9025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9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72672C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c>
          <w:tcPr>
            <w:tcW w:w="57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0F38B3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2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42A259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4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7C8533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1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4A0A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7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8B438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1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4B8D4E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7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FE92A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5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227270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8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625054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c>
          <w:tcPr>
            <w:tcW w:w="78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0E2C72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r>
    </w:tbl>
    <w:p w14:paraId="6B0E36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40" w:firstLineChars="200"/>
        <w:jc w:val="both"/>
        <w:textAlignment w:val="auto"/>
        <w:rPr>
          <w:rFonts w:hint="eastAsia" w:ascii="黑体" w:hAnsi="宋体" w:eastAsia="黑体" w:cs="黑体"/>
          <w:color w:val="auto"/>
          <w:sz w:val="32"/>
          <w:szCs w:val="32"/>
          <w:highlight w:val="none"/>
          <w:lang w:val="en-US" w:eastAsia="zh-CN"/>
        </w:rPr>
      </w:pPr>
    </w:p>
    <w:p w14:paraId="2CB0EA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40" w:firstLineChars="200"/>
        <w:jc w:val="both"/>
        <w:textAlignment w:val="auto"/>
        <w:rPr>
          <w:rFonts w:hint="eastAsia" w:ascii="黑体" w:hAnsi="宋体" w:eastAsia="黑体" w:cs="黑体"/>
          <w:color w:val="auto"/>
          <w:sz w:val="32"/>
          <w:szCs w:val="32"/>
          <w:highlight w:val="none"/>
          <w:lang w:val="en-US" w:eastAsia="zh-CN"/>
        </w:rPr>
      </w:pPr>
      <w:bookmarkStart w:id="9" w:name="_GoBack"/>
      <w:bookmarkEnd w:id="9"/>
      <w:r>
        <w:rPr>
          <w:rFonts w:hint="eastAsia" w:ascii="黑体" w:hAnsi="宋体" w:eastAsia="黑体" w:cs="黑体"/>
          <w:color w:val="auto"/>
          <w:sz w:val="32"/>
          <w:szCs w:val="32"/>
          <w:highlight w:val="none"/>
          <w:lang w:val="en-US" w:eastAsia="zh-CN"/>
        </w:rPr>
        <w:t>五、政府信息公开工作存在的主要问题及改进情况</w:t>
      </w:r>
    </w:p>
    <w:p w14:paraId="0D196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6"/>
          <w:szCs w:val="36"/>
          <w:highlight w:val="none"/>
          <w:shd w:val="clear" w:color="auto" w:fill="FFFFFF"/>
        </w:rPr>
      </w:pPr>
      <w:r>
        <w:rPr>
          <w:rFonts w:hint="eastAsia" w:ascii="楷体_GB2312" w:hAnsi="楷体_GB2312" w:eastAsia="楷体_GB2312" w:cs="楷体_GB2312"/>
          <w:color w:val="auto"/>
          <w:spacing w:val="0"/>
          <w:sz w:val="36"/>
          <w:szCs w:val="36"/>
          <w:highlight w:val="none"/>
          <w:shd w:val="clear" w:color="auto" w:fill="FFFFFF"/>
        </w:rPr>
        <w:t>（一）存在问题</w:t>
      </w:r>
    </w:p>
    <w:p w14:paraId="23BF2A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color w:val="auto"/>
          <w:spacing w:val="0"/>
          <w:sz w:val="31"/>
          <w:szCs w:val="31"/>
          <w:highlight w:val="none"/>
          <w:shd w:val="clear" w:color="auto" w:fill="FFFFFF"/>
        </w:rPr>
      </w:pPr>
      <w:r>
        <w:rPr>
          <w:rFonts w:hint="eastAsia" w:ascii="仿宋_GB2312" w:hAnsi="仿宋_GB2312" w:eastAsia="仿宋_GB2312" w:cs="仿宋_GB2312"/>
          <w:color w:val="auto"/>
          <w:spacing w:val="0"/>
          <w:sz w:val="31"/>
          <w:szCs w:val="31"/>
          <w:highlight w:val="none"/>
          <w:shd w:val="clear" w:color="auto" w:fill="FFFFFF"/>
          <w:lang w:val="en-US" w:eastAsia="zh-CN"/>
        </w:rPr>
        <w:t>一是公开信息的针对性与时效性有待进一步提升，部分领域信息发布与公众实际需求匹配度不高，对突发公共卫生事件、民生政策调整等热点的响应速度和深度解读仍有不足；二是公开渠道的融合度不够，各平台信息发布存在“各自为战”现象，数据共享不充分，未能形成宣传合力；三是基层医疗卫生机构信息公开工作推进不均衡，部分基层单位公开意识薄弱，公开内容不规范、更新不及时。</w:t>
      </w:r>
    </w:p>
    <w:p w14:paraId="7323B8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（二）整改措施</w:t>
      </w:r>
    </w:p>
    <w:p w14:paraId="36E3D2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color w:val="auto"/>
          <w:spacing w:val="0"/>
          <w:sz w:val="31"/>
          <w:szCs w:val="31"/>
          <w:highlight w:val="none"/>
          <w:shd w:val="clear" w:color="auto" w:fill="FFFFFF"/>
          <w:lang w:val="en-US" w:eastAsia="zh-CN"/>
        </w:rPr>
      </w:pPr>
      <w:r>
        <w:rPr>
          <w:rFonts w:hint="eastAsia" w:ascii="仿宋_GB2312" w:hAnsi="仿宋_GB2312" w:eastAsia="仿宋_GB2312" w:cs="仿宋_GB2312"/>
          <w:color w:val="auto"/>
          <w:spacing w:val="0"/>
          <w:sz w:val="31"/>
          <w:szCs w:val="31"/>
          <w:highlight w:val="none"/>
          <w:shd w:val="clear" w:color="auto" w:fill="FFFFFF"/>
          <w:lang w:val="en-US" w:eastAsia="zh-CN"/>
        </w:rPr>
        <w:t>一是精准对接公众需求，建立“公众需求调研—信息选题策划—精准发布—效果反馈”闭环机制。针对热点问题，组织专人，提前研判、快速响应，通过“政策问答+场景应用”模式提升解读实效。优化信息发布时限管理，对紧急信息、重要通知实行“即审即发”，确保信息时效性。二是推进公开渠道融合，搭建“官网+公众号+媒体平台+基层机构”一体化公开矩阵，建立信息共享发布机制，实现同一信息多平台同步推送、差异化呈现，提升群众获取信息的便捷性。三是强化基层公开能力建设，开展“一对一”业务指导与集中培训。进一步明确基层机构公开内容、格式与频次，定期开展专项督查，推动基层公开工作规范化、常态化。</w:t>
      </w:r>
    </w:p>
    <w:p w14:paraId="6F8161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20" w:firstLineChars="200"/>
        <w:jc w:val="both"/>
        <w:textAlignment w:val="auto"/>
        <w:rPr>
          <w:rFonts w:hint="eastAsia" w:ascii="黑体" w:hAnsi="宋体" w:eastAsia="黑体" w:cs="黑体"/>
          <w:color w:val="auto"/>
          <w:sz w:val="31"/>
          <w:szCs w:val="31"/>
          <w:highlight w:val="none"/>
          <w:lang w:val="en-US" w:eastAsia="zh-CN"/>
        </w:rPr>
      </w:pPr>
      <w:r>
        <w:rPr>
          <w:rFonts w:hint="eastAsia" w:ascii="黑体" w:hAnsi="宋体" w:eastAsia="黑体" w:cs="黑体"/>
          <w:color w:val="auto"/>
          <w:sz w:val="31"/>
          <w:szCs w:val="31"/>
          <w:highlight w:val="none"/>
          <w:lang w:val="en-US" w:eastAsia="zh-CN"/>
        </w:rPr>
        <w:t>六、其他需要报告的事项</w:t>
      </w:r>
    </w:p>
    <w:p w14:paraId="481C37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（一）收取信息处理费的情况</w:t>
      </w:r>
    </w:p>
    <w:p w14:paraId="42374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0" w:firstLineChars="200"/>
        <w:jc w:val="both"/>
        <w:rPr>
          <w:rFonts w:hint="eastAsia" w:ascii="仿宋_GB2312" w:hAnsi="仿宋_GB2312" w:eastAsia="仿宋_GB2312" w:cs="仿宋_GB2312"/>
          <w:color w:val="auto"/>
          <w:spacing w:val="0"/>
          <w:kern w:val="0"/>
          <w:sz w:val="31"/>
          <w:szCs w:val="31"/>
          <w:highlight w:val="none"/>
          <w:shd w:val="clear" w:color="auto" w:fill="FFFFFF"/>
          <w:lang w:val="en-US" w:eastAsia="zh-CN" w:bidi="ar"/>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2025年，滕州市卫生健康局未发生《政府信息公开信息处理费管理办法》所列应当收取信息处理费的情形，无收费及减免情况。</w:t>
      </w:r>
    </w:p>
    <w:p w14:paraId="17A656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（二）落实上级年度政务公开工作要点情况</w:t>
      </w:r>
    </w:p>
    <w:p w14:paraId="29AE9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0" w:firstLineChars="200"/>
        <w:jc w:val="both"/>
        <w:rPr>
          <w:rFonts w:hint="eastAsia" w:ascii="仿宋_GB2312" w:hAnsi="仿宋_GB2312" w:eastAsia="仿宋_GB2312" w:cs="仿宋_GB2312"/>
          <w:color w:val="auto"/>
          <w:spacing w:val="0"/>
          <w:kern w:val="0"/>
          <w:sz w:val="31"/>
          <w:szCs w:val="31"/>
          <w:highlight w:val="none"/>
          <w:shd w:val="clear" w:color="auto" w:fill="FFFFFF"/>
          <w:lang w:val="en-US" w:eastAsia="zh-CN" w:bidi="ar"/>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严格按照政务公开工作要求，聚焦卫生健康领域重点公开任务，细化分解工作清单，明确责任科室、完成时限与质量标准，实行“挂图作战、销号管理”。进一步完善政务公开保密审查、考核评价等制度，推动公开工作与业务工作同部署、同推进、同落实，确保上级各项工作要求落地见效。</w:t>
      </w:r>
    </w:p>
    <w:p w14:paraId="36F82C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（三）建议提案办理公开情况</w:t>
      </w:r>
    </w:p>
    <w:p w14:paraId="37226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0" w:firstLineChars="200"/>
        <w:jc w:val="both"/>
        <w:rPr>
          <w:rFonts w:hint="eastAsia" w:ascii="楷体_GB2312" w:hAnsi="楷体_GB2312" w:eastAsia="楷体_GB2312" w:cs="楷体_GB2312"/>
          <w:color w:val="auto"/>
          <w:spacing w:val="0"/>
          <w:sz w:val="31"/>
          <w:szCs w:val="31"/>
          <w:highlight w:val="none"/>
          <w:shd w:val="clear" w:color="auto" w:fill="FFFFFF"/>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2025年，滕州市卫生健康局共收到滕州市政协提案39件、承办市人大代表提案2件，均已全部办结并逐一向代表、委员答复，办结率、满意率均为100%。相关答复意见已通过市政府官网、局官方平台公开，主动接受社会监督。</w:t>
      </w:r>
    </w:p>
    <w:p w14:paraId="14A679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lang w:eastAsia="zh-CN"/>
        </w:rPr>
        <w:t>（四）</w:t>
      </w:r>
      <w:r>
        <w:rPr>
          <w:rFonts w:hint="eastAsia" w:ascii="楷体_GB2312" w:hAnsi="楷体_GB2312" w:eastAsia="楷体_GB2312" w:cs="楷体_GB2312"/>
          <w:color w:val="auto"/>
          <w:spacing w:val="0"/>
          <w:sz w:val="32"/>
          <w:szCs w:val="32"/>
          <w:highlight w:val="none"/>
          <w:shd w:val="clear" w:color="auto" w:fill="FFFFFF"/>
        </w:rPr>
        <w:t>开展政务创新方面</w:t>
      </w:r>
    </w:p>
    <w:p w14:paraId="5CD4C5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eastAsia="zh-CN"/>
        </w:rPr>
        <w:t>创新打造滕州市人民医院“政务公开+健康服务”融合专区，打破传统政务公开线上单一渠道局限，将政务服务触角延伸至医疗服务一线。专区选址医院门诊大厅为核心，以“便民、实用、精准”为核心，构建“政策查询+业务咨询+诉求反馈”的服务矩阵。结合“健康素养宣传月”“世界无烟日”等卫生主题日，开展</w:t>
      </w:r>
      <w:r>
        <w:rPr>
          <w:rFonts w:hint="eastAsia" w:ascii="仿宋_GB2312" w:hAnsi="仿宋_GB2312" w:eastAsia="仿宋_GB2312" w:cs="仿宋_GB2312"/>
          <w:b w:val="0"/>
          <w:bCs w:val="0"/>
          <w:color w:val="auto"/>
          <w:sz w:val="32"/>
          <w:szCs w:val="32"/>
          <w:lang w:val="en-US" w:eastAsia="zh-CN"/>
        </w:rPr>
        <w:t>各类宣传活动16次，发放各类宣传资料18种共20000余份，控盐勺4000多个。</w:t>
      </w:r>
      <w:r>
        <w:rPr>
          <w:rFonts w:hint="eastAsia" w:ascii="仿宋_GB2312" w:hAnsi="仿宋_GB2312" w:eastAsia="仿宋_GB2312" w:cs="仿宋_GB2312"/>
          <w:b w:val="0"/>
          <w:bCs w:val="0"/>
          <w:color w:val="auto"/>
          <w:sz w:val="32"/>
          <w:szCs w:val="32"/>
          <w:lang w:eastAsia="zh-CN"/>
        </w:rPr>
        <w:t>深入开展健康知识进社区、进学校、进企业、进机关、进家庭活动</w:t>
      </w:r>
      <w:r>
        <w:rPr>
          <w:rFonts w:hint="eastAsia" w:ascii="仿宋_GB2312" w:hAnsi="仿宋_GB2312" w:eastAsia="仿宋_GB2312" w:cs="仿宋_GB2312"/>
          <w:bCs/>
          <w:color w:val="auto"/>
          <w:sz w:val="32"/>
          <w:szCs w:val="32"/>
          <w:lang w:eastAsia="zh-CN"/>
        </w:rPr>
        <w:t>，开展各类宣讲活动</w:t>
      </w:r>
      <w:r>
        <w:rPr>
          <w:rFonts w:hint="eastAsia" w:ascii="仿宋_GB2312" w:hAnsi="仿宋_GB2312" w:eastAsia="仿宋_GB2312" w:cs="仿宋_GB2312"/>
          <w:bCs/>
          <w:color w:val="auto"/>
          <w:sz w:val="32"/>
          <w:szCs w:val="32"/>
          <w:lang w:val="en-US" w:eastAsia="zh-CN"/>
        </w:rPr>
        <w:t>64</w:t>
      </w:r>
      <w:r>
        <w:rPr>
          <w:rFonts w:hint="eastAsia" w:ascii="仿宋_GB2312" w:hAnsi="仿宋_GB2312" w:eastAsia="仿宋_GB2312" w:cs="仿宋_GB2312"/>
          <w:bCs/>
          <w:color w:val="auto"/>
          <w:sz w:val="32"/>
          <w:szCs w:val="32"/>
          <w:lang w:eastAsia="zh-CN"/>
        </w:rPr>
        <w:t>场次，直接受益群众</w:t>
      </w:r>
      <w:r>
        <w:rPr>
          <w:rFonts w:hint="eastAsia" w:ascii="仿宋_GB2312" w:hAnsi="仿宋_GB2312" w:eastAsia="仿宋_GB2312" w:cs="仿宋_GB2312"/>
          <w:bCs/>
          <w:color w:val="auto"/>
          <w:sz w:val="32"/>
          <w:szCs w:val="32"/>
          <w:lang w:val="en-US" w:eastAsia="zh-CN"/>
        </w:rPr>
        <w:t>5000</w:t>
      </w:r>
      <w:r>
        <w:rPr>
          <w:rFonts w:hint="eastAsia" w:ascii="仿宋_GB2312" w:hAnsi="仿宋_GB2312" w:eastAsia="仿宋_GB2312" w:cs="仿宋_GB2312"/>
          <w:bCs/>
          <w:color w:val="auto"/>
          <w:sz w:val="32"/>
          <w:szCs w:val="32"/>
          <w:lang w:eastAsia="zh-CN"/>
        </w:rPr>
        <w:t>多人</w:t>
      </w:r>
      <w:r>
        <w:rPr>
          <w:rStyle w:val="10"/>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snapToGrid w:val="0"/>
          <w:color w:val="auto"/>
          <w:spacing w:val="-6"/>
          <w:kern w:val="0"/>
          <w:sz w:val="32"/>
          <w:szCs w:val="32"/>
          <w:lang w:val="en-US" w:eastAsia="zh-CN"/>
        </w:rPr>
        <w:t>对健康主题公园内的宣传牌进行更新和保养，共更新宣传栏6期。</w:t>
      </w:r>
      <w:r>
        <w:rPr>
          <w:rFonts w:hint="eastAsia" w:ascii="仿宋_GB2312" w:hAnsi="仿宋_GB2312" w:eastAsia="仿宋_GB2312" w:cs="仿宋_GB2312"/>
          <w:b w:val="0"/>
          <w:bCs w:val="0"/>
          <w:snapToGrid w:val="0"/>
          <w:color w:val="auto"/>
          <w:spacing w:val="-6"/>
          <w:kern w:val="0"/>
          <w:sz w:val="32"/>
          <w:szCs w:val="32"/>
          <w:highlight w:val="none"/>
          <w:lang w:val="en-US" w:eastAsia="zh-CN"/>
        </w:rPr>
        <w:t>参加</w:t>
      </w:r>
      <w:r>
        <w:rPr>
          <w:rFonts w:hint="eastAsia" w:ascii="仿宋_GB2312" w:hAnsi="仿宋_GB2312" w:eastAsia="仿宋_GB2312" w:cs="仿宋_GB2312"/>
          <w:b w:val="0"/>
          <w:bCs w:val="0"/>
          <w:color w:val="auto"/>
          <w:sz w:val="32"/>
          <w:szCs w:val="32"/>
          <w:highlight w:val="none"/>
          <w:lang w:eastAsia="zh-CN"/>
        </w:rPr>
        <w:t>市融媒体“健康有道”“健康促进和慢性病防治”专栏，有效扩大了权威健康信息的传播半径。</w:t>
      </w:r>
    </w:p>
    <w:p w14:paraId="50F746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1"/>
          <w:szCs w:val="31"/>
          <w:highlight w:val="none"/>
          <w:shd w:val="clear" w:color="auto" w:fill="FFFFFF"/>
        </w:rPr>
      </w:pPr>
      <w:r>
        <w:rPr>
          <w:rFonts w:hint="eastAsia" w:ascii="楷体_GB2312" w:hAnsi="楷体_GB2312" w:eastAsia="楷体_GB2312" w:cs="楷体_GB2312"/>
          <w:color w:val="auto"/>
          <w:spacing w:val="0"/>
          <w:sz w:val="31"/>
          <w:szCs w:val="31"/>
          <w:highlight w:val="none"/>
          <w:shd w:val="clear" w:color="auto" w:fill="FFFFFF"/>
        </w:rPr>
        <w:t>（五）无需要报告的其他事项</w:t>
      </w:r>
    </w:p>
    <w:p w14:paraId="11E9F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620" w:firstLineChars="200"/>
        <w:jc w:val="both"/>
        <w:textAlignment w:val="auto"/>
        <w:rPr>
          <w:rFonts w:hint="eastAsia" w:ascii="仿宋_GB2312" w:hAnsi="仿宋_GB2312" w:eastAsia="仿宋_GB2312" w:cs="仿宋_GB2312"/>
          <w:color w:val="auto"/>
          <w:spacing w:val="0"/>
          <w:kern w:val="0"/>
          <w:sz w:val="31"/>
          <w:szCs w:val="31"/>
          <w:highlight w:val="none"/>
          <w:shd w:val="clear" w:color="auto" w:fill="FFFFFF"/>
          <w:lang w:val="en-US" w:eastAsia="zh-CN" w:bidi="ar"/>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本报告电子版可在 “中国滕州网”（</w:t>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fldChar w:fldCharType="begin"/>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instrText xml:space="preserve"> HYPERLINK "http://www.tengzhou.gov.cn/" \t "/home/user/文档\\x/_blank" </w:instrText>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fldChar w:fldCharType="separate"/>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http://www.tengzhou.gov.cn/</w:t>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fldChar w:fldCharType="end"/>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）查询和下载。如对本报告有疑问，请与滕州市卫生健康局办公室联系（地址：山东省滕州市学院路 100 号，联系电话：5513031，电子邮箱：tzwjjbgs@zz.shandong.cn）。</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思源黑体 CN Bold">
    <w:panose1 w:val="020B0500000000000000"/>
    <w:charset w:val="86"/>
    <w:family w:val="auto"/>
    <w:pitch w:val="default"/>
    <w:sig w:usb0="20000003" w:usb1="2ADF3C10" w:usb2="00000016" w:usb3="00000000" w:csb0="6006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E4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FE8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FE8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OGFkMWU4MWY4OGQ5ODdiZTgwNmE3MjBjNmQ1MzIifQ=="/>
  </w:docVars>
  <w:rsids>
    <w:rsidRoot w:val="21A01464"/>
    <w:rsid w:val="03892B17"/>
    <w:rsid w:val="05C76F15"/>
    <w:rsid w:val="07690D52"/>
    <w:rsid w:val="089B2BB6"/>
    <w:rsid w:val="0A514EC4"/>
    <w:rsid w:val="0F9E6FD4"/>
    <w:rsid w:val="12226794"/>
    <w:rsid w:val="125C6AC9"/>
    <w:rsid w:val="13CD7848"/>
    <w:rsid w:val="14186104"/>
    <w:rsid w:val="14F21B62"/>
    <w:rsid w:val="16937571"/>
    <w:rsid w:val="173F481C"/>
    <w:rsid w:val="19DB458C"/>
    <w:rsid w:val="1BF7D8C6"/>
    <w:rsid w:val="1C85246A"/>
    <w:rsid w:val="1F9F3282"/>
    <w:rsid w:val="21A01464"/>
    <w:rsid w:val="2363679C"/>
    <w:rsid w:val="326E6199"/>
    <w:rsid w:val="327D351E"/>
    <w:rsid w:val="3415006F"/>
    <w:rsid w:val="350430ED"/>
    <w:rsid w:val="38075BD0"/>
    <w:rsid w:val="384D5327"/>
    <w:rsid w:val="397F135D"/>
    <w:rsid w:val="3BF5B267"/>
    <w:rsid w:val="3BFA9AC0"/>
    <w:rsid w:val="404C62C4"/>
    <w:rsid w:val="4ED72F30"/>
    <w:rsid w:val="513E3C2C"/>
    <w:rsid w:val="51A9395E"/>
    <w:rsid w:val="571A0E15"/>
    <w:rsid w:val="579E52AD"/>
    <w:rsid w:val="58961997"/>
    <w:rsid w:val="5AD35652"/>
    <w:rsid w:val="5E983045"/>
    <w:rsid w:val="5FFFF2A5"/>
    <w:rsid w:val="62CA1F67"/>
    <w:rsid w:val="6B7FDDAD"/>
    <w:rsid w:val="6BB02512"/>
    <w:rsid w:val="6C2B635C"/>
    <w:rsid w:val="6F76F44C"/>
    <w:rsid w:val="779D3F8C"/>
    <w:rsid w:val="77AB0C36"/>
    <w:rsid w:val="77D6F68F"/>
    <w:rsid w:val="7ACB3979"/>
    <w:rsid w:val="7B372EF6"/>
    <w:rsid w:val="7B5FCB13"/>
    <w:rsid w:val="7BB7E1FA"/>
    <w:rsid w:val="7BFBD62E"/>
    <w:rsid w:val="7C6F5ACE"/>
    <w:rsid w:val="7D581A16"/>
    <w:rsid w:val="7DF60A48"/>
    <w:rsid w:val="7E7F3EC6"/>
    <w:rsid w:val="7EFF6DE8"/>
    <w:rsid w:val="7FCEB52B"/>
    <w:rsid w:val="7FFEEA5C"/>
    <w:rsid w:val="7FFF0051"/>
    <w:rsid w:val="8E5DC96A"/>
    <w:rsid w:val="AFBEE5E4"/>
    <w:rsid w:val="BAFFA642"/>
    <w:rsid w:val="CD7E30FA"/>
    <w:rsid w:val="D6F75988"/>
    <w:rsid w:val="DFD3F9EB"/>
    <w:rsid w:val="DFF7D003"/>
    <w:rsid w:val="E3EFD79B"/>
    <w:rsid w:val="F2D7957E"/>
    <w:rsid w:val="FEA7FF4E"/>
    <w:rsid w:val="FFEF6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_Style 7 Char"/>
    <w:link w:val="11"/>
    <w:qFormat/>
    <w:uiPriority w:val="34"/>
    <w:rPr>
      <w:szCs w:val="22"/>
    </w:rPr>
  </w:style>
  <w:style w:type="paragraph" w:customStyle="1" w:styleId="11">
    <w:name w:val="_Style 7"/>
    <w:basedOn w:val="1"/>
    <w:next w:val="12"/>
    <w:link w:val="10"/>
    <w:qFormat/>
    <w:uiPriority w:val="34"/>
    <w:pPr>
      <w:ind w:firstLine="420" w:firstLineChars="200"/>
    </w:pPr>
    <w:rPr>
      <w:szCs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政务信息公开</a:t>
            </a:r>
          </a:p>
        </c:rich>
      </c:tx>
      <c:layout>
        <c:manualLayout>
          <c:xMode val="edge"/>
          <c:yMode val="edge"/>
          <c:x val="0.390263319044703"/>
          <c:y val="0.053864168618267"/>
        </c:manualLayout>
      </c:layout>
      <c:overlay val="0"/>
      <c:spPr>
        <a:noFill/>
        <a:ln>
          <a:noFill/>
        </a:ln>
        <a:effectLst/>
      </c:spPr>
    </c:title>
    <c:autoTitleDeleted val="0"/>
    <c:plotArea>
      <c:layout>
        <c:manualLayout>
          <c:layoutTarget val="inner"/>
          <c:xMode val="edge"/>
          <c:yMode val="edge"/>
          <c:x val="0.321922841396203"/>
          <c:y val="0.190996617226125"/>
          <c:w val="0.347581139007961"/>
          <c:h val="0.738485558157689"/>
        </c:manualLayout>
      </c:layout>
      <c:doughnut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滕州市人民政府官网滕州市卫生健康局栏目</c:v>
                </c:pt>
                <c:pt idx="1">
                  <c:v>信息公开网站</c:v>
                </c:pt>
                <c:pt idx="2">
                  <c:v>微信公众号</c:v>
                </c:pt>
              </c:strCache>
            </c:strRef>
          </c:cat>
          <c:val>
            <c:numRef>
              <c:f>Sheet1!$B$2:$B$4</c:f>
              <c:numCache>
                <c:formatCode>General</c:formatCode>
                <c:ptCount val="3"/>
                <c:pt idx="0">
                  <c:v>102</c:v>
                </c:pt>
                <c:pt idx="1">
                  <c:v>174</c:v>
                </c:pt>
                <c:pt idx="2">
                  <c:v>896</c:v>
                </c:pt>
              </c:numCache>
            </c:numRef>
          </c:val>
        </c:ser>
        <c:dLbls>
          <c:showLegendKey val="0"/>
          <c:showVal val="1"/>
          <c:showCatName val="0"/>
          <c:showSerName val="0"/>
          <c:showPercent val="0"/>
          <c:showBubbleSize val="0"/>
          <c:showLeaderLines val="1"/>
        </c:dLbls>
        <c:firstSliceAng val="0"/>
        <c:holeSize val="60"/>
      </c:doughnutChart>
      <c:spPr>
        <a:noFill/>
        <a:ln>
          <a:noFill/>
        </a:ln>
        <a:effectLst/>
      </c:spPr>
    </c:plotArea>
    <c:legend>
      <c:legendPos val="r"/>
      <c:layout>
        <c:manualLayout>
          <c:xMode val="edge"/>
          <c:yMode val="edge"/>
          <c:x val="0.701163502755664"/>
          <c:y val="0.348946135831382"/>
          <c:w val="0.28413962033068"/>
          <c:h val="0.41009627894873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ca9f6228-0bcd-4f97-ba0c-da6b700ec847}"/>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政务信息公开（政务公开网站）</a:t>
            </a:r>
          </a:p>
        </c:rich>
      </c:tx>
      <c:layout/>
      <c:overlay val="0"/>
      <c:spPr>
        <a:noFill/>
        <a:ln>
          <a:noFill/>
        </a:ln>
        <a:effectLst/>
      </c:spPr>
    </c:title>
    <c:autoTitleDeleted val="0"/>
    <c:plotArea>
      <c:layout>
        <c:manualLayout>
          <c:layoutTarget val="inner"/>
          <c:xMode val="edge"/>
          <c:yMode val="edge"/>
          <c:x val="0.263892244503503"/>
          <c:y val="0.161495962600935"/>
          <c:w val="0.44708866876057"/>
          <c:h val="0.786442838929027"/>
        </c:manualLayout>
      </c:layout>
      <c:doughnut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Sheet1!$A$2:$A$8</c:f>
              <c:strCache>
                <c:ptCount val="7"/>
                <c:pt idx="0">
                  <c:v>通知公告</c:v>
                </c:pt>
                <c:pt idx="1">
                  <c:v>部门计划</c:v>
                </c:pt>
                <c:pt idx="2">
                  <c:v>财政信息</c:v>
                </c:pt>
                <c:pt idx="3">
                  <c:v>重大民生信息</c:v>
                </c:pt>
                <c:pt idx="4">
                  <c:v>建议提案</c:v>
                </c:pt>
                <c:pt idx="5">
                  <c:v>组织管理</c:v>
                </c:pt>
                <c:pt idx="6">
                  <c:v>基本目录</c:v>
                </c:pt>
              </c:strCache>
            </c:strRef>
          </c:cat>
          <c:val>
            <c:numRef>
              <c:f>Sheet1!$B$2:$B$8</c:f>
              <c:numCache>
                <c:formatCode>General</c:formatCode>
                <c:ptCount val="7"/>
                <c:pt idx="0">
                  <c:v>9</c:v>
                </c:pt>
                <c:pt idx="1">
                  <c:v>1</c:v>
                </c:pt>
                <c:pt idx="2">
                  <c:v>16</c:v>
                </c:pt>
                <c:pt idx="3">
                  <c:v>97</c:v>
                </c:pt>
                <c:pt idx="4">
                  <c:v>42</c:v>
                </c:pt>
                <c:pt idx="5">
                  <c:v>8</c:v>
                </c:pt>
                <c:pt idx="6">
                  <c:v>1</c:v>
                </c:pt>
              </c:numCache>
            </c:numRef>
          </c:val>
        </c:ser>
        <c:dLbls>
          <c:showLegendKey val="0"/>
          <c:showVal val="1"/>
          <c:showCatName val="0"/>
          <c:showSerName val="0"/>
          <c:showPercent val="0"/>
          <c:showBubbleSize val="0"/>
          <c:showLeaderLines val="1"/>
        </c:dLbls>
        <c:firstSliceAng val="0"/>
        <c:holeSize val="60"/>
      </c:doughnut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adc698bb-df36-4774-adbf-f4ad4c48cb0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0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0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3639</Words>
  <Characters>3783</Characters>
  <Lines>0</Lines>
  <Paragraphs>0</Paragraphs>
  <TotalTime>17</TotalTime>
  <ScaleCrop>false</ScaleCrop>
  <LinksUpToDate>false</LinksUpToDate>
  <CharactersWithSpaces>3794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2024-01-17T07:51:00Z</dcterms:created>
  <dc:creator>WPS_1625018466</dc:creator>
  <cp:lastModifiedBy>满波</cp:lastModifiedBy>
  <dcterms:modified xsi:type="dcterms:W3CDTF">2026-01-26T13:48:25Z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50993A45138B45E88CD9E4B0A0E0FA95_13</vt:lpwstr>
  </property>
  <property fmtid="{D5CDD505-2E9C-101B-9397-08002B2CF9AE}" pid="4" name="KSOTemplateDocerSaveRecord">
    <vt:lpwstr>eyJoZGlkIjoiNjg1OGFkMWU4MWY4OGQ5ODdiZTgwNmE3MjBjNmQ1MzIiLCJ1c2VySWQiOiI0MDQ0NjI3NjIifQ==</vt:lpwstr>
  </property>
</Properties>
</file>