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B6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滕州市农业农村局</w:t>
      </w:r>
    </w:p>
    <w:p w14:paraId="33FF59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2D6C6D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14:paraId="25ACA6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ascii="仿宋_GB2312" w:hAnsi="ÃƒÂ¥Ã‚Â¾Ã‚Â®ÃƒÂ¨Ã‚Â½Ã‚Â¯ÃƒÂ©Ã¢â" w:eastAsia="仿宋_GB2312" w:cs="仿宋_GB2312"/>
          <w:color w:val="000000"/>
          <w:sz w:val="32"/>
          <w:szCs w:val="32"/>
        </w:rPr>
        <w:t>按照《中华人民共和国政府信息公开条例》和《国务院办公厅政府信息与政务公开办公室关于印发</w:t>
      </w:r>
      <w:r>
        <w:rPr>
          <w:rFonts w:hint="eastAsia" w:ascii="仿宋_GB2312" w:hAnsi="serif" w:eastAsia="仿宋_GB2312" w:cs="仿宋_GB2312"/>
          <w:color w:val="000000"/>
          <w:sz w:val="32"/>
          <w:szCs w:val="32"/>
        </w:rPr>
        <w:t>&lt;</w:t>
      </w:r>
      <w:r>
        <w:rPr>
          <w:rFonts w:hint="eastAsia" w:ascii="仿宋_GB2312" w:hAnsi="ÃƒÂ¥Ã‚Â¾Ã‚Â®ÃƒÂ¨Ã‚Â½Ã‚Â¯ÃƒÂ©Ã¢â" w:eastAsia="仿宋_GB2312" w:cs="仿宋_GB2312"/>
          <w:color w:val="000000"/>
          <w:sz w:val="32"/>
          <w:szCs w:val="32"/>
        </w:rPr>
        <w:t>中华人民共和国政府信息公开工作年度报告格式</w:t>
      </w:r>
      <w:r>
        <w:rPr>
          <w:rFonts w:hint="eastAsia" w:ascii="仿宋_GB2312" w:hAnsi="serif" w:eastAsia="仿宋_GB2312" w:cs="仿宋_GB2312"/>
          <w:color w:val="000000"/>
          <w:sz w:val="32"/>
          <w:szCs w:val="32"/>
        </w:rPr>
        <w:t>&gt;</w:t>
      </w:r>
      <w:r>
        <w:rPr>
          <w:rFonts w:hint="eastAsia" w:ascii="仿宋_GB2312" w:hAnsi="ÃƒÂ¥Ã‚Â¾Ã‚Â®ÃƒÂ¨Ã‚Â½Ã‚Â¯ÃƒÂ©Ã¢â" w:eastAsia="仿宋_GB2312" w:cs="仿宋_GB2312"/>
          <w:color w:val="000000"/>
          <w:sz w:val="32"/>
          <w:szCs w:val="32"/>
        </w:rPr>
        <w:t>的通知》（国办公开办函〔</w:t>
      </w:r>
      <w:r>
        <w:rPr>
          <w:rFonts w:hint="eastAsia" w:ascii="仿宋_GB2312" w:hAnsi="serif" w:eastAsia="仿宋_GB2312" w:cs="仿宋_GB2312"/>
          <w:color w:val="000000"/>
          <w:sz w:val="32"/>
          <w:szCs w:val="32"/>
        </w:rPr>
        <w:t>2021</w:t>
      </w:r>
      <w:r>
        <w:rPr>
          <w:rFonts w:hint="eastAsia" w:ascii="仿宋_GB2312" w:hAnsi="ÃƒÂ¥Ã‚Â¾Ã‚Â®ÃƒÂ¨Ã‚Â½Ã‚Â¯ÃƒÂ©Ã¢â" w:eastAsia="仿宋_GB2312" w:cs="仿宋_GB2312"/>
          <w:color w:val="000000"/>
          <w:sz w:val="32"/>
          <w:szCs w:val="32"/>
        </w:rPr>
        <w:t>〕</w:t>
      </w:r>
      <w:r>
        <w:rPr>
          <w:rFonts w:hint="eastAsia" w:ascii="仿宋_GB2312" w:hAnsi="serif" w:eastAsia="仿宋_GB2312" w:cs="仿宋_GB2312"/>
          <w:color w:val="000000"/>
          <w:sz w:val="32"/>
          <w:szCs w:val="32"/>
        </w:rPr>
        <w:t>30</w:t>
      </w:r>
      <w:r>
        <w:rPr>
          <w:rFonts w:hint="eastAsia" w:ascii="仿宋_GB2312" w:hAnsi="ÃƒÂ¥Ã‚Â¾Ã‚Â®ÃƒÂ¨Ã‚Â½Ã‚Â¯ÃƒÂ©Ã¢â" w:eastAsia="仿宋_GB2312" w:cs="仿宋_GB2312"/>
          <w:color w:val="000000"/>
          <w:sz w:val="32"/>
          <w:szCs w:val="32"/>
        </w:rPr>
        <w:t>号）以及有关文件要求，结合滕州市农业农村局</w:t>
      </w:r>
      <w:r>
        <w:rPr>
          <w:rFonts w:hint="eastAsia" w:ascii="仿宋_GB2312" w:hAnsi="serif"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度信息公开工作实际，编制了本报告。报告主要内容包括：总体情况、主动公开政府信息情况、收到和处理政府信息公开申请情况、政府信息公开行政复议、行政诉讼情况、存在的主要问题和改进情况和其他需要报告的事项。本报告所列数据的统计时限自</w:t>
      </w:r>
      <w:r>
        <w:rPr>
          <w:rFonts w:hint="eastAsia" w:ascii="仿宋_GB2312" w:hAnsi="serif"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w:t>
      </w:r>
      <w:r>
        <w:rPr>
          <w:rFonts w:hint="eastAsia" w:ascii="仿宋_GB2312" w:hAnsi="serif" w:eastAsia="仿宋_GB2312" w:cs="仿宋_GB2312"/>
          <w:color w:val="000000"/>
          <w:sz w:val="32"/>
          <w:szCs w:val="32"/>
        </w:rPr>
        <w:t>1</w:t>
      </w:r>
      <w:r>
        <w:rPr>
          <w:rFonts w:hint="eastAsia" w:ascii="仿宋_GB2312" w:hAnsi="ÃƒÂ¥Ã‚Â¾Ã‚Â®ÃƒÂ¨Ã‚Â½Ã‚Â¯ÃƒÂ©Ã¢â" w:eastAsia="仿宋_GB2312" w:cs="仿宋_GB2312"/>
          <w:color w:val="000000"/>
          <w:sz w:val="32"/>
          <w:szCs w:val="32"/>
        </w:rPr>
        <w:t>月</w:t>
      </w:r>
      <w:r>
        <w:rPr>
          <w:rFonts w:hint="eastAsia" w:ascii="仿宋_GB2312" w:hAnsi="serif" w:eastAsia="仿宋_GB2312" w:cs="仿宋_GB2312"/>
          <w:color w:val="000000"/>
          <w:sz w:val="32"/>
          <w:szCs w:val="32"/>
        </w:rPr>
        <w:t>1</w:t>
      </w:r>
      <w:r>
        <w:rPr>
          <w:rFonts w:hint="eastAsia" w:ascii="仿宋_GB2312" w:hAnsi="ÃƒÂ¥Ã‚Â¾Ã‚Â®ÃƒÂ¨Ã‚Â½Ã‚Â¯ÃƒÂ©Ã¢â" w:eastAsia="仿宋_GB2312" w:cs="仿宋_GB2312"/>
          <w:color w:val="000000"/>
          <w:sz w:val="32"/>
          <w:szCs w:val="32"/>
        </w:rPr>
        <w:t>日起至</w:t>
      </w:r>
      <w:r>
        <w:rPr>
          <w:rFonts w:hint="eastAsia" w:ascii="仿宋_GB2312" w:hAnsi="serif"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w:t>
      </w:r>
      <w:r>
        <w:rPr>
          <w:rFonts w:hint="eastAsia" w:ascii="仿宋_GB2312" w:hAnsi="serif" w:eastAsia="仿宋_GB2312" w:cs="仿宋_GB2312"/>
          <w:color w:val="000000"/>
          <w:sz w:val="32"/>
          <w:szCs w:val="32"/>
        </w:rPr>
        <w:t>12</w:t>
      </w:r>
      <w:r>
        <w:rPr>
          <w:rFonts w:hint="eastAsia" w:ascii="仿宋_GB2312" w:hAnsi="ÃƒÂ¥Ã‚Â¾Ã‚Â®ÃƒÂ¨Ã‚Â½Ã‚Â¯ÃƒÂ©Ã¢â" w:eastAsia="仿宋_GB2312" w:cs="仿宋_GB2312"/>
          <w:color w:val="000000"/>
          <w:sz w:val="32"/>
          <w:szCs w:val="32"/>
        </w:rPr>
        <w:t>月</w:t>
      </w:r>
      <w:r>
        <w:rPr>
          <w:rFonts w:hint="eastAsia" w:ascii="仿宋_GB2312" w:hAnsi="serif" w:eastAsia="仿宋_GB2312" w:cs="仿宋_GB2312"/>
          <w:color w:val="000000"/>
          <w:sz w:val="32"/>
          <w:szCs w:val="32"/>
        </w:rPr>
        <w:t>31</w:t>
      </w:r>
      <w:r>
        <w:rPr>
          <w:rFonts w:hint="eastAsia" w:ascii="仿宋_GB2312" w:hAnsi="ÃƒÂ¥Ã‚Â¾Ã‚Â®ÃƒÂ¨Ã‚Â½Ã‚Â¯ÃƒÂ©Ã¢â" w:eastAsia="仿宋_GB2312" w:cs="仿宋_GB2312"/>
          <w:color w:val="000000"/>
          <w:sz w:val="32"/>
          <w:szCs w:val="32"/>
        </w:rPr>
        <w:t>日止。</w:t>
      </w:r>
    </w:p>
    <w:p w14:paraId="239844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一、</w:t>
      </w:r>
      <w:r>
        <w:rPr>
          <w:rFonts w:hint="eastAsia" w:ascii="黑体" w:hAnsi="黑体" w:eastAsia="黑体" w:cs="黑体"/>
          <w:color w:val="000000"/>
          <w:sz w:val="32"/>
          <w:szCs w:val="32"/>
        </w:rPr>
        <w:t>总体情况</w:t>
      </w:r>
    </w:p>
    <w:p w14:paraId="68E3F8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度，滕州市农业农村局按照中央、省、市政务信息公开的通知要求，紧紧围绕全市农业农村工作，落实责任分工，完善公开流程，全面覆盖、突出重点、狠抓落实，加强信息公开平台、滕州市人民政府官网、政务新媒体信息公开力度，稳步推进政府信息公开工作的扎实有效开展。</w:t>
      </w:r>
    </w:p>
    <w:p w14:paraId="6294C3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（一）政府信息主动公开情况</w:t>
      </w:r>
    </w:p>
    <w:p w14:paraId="6F4246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年，滕州市农业农村局</w:t>
      </w:r>
      <w:r>
        <w:rPr>
          <w:rFonts w:hint="eastAsia" w:ascii="仿宋_GB2312" w:hAnsi="ÃƒÂ¥Ã‚Â¾Ã‚Â®ÃƒÂ¨Ã‚Â½Ã‚Â¯ÃƒÂ©Ã¢â" w:eastAsia="仿宋_GB2312" w:cs="仿宋_GB2312"/>
          <w:color w:val="000000"/>
          <w:sz w:val="32"/>
          <w:szCs w:val="32"/>
          <w:lang w:val="en-US" w:eastAsia="zh-CN"/>
        </w:rPr>
        <w:t>在</w:t>
      </w:r>
      <w:r>
        <w:rPr>
          <w:rFonts w:hint="eastAsia" w:ascii="仿宋_GB2312" w:hAnsi="ÃƒÂ¥Ã‚Â¾Ã‚Â®ÃƒÂ¨Ã‚Â½Ã‚Â¯ÃƒÂ©Ã¢â" w:eastAsia="仿宋_GB2312" w:cs="仿宋_GB2312"/>
          <w:color w:val="000000"/>
          <w:sz w:val="32"/>
          <w:szCs w:val="32"/>
          <w:lang w:eastAsia="zh-CN"/>
        </w:rPr>
        <w:t>滕州市人民政府官网信息公开页面</w:t>
      </w:r>
      <w:r>
        <w:rPr>
          <w:rFonts w:hint="eastAsia" w:ascii="仿宋_GB2312" w:hAnsi="ÃƒÂ¥Ã‚Â¾Ã‚Â®ÃƒÂ¨Ã‚Â½Ã‚Â¯ÃƒÂ©Ã¢â" w:eastAsia="仿宋_GB2312" w:cs="仿宋_GB2312"/>
          <w:color w:val="000000"/>
          <w:sz w:val="32"/>
          <w:szCs w:val="32"/>
        </w:rPr>
        <w:t>主动公开政府信息</w:t>
      </w:r>
      <w:r>
        <w:rPr>
          <w:rFonts w:hint="eastAsia" w:ascii="仿宋_GB2312" w:hAnsi="ÃƒÂ¥Ã‚Â¾Ã‚Â®ÃƒÂ¨Ã‚Â½Ã‚Â¯ÃƒÂ©Ã¢â" w:eastAsia="仿宋_GB2312" w:cs="仿宋_GB2312"/>
          <w:color w:val="000000"/>
          <w:sz w:val="32"/>
          <w:szCs w:val="32"/>
          <w:highlight w:val="none"/>
          <w:lang w:val="en-US" w:eastAsia="zh-CN"/>
        </w:rPr>
        <w:t>116</w:t>
      </w:r>
      <w:r>
        <w:rPr>
          <w:rFonts w:hint="eastAsia" w:ascii="仿宋_GB2312" w:hAnsi="ÃƒÂ¥Ã‚Â¾Ã‚Â®ÃƒÂ¨Ã‚Â½Ã‚Â¯ÃƒÂ©Ã¢â" w:eastAsia="仿宋_GB2312" w:cs="仿宋_GB2312"/>
          <w:color w:val="000000"/>
          <w:sz w:val="32"/>
          <w:szCs w:val="32"/>
        </w:rPr>
        <w:t>条，其中通知公告</w:t>
      </w:r>
      <w:r>
        <w:rPr>
          <w:rFonts w:hint="eastAsia" w:ascii="仿宋_GB2312" w:hAnsi="ÃƒÂ¥Ã‚Â¾Ã‚Â®ÃƒÂ¨Ã‚Â½Ã‚Â¯ÃƒÂ©Ã¢â" w:eastAsia="仿宋_GB2312" w:cs="仿宋_GB2312"/>
          <w:color w:val="000000"/>
          <w:sz w:val="32"/>
          <w:szCs w:val="32"/>
          <w:highlight w:val="none"/>
          <w:lang w:val="en-US" w:eastAsia="zh-CN"/>
        </w:rPr>
        <w:t>10</w:t>
      </w:r>
      <w:r>
        <w:rPr>
          <w:rFonts w:hint="eastAsia" w:ascii="仿宋_GB2312" w:hAnsi="ÃƒÂ¥Ã‚Â¾Ã‚Â®ÃƒÂ¨Ã‚Â½Ã‚Â¯ÃƒÂ©Ã¢â" w:eastAsia="仿宋_GB2312" w:cs="仿宋_GB2312"/>
          <w:color w:val="000000"/>
          <w:sz w:val="32"/>
          <w:szCs w:val="32"/>
        </w:rPr>
        <w:t>条，财政信息</w:t>
      </w:r>
      <w:r>
        <w:rPr>
          <w:rFonts w:hint="eastAsia" w:ascii="仿宋_GB2312" w:hAnsi="ÃƒÂ¥Ã‚Â¾Ã‚Â®ÃƒÂ¨Ã‚Â½Ã‚Â¯ÃƒÂ©Ã¢â" w:eastAsia="仿宋_GB2312" w:cs="仿宋_GB2312"/>
          <w:color w:val="000000"/>
          <w:sz w:val="32"/>
          <w:szCs w:val="32"/>
          <w:highlight w:val="none"/>
          <w:lang w:val="en-US" w:eastAsia="zh-CN"/>
        </w:rPr>
        <w:t>6</w:t>
      </w:r>
      <w:r>
        <w:rPr>
          <w:rFonts w:hint="eastAsia" w:ascii="仿宋_GB2312" w:hAnsi="ÃƒÂ¥Ã‚Â¾Ã‚Â®ÃƒÂ¨Ã‚Â½Ã‚Â¯ÃƒÂ©Ã¢â" w:eastAsia="仿宋_GB2312" w:cs="仿宋_GB2312"/>
          <w:color w:val="000000"/>
          <w:sz w:val="32"/>
          <w:szCs w:val="32"/>
        </w:rPr>
        <w:t>条，乡村振兴、行政权力等重点领域</w:t>
      </w:r>
      <w:r>
        <w:rPr>
          <w:rFonts w:hint="eastAsia" w:ascii="仿宋_GB2312" w:hAnsi="ÃƒÂ¥Ã‚Â¾Ã‚Â®ÃƒÂ¨Ã‚Â½Ã‚Â¯ÃƒÂ©Ã¢â" w:eastAsia="仿宋_GB2312" w:cs="仿宋_GB2312"/>
          <w:color w:val="000000"/>
          <w:sz w:val="32"/>
          <w:szCs w:val="32"/>
          <w:lang w:val="en-US" w:eastAsia="zh-CN"/>
        </w:rPr>
        <w:t>37</w:t>
      </w:r>
      <w:r>
        <w:rPr>
          <w:rFonts w:hint="eastAsia" w:ascii="仿宋_GB2312" w:hAnsi="ÃƒÂ¥Ã‚Â¾Ã‚Â®ÃƒÂ¨Ã‚Â½Ã‚Â¯ÃƒÂ©Ã¢â" w:eastAsia="仿宋_GB2312" w:cs="仿宋_GB2312"/>
          <w:color w:val="000000"/>
          <w:sz w:val="32"/>
          <w:szCs w:val="32"/>
        </w:rPr>
        <w:t>条，其他类政务信息</w:t>
      </w:r>
      <w:r>
        <w:rPr>
          <w:rFonts w:hint="eastAsia" w:ascii="仿宋_GB2312" w:hAnsi="ÃƒÂ¥Ã‚Â¾Ã‚Â®ÃƒÂ¨Ã‚Â½Ã‚Â¯ÃƒÂ©Ã¢â" w:eastAsia="仿宋_GB2312" w:cs="仿宋_GB2312"/>
          <w:color w:val="000000"/>
          <w:sz w:val="32"/>
          <w:szCs w:val="32"/>
          <w:highlight w:val="none"/>
          <w:lang w:val="en-US" w:eastAsia="zh-CN"/>
        </w:rPr>
        <w:t>63</w:t>
      </w:r>
      <w:r>
        <w:rPr>
          <w:rFonts w:hint="eastAsia" w:ascii="仿宋_GB2312" w:hAnsi="ÃƒÂ¥Ã‚Â¾Ã‚Â®ÃƒÂ¨Ã‚Â½Ã‚Â¯ÃƒÂ©Ã¢â" w:eastAsia="仿宋_GB2312" w:cs="仿宋_GB2312"/>
          <w:color w:val="000000"/>
          <w:sz w:val="32"/>
          <w:szCs w:val="32"/>
        </w:rPr>
        <w:t>条。此外，在滕州市人民政府官网</w:t>
      </w:r>
      <w:r>
        <w:rPr>
          <w:rFonts w:hint="eastAsia" w:ascii="仿宋_GB2312" w:hAnsi="ÃƒÂ¥Ã‚Â¾Ã‚Â®ÃƒÂ¨Ã‚Â½Ã‚Â¯ÃƒÂ©Ã¢â" w:eastAsia="仿宋_GB2312" w:cs="仿宋_GB2312"/>
          <w:color w:val="000000"/>
          <w:sz w:val="32"/>
          <w:szCs w:val="32"/>
          <w:lang w:val="en-US" w:eastAsia="zh-CN"/>
        </w:rPr>
        <w:t>滕州市农业农村局</w:t>
      </w:r>
      <w:r>
        <w:rPr>
          <w:rFonts w:hint="eastAsia" w:ascii="仿宋_GB2312" w:hAnsi="ÃƒÂ¥Ã‚Â¾Ã‚Â®ÃƒÂ¨Ã‚Â½Ã‚Â¯ÃƒÂ©Ã¢â" w:eastAsia="仿宋_GB2312" w:cs="仿宋_GB2312"/>
          <w:color w:val="000000"/>
          <w:sz w:val="32"/>
          <w:szCs w:val="32"/>
        </w:rPr>
        <w:t>栏目、滕州农业农村局微信公众号等平台主动公开各类工作动态、重点工作、产业振兴、通知公告、三农资讯</w:t>
      </w:r>
      <w:r>
        <w:rPr>
          <w:rFonts w:hint="eastAsia" w:ascii="仿宋_GB2312" w:hAnsi="ÃƒÂ¥Ã‚Â¾Ã‚Â®ÃƒÂ¨Ã‚Â½Ã‚Â¯ÃƒÂ©Ã¢â" w:eastAsia="仿宋_GB2312" w:cs="仿宋_GB2312"/>
          <w:color w:val="000000"/>
          <w:sz w:val="32"/>
          <w:szCs w:val="32"/>
          <w:highlight w:val="none"/>
        </w:rPr>
        <w:t>等</w:t>
      </w:r>
      <w:r>
        <w:rPr>
          <w:rFonts w:hint="eastAsia" w:ascii="仿宋_GB2312" w:hAnsi="ÃƒÂ¥Ã‚Â¾Ã‚Â®ÃƒÂ¨Ã‚Â½Ã‚Â¯ÃƒÂ©Ã¢â" w:eastAsia="仿宋_GB2312" w:cs="仿宋_GB2312"/>
          <w:color w:val="000000"/>
          <w:sz w:val="32"/>
          <w:szCs w:val="32"/>
          <w:highlight w:val="none"/>
          <w:lang w:val="en-US" w:eastAsia="zh-CN"/>
        </w:rPr>
        <w:t>238</w:t>
      </w:r>
      <w:r>
        <w:rPr>
          <w:rFonts w:hint="eastAsia" w:ascii="仿宋_GB2312" w:hAnsi="ÃƒÂ¥Ã‚Â¾Ã‚Â®ÃƒÂ¨Ã‚Â½Ã‚Â¯ÃƒÂ©Ã¢â" w:eastAsia="仿宋_GB2312" w:cs="仿宋_GB2312"/>
          <w:color w:val="000000"/>
          <w:sz w:val="32"/>
          <w:szCs w:val="32"/>
          <w:highlight w:val="none"/>
        </w:rPr>
        <w:t>条</w:t>
      </w:r>
      <w:r>
        <w:rPr>
          <w:rFonts w:hint="eastAsia" w:ascii="仿宋_GB2312" w:hAnsi="ÃƒÂ¥Ã‚Â¾Ã‚Â®ÃƒÂ¨Ã‚Â½Ã‚Â¯ÃƒÂ©Ã¢â" w:eastAsia="仿宋_GB2312" w:cs="仿宋_GB2312"/>
          <w:color w:val="000000"/>
          <w:sz w:val="32"/>
          <w:szCs w:val="32"/>
        </w:rPr>
        <w:t>（次）。局属事业机构信息均通过</w:t>
      </w:r>
      <w:r>
        <w:rPr>
          <w:rFonts w:hint="eastAsia" w:ascii="仿宋_GB2312" w:hAnsi="ÃƒÂ¥Ã‚Â¾Ã‚Â®ÃƒÂ¨Ã‚Â½Ã‚Â¯ÃƒÂ©Ã¢â" w:eastAsia="仿宋_GB2312" w:cs="仿宋_GB2312"/>
          <w:color w:val="000000"/>
          <w:sz w:val="32"/>
          <w:szCs w:val="32"/>
          <w:lang w:eastAsia="zh-CN"/>
        </w:rPr>
        <w:t>滕州市人民政府官网信息公开页面</w:t>
      </w:r>
      <w:r>
        <w:rPr>
          <w:rFonts w:hint="eastAsia" w:ascii="仿宋_GB2312" w:hAnsi="ÃƒÂ¥Ã‚Â¾Ã‚Â®ÃƒÂ¨Ã‚Â½Ã‚Â¯ÃƒÂ©Ã¢â" w:eastAsia="仿宋_GB2312" w:cs="仿宋_GB2312"/>
          <w:color w:val="000000"/>
          <w:sz w:val="32"/>
          <w:szCs w:val="32"/>
        </w:rPr>
        <w:t>、滕州市人民政府官网</w:t>
      </w:r>
      <w:r>
        <w:rPr>
          <w:rFonts w:hint="eastAsia" w:ascii="仿宋_GB2312" w:hAnsi="ÃƒÂ¥Ã‚Â¾Ã‚Â®ÃƒÂ¨Ã‚Â½Ã‚Â¯ÃƒÂ©Ã¢â" w:eastAsia="仿宋_GB2312" w:cs="仿宋_GB2312"/>
          <w:color w:val="000000"/>
          <w:sz w:val="32"/>
          <w:szCs w:val="32"/>
          <w:lang w:val="en-US" w:eastAsia="zh-CN"/>
        </w:rPr>
        <w:t>滕州市农业农村局</w:t>
      </w:r>
      <w:r>
        <w:rPr>
          <w:rFonts w:hint="eastAsia" w:ascii="仿宋_GB2312" w:hAnsi="ÃƒÂ¥Ã‚Â¾Ã‚Â®ÃƒÂ¨Ã‚Â½Ã‚Â¯ÃƒÂ©Ã¢â" w:eastAsia="仿宋_GB2312" w:cs="仿宋_GB2312"/>
          <w:color w:val="000000"/>
          <w:sz w:val="32"/>
          <w:szCs w:val="32"/>
        </w:rPr>
        <w:t>栏目及时同步公开。</w:t>
      </w:r>
    </w:p>
    <w:p w14:paraId="4FC0D6E9">
      <w:pPr>
        <w:jc w:val="left"/>
        <w:rPr>
          <w:rFonts w:hint="eastAsia" w:ascii="仿宋_GB2312" w:hAnsi="ÃƒÂ¥Ã‚Â¾Ã‚Â®ÃƒÂ¨Ã‚Â½Ã‚Â¯ÃƒÂ©Ã¢â" w:eastAsia="仿宋_GB2312" w:cs="仿宋_GB2312"/>
          <w:color w:val="000000"/>
          <w:sz w:val="32"/>
          <w:szCs w:val="32"/>
          <w:lang w:eastAsia="zh-CN"/>
        </w:rPr>
      </w:pPr>
      <w:r>
        <w:rPr>
          <w:rFonts w:hint="eastAsia" w:ascii="仿宋_GB2312" w:hAnsi="ÃƒÂ¥Ã‚Â¾Ã‚Â®ÃƒÂ¨Ã‚Â½Ã‚Â¯ÃƒÂ©Ã¢â" w:eastAsia="仿宋_GB2312" w:cs="仿宋_GB2312"/>
          <w:color w:val="000000"/>
          <w:sz w:val="32"/>
          <w:szCs w:val="32"/>
          <w:lang w:eastAsia="zh-CN"/>
        </w:rPr>
        <w:drawing>
          <wp:inline distT="0" distB="0" distL="114300" distR="114300">
            <wp:extent cx="5396230" cy="3050540"/>
            <wp:effectExtent l="0" t="0" r="0" b="0"/>
            <wp:docPr id="2" name="图片 2" descr="D:/桌面/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桌面/图片1.png图片1"/>
                    <pic:cNvPicPr>
                      <a:picLocks noChangeAspect="1"/>
                    </pic:cNvPicPr>
                  </pic:nvPicPr>
                  <pic:blipFill>
                    <a:blip r:embed="rId5"/>
                    <a:srcRect t="1680" b="4795"/>
                    <a:stretch>
                      <a:fillRect/>
                    </a:stretch>
                  </pic:blipFill>
                  <pic:spPr>
                    <a:xfrm>
                      <a:off x="0" y="0"/>
                      <a:ext cx="5396230" cy="3050540"/>
                    </a:xfrm>
                    <a:prstGeom prst="rect">
                      <a:avLst/>
                    </a:prstGeom>
                  </pic:spPr>
                </pic:pic>
              </a:graphicData>
            </a:graphic>
          </wp:inline>
        </w:drawing>
      </w:r>
    </w:p>
    <w:p w14:paraId="705A4B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（二）依申请公开政府信息办理情况</w:t>
      </w:r>
    </w:p>
    <w:p w14:paraId="3993A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highlight w:val="none"/>
        </w:rPr>
      </w:pPr>
      <w:r>
        <w:rPr>
          <w:rFonts w:hint="eastAsia" w:ascii="仿宋_GB2312" w:hAnsi="ÃƒÂ¥Ã‚Â¾Ã‚Â®ÃƒÂ¨Ã‚Â½Ã‚Â¯ÃƒÂ©Ã¢â" w:eastAsia="仿宋_GB2312" w:cs="仿宋_GB2312"/>
          <w:color w:val="000000"/>
          <w:sz w:val="32"/>
          <w:szCs w:val="32"/>
          <w:highlight w:val="none"/>
        </w:rPr>
        <w:t>1.</w:t>
      </w:r>
      <w:r>
        <w:rPr>
          <w:rFonts w:hint="eastAsia" w:ascii="仿宋_GB2312" w:hAnsi="ÃƒÂ¥Ã‚Â¾Ã‚Â®ÃƒÂ¨Ã‚Â½Ã‚Â¯ÃƒÂ©Ã¢â" w:eastAsia="仿宋_GB2312" w:cs="仿宋_GB2312"/>
          <w:color w:val="000000"/>
          <w:sz w:val="32"/>
          <w:szCs w:val="32"/>
          <w:highlight w:val="none"/>
          <w:lang w:eastAsia="zh-CN"/>
        </w:rPr>
        <w:t>2025</w:t>
      </w:r>
      <w:r>
        <w:rPr>
          <w:rFonts w:hint="eastAsia" w:ascii="仿宋_GB2312" w:hAnsi="ÃƒÂ¥Ã‚Â¾Ã‚Â®ÃƒÂ¨Ã‚Â½Ã‚Â¯ÃƒÂ©Ã¢â" w:eastAsia="仿宋_GB2312" w:cs="仿宋_GB2312"/>
          <w:color w:val="000000"/>
          <w:sz w:val="32"/>
          <w:szCs w:val="32"/>
          <w:highlight w:val="none"/>
        </w:rPr>
        <w:t>年，市农业农村局共受理</w:t>
      </w:r>
      <w:r>
        <w:rPr>
          <w:rFonts w:hint="eastAsia" w:ascii="仿宋_GB2312" w:hAnsi="ÃƒÂ¥Ã‚Â¾Ã‚Â®ÃƒÂ¨Ã‚Â½Ã‚Â¯ÃƒÂ©Ã¢â" w:eastAsia="仿宋_GB2312" w:cs="仿宋_GB2312"/>
          <w:color w:val="000000"/>
          <w:sz w:val="32"/>
          <w:szCs w:val="32"/>
          <w:highlight w:val="none"/>
          <w:lang w:val="en-US" w:eastAsia="zh-CN"/>
        </w:rPr>
        <w:t>4</w:t>
      </w:r>
      <w:r>
        <w:rPr>
          <w:rFonts w:hint="eastAsia" w:ascii="仿宋_GB2312" w:hAnsi="ÃƒÂ¥Ã‚Â¾Ã‚Â®ÃƒÂ¨Ã‚Â½Ã‚Â¯ÃƒÂ©Ã¢â" w:eastAsia="仿宋_GB2312" w:cs="仿宋_GB2312"/>
          <w:color w:val="000000"/>
          <w:sz w:val="32"/>
          <w:szCs w:val="32"/>
          <w:highlight w:val="none"/>
        </w:rPr>
        <w:t>件政府信息公开申请，</w:t>
      </w:r>
      <w:r>
        <w:rPr>
          <w:rFonts w:hint="eastAsia" w:ascii="仿宋_GB2312" w:hAnsi="ÃƒÂ¥Ã‚Â¾Ã‚Â®ÃƒÂ¨Ã‚Â½Ã‚Â¯ÃƒÂ©Ã¢â" w:eastAsia="仿宋_GB2312" w:cs="仿宋_GB2312"/>
          <w:color w:val="000000"/>
          <w:sz w:val="32"/>
          <w:szCs w:val="32"/>
          <w:highlight w:val="none"/>
          <w:lang w:eastAsia="zh-CN"/>
        </w:rPr>
        <w:t>均</w:t>
      </w:r>
      <w:r>
        <w:rPr>
          <w:rFonts w:hint="eastAsia" w:ascii="仿宋_GB2312" w:hAnsi="ÃƒÂ¥Ã‚Â¾Ã‚Â®ÃƒÂ¨Ã‚Â½Ã‚Â¯ÃƒÂ©Ã¢â" w:eastAsia="仿宋_GB2312" w:cs="仿宋_GB2312"/>
          <w:color w:val="000000"/>
          <w:sz w:val="32"/>
          <w:szCs w:val="32"/>
          <w:highlight w:val="none"/>
        </w:rPr>
        <w:t>为自然人提交</w:t>
      </w:r>
      <w:r>
        <w:rPr>
          <w:rFonts w:hint="eastAsia" w:ascii="仿宋_GB2312" w:hAnsi="ÃƒÂ¥Ã‚Â¾Ã‚Â®ÃƒÂ¨Ã‚Â½Ã‚Â¯ÃƒÂ©Ã¢â" w:eastAsia="仿宋_GB2312" w:cs="仿宋_GB2312"/>
          <w:color w:val="000000"/>
          <w:sz w:val="32"/>
          <w:szCs w:val="32"/>
          <w:highlight w:val="none"/>
          <w:lang w:eastAsia="zh-CN"/>
        </w:rPr>
        <w:t>，</w:t>
      </w:r>
      <w:r>
        <w:rPr>
          <w:rFonts w:hint="eastAsia" w:ascii="仿宋_GB2312" w:hAnsi="ÃƒÂ¥Ã‚Â¾Ã‚Â®ÃƒÂ¨Ã‚Â½Ã‚Â¯ÃƒÂ©Ã¢â" w:eastAsia="仿宋_GB2312" w:cs="仿宋_GB2312"/>
          <w:color w:val="000000"/>
          <w:sz w:val="32"/>
          <w:szCs w:val="32"/>
          <w:highlight w:val="none"/>
        </w:rPr>
        <w:t>结转上年政府信息公开申请0件</w:t>
      </w:r>
      <w:r>
        <w:rPr>
          <w:rFonts w:hint="eastAsia" w:ascii="仿宋_GB2312" w:hAnsi="ÃƒÂ¥Ã‚Â¾Ã‚Â®ÃƒÂ¨Ã‚Â½Ã‚Â¯ÃƒÂ©Ã¢â" w:eastAsia="仿宋_GB2312" w:cs="仿宋_GB2312"/>
          <w:color w:val="000000"/>
          <w:sz w:val="32"/>
          <w:szCs w:val="32"/>
          <w:highlight w:val="none"/>
          <w:lang w:eastAsia="zh-CN"/>
        </w:rPr>
        <w:t>，总计</w:t>
      </w:r>
      <w:r>
        <w:rPr>
          <w:rFonts w:hint="eastAsia" w:ascii="仿宋_GB2312" w:hAnsi="ÃƒÂ¥Ã‚Â¾Ã‚Â®ÃƒÂ¨Ã‚Â½Ã‚Â¯ÃƒÂ©Ã¢â" w:eastAsia="仿宋_GB2312" w:cs="仿宋_GB2312"/>
          <w:color w:val="000000"/>
          <w:sz w:val="32"/>
          <w:szCs w:val="32"/>
          <w:highlight w:val="none"/>
          <w:lang w:val="en-US" w:eastAsia="zh-CN"/>
        </w:rPr>
        <w:t>4件</w:t>
      </w:r>
      <w:r>
        <w:rPr>
          <w:rFonts w:hint="eastAsia" w:ascii="仿宋_GB2312" w:hAnsi="ÃƒÂ¥Ã‚Â¾Ã‚Â®ÃƒÂ¨Ã‚Â½Ã‚Â¯ÃƒÂ©Ã¢â" w:eastAsia="仿宋_GB2312" w:cs="仿宋_GB2312"/>
          <w:color w:val="000000"/>
          <w:sz w:val="32"/>
          <w:szCs w:val="32"/>
          <w:highlight w:val="none"/>
          <w:lang w:eastAsia="zh-CN"/>
        </w:rPr>
        <w:t>。</w:t>
      </w:r>
      <w:r>
        <w:rPr>
          <w:rFonts w:hint="eastAsia" w:ascii="仿宋_GB2312" w:hAnsi="ÃƒÂ¥Ã‚Â¾Ã‚Â®ÃƒÂ¨Ã‚Â½Ã‚Â¯ÃƒÂ©Ã¢â" w:eastAsia="仿宋_GB2312" w:cs="仿宋_GB2312"/>
          <w:color w:val="000000"/>
          <w:sz w:val="32"/>
          <w:szCs w:val="32"/>
          <w:highlight w:val="none"/>
        </w:rPr>
        <w:t>申请内容分别为农村</w:t>
      </w:r>
      <w:r>
        <w:rPr>
          <w:rFonts w:hint="eastAsia" w:ascii="仿宋_GB2312" w:hAnsi="ÃƒÂ¥Ã‚Â¾Ã‚Â®ÃƒÂ¨Ã‚Â½Ã‚Â¯ÃƒÂ©Ã¢â" w:eastAsia="仿宋_GB2312" w:cs="仿宋_GB2312"/>
          <w:color w:val="000000"/>
          <w:sz w:val="32"/>
          <w:szCs w:val="32"/>
          <w:highlight w:val="none"/>
          <w:lang w:val="en-US" w:eastAsia="zh-CN"/>
        </w:rPr>
        <w:t>宅基地2</w:t>
      </w:r>
      <w:r>
        <w:rPr>
          <w:rFonts w:hint="eastAsia" w:ascii="仿宋_GB2312" w:hAnsi="ÃƒÂ¥Ã‚Â¾Ã‚Â®ÃƒÂ¨Ã‚Â½Ã‚Â¯ÃƒÂ©Ã¢â" w:eastAsia="仿宋_GB2312" w:cs="仿宋_GB2312"/>
          <w:color w:val="000000"/>
          <w:sz w:val="32"/>
          <w:szCs w:val="32"/>
          <w:highlight w:val="none"/>
        </w:rPr>
        <w:t>件</w:t>
      </w:r>
      <w:r>
        <w:rPr>
          <w:rFonts w:hint="eastAsia" w:ascii="仿宋_GB2312" w:hAnsi="ÃƒÂ¥Ã‚Â¾Ã‚Â®ÃƒÂ¨Ã‚Â½Ã‚Â¯ÃƒÂ©Ã¢â" w:eastAsia="仿宋_GB2312" w:cs="仿宋_GB2312"/>
          <w:color w:val="000000"/>
          <w:sz w:val="32"/>
          <w:szCs w:val="32"/>
          <w:highlight w:val="none"/>
          <w:lang w:eastAsia="zh-CN"/>
        </w:rPr>
        <w:t>、高标准农田建设</w:t>
      </w:r>
      <w:r>
        <w:rPr>
          <w:rFonts w:hint="eastAsia" w:ascii="仿宋_GB2312" w:hAnsi="ÃƒÂ¥Ã‚Â¾Ã‚Â®ÃƒÂ¨Ã‚Â½Ã‚Â¯ÃƒÂ©Ã¢â" w:eastAsia="仿宋_GB2312" w:cs="仿宋_GB2312"/>
          <w:color w:val="000000"/>
          <w:sz w:val="32"/>
          <w:szCs w:val="32"/>
          <w:highlight w:val="none"/>
          <w:lang w:val="en-US" w:eastAsia="zh-CN"/>
        </w:rPr>
        <w:t>1件、农村土地承包1件</w:t>
      </w:r>
      <w:r>
        <w:rPr>
          <w:rFonts w:hint="eastAsia" w:ascii="仿宋_GB2312" w:hAnsi="ÃƒÂ¥Ã‚Â¾Ã‚Â®ÃƒÂ¨Ã‚Â½Ã‚Â¯ÃƒÂ©Ã¢â" w:eastAsia="仿宋_GB2312" w:cs="仿宋_GB2312"/>
          <w:color w:val="000000"/>
          <w:sz w:val="32"/>
          <w:szCs w:val="32"/>
          <w:highlight w:val="none"/>
        </w:rPr>
        <w:t>。</w:t>
      </w:r>
    </w:p>
    <w:p w14:paraId="14E969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ÃƒÂ¥Ã‚Â¾Ã‚Â®ÃƒÂ¨Ã‚Â½Ã‚Â¯ÃƒÂ©Ã¢â" w:eastAsia="仿宋_GB2312" w:cs="仿宋_GB2312"/>
          <w:color w:val="000000"/>
          <w:sz w:val="32"/>
          <w:szCs w:val="32"/>
          <w:highlight w:val="none"/>
          <w:lang w:val="en-US" w:eastAsia="zh-CN"/>
        </w:rPr>
      </w:pPr>
      <w:r>
        <w:rPr>
          <w:rFonts w:hint="eastAsia" w:ascii="仿宋_GB2312" w:hAnsi="ÃƒÂ¥Ã‚Â¾Ã‚Â®ÃƒÂ¨Ã‚Â½Ã‚Â¯ÃƒÂ©Ã¢â" w:eastAsia="仿宋_GB2312" w:cs="仿宋_GB2312"/>
          <w:color w:val="000000"/>
          <w:sz w:val="32"/>
          <w:szCs w:val="32"/>
          <w:highlight w:val="none"/>
          <w:lang w:val="en-US" w:eastAsia="zh-CN"/>
        </w:rPr>
        <w:t>2.</w:t>
      </w:r>
      <w:r>
        <w:rPr>
          <w:rFonts w:hint="eastAsia" w:ascii="仿宋_GB2312" w:hAnsi="ÃƒÂ¥Ã‚Â¾Ã‚Â®ÃƒÂ¨Ã‚Â½Ã‚Â¯ÃƒÂ©Ã¢â" w:eastAsia="仿宋_GB2312" w:cs="仿宋_GB2312"/>
          <w:color w:val="000000"/>
          <w:sz w:val="32"/>
          <w:szCs w:val="32"/>
          <w:highlight w:val="none"/>
        </w:rPr>
        <w:t>处理情况。共答复政府信息公开</w:t>
      </w:r>
      <w:r>
        <w:rPr>
          <w:rFonts w:hint="eastAsia" w:ascii="仿宋_GB2312" w:hAnsi="ÃƒÂ¥Ã‚Â¾Ã‚Â®ÃƒÂ¨Ã‚Â½Ã‚Â¯ÃƒÂ©Ã¢â" w:eastAsia="仿宋_GB2312" w:cs="仿宋_GB2312"/>
          <w:color w:val="000000"/>
          <w:sz w:val="32"/>
          <w:szCs w:val="32"/>
          <w:highlight w:val="none"/>
        </w:rPr>
        <w:t>申请</w:t>
      </w:r>
      <w:r>
        <w:rPr>
          <w:rFonts w:hint="eastAsia" w:ascii="仿宋_GB2312" w:hAnsi="ÃƒÂ¥Ã‚Â¾Ã‚Â®ÃƒÂ¨Ã‚Â½Ã‚Â¯ÃƒÂ©Ã¢â" w:eastAsia="仿宋_GB2312" w:cs="仿宋_GB2312"/>
          <w:color w:val="000000"/>
          <w:sz w:val="32"/>
          <w:szCs w:val="32"/>
          <w:highlight w:val="none"/>
          <w:lang w:val="en-US" w:eastAsia="zh-CN"/>
        </w:rPr>
        <w:t>4</w:t>
      </w:r>
      <w:r>
        <w:rPr>
          <w:rFonts w:hint="eastAsia" w:ascii="仿宋_GB2312" w:hAnsi="ÃƒÂ¥Ã‚Â¾Ã‚Â®ÃƒÂ¨Ã‚Â½Ã‚Â¯ÃƒÂ©Ã¢â" w:eastAsia="仿宋_GB2312" w:cs="仿宋_GB2312"/>
          <w:color w:val="000000"/>
          <w:sz w:val="32"/>
          <w:szCs w:val="32"/>
          <w:highlight w:val="none"/>
        </w:rPr>
        <w:t>件，按时办结</w:t>
      </w:r>
      <w:r>
        <w:rPr>
          <w:rFonts w:hint="eastAsia" w:ascii="仿宋_GB2312" w:hAnsi="ÃƒÂ¥Ã‚Â¾Ã‚Â®ÃƒÂ¨Ã‚Â½Ã‚Â¯ÃƒÂ©Ã¢â" w:eastAsia="仿宋_GB2312" w:cs="仿宋_GB2312"/>
          <w:color w:val="000000"/>
          <w:sz w:val="32"/>
          <w:szCs w:val="32"/>
          <w:highlight w:val="none"/>
          <w:lang w:val="en-US" w:eastAsia="zh-CN"/>
        </w:rPr>
        <w:t>4</w:t>
      </w:r>
      <w:r>
        <w:rPr>
          <w:rFonts w:hint="eastAsia" w:ascii="仿宋_GB2312" w:hAnsi="ÃƒÂ¥Ã‚Â¾Ã‚Â®ÃƒÂ¨Ã‚Â½Ã‚Â¯ÃƒÂ©Ã¢â" w:eastAsia="仿宋_GB2312" w:cs="仿宋_GB2312"/>
          <w:color w:val="000000"/>
          <w:sz w:val="32"/>
          <w:szCs w:val="32"/>
          <w:highlight w:val="none"/>
        </w:rPr>
        <w:t>件，按时办结</w:t>
      </w:r>
      <w:r>
        <w:rPr>
          <w:rFonts w:hint="eastAsia" w:ascii="仿宋_GB2312" w:hAnsi="ÃƒÂ¥Ã‚Â¾Ã‚Â®ÃƒÂ¨Ã‚Â½Ã‚Â¯ÃƒÂ©Ã¢â" w:eastAsia="仿宋_GB2312" w:cs="仿宋_GB2312"/>
          <w:color w:val="000000"/>
          <w:sz w:val="32"/>
          <w:szCs w:val="32"/>
          <w:highlight w:val="none"/>
        </w:rPr>
        <w:t>率100%。</w:t>
      </w:r>
      <w:r>
        <w:rPr>
          <w:rFonts w:hint="eastAsia" w:ascii="仿宋_GB2312" w:hAnsi="ÃƒÂ¥Ã‚Â¾Ã‚Â®ÃƒÂ¨Ã‚Â½Ã‚Â¯ÃƒÂ©Ã¢â" w:eastAsia="仿宋_GB2312" w:cs="仿宋_GB2312"/>
          <w:color w:val="000000"/>
          <w:sz w:val="32"/>
          <w:szCs w:val="32"/>
          <w:highlight w:val="none"/>
          <w:lang w:eastAsia="zh-CN"/>
        </w:rPr>
        <w:t>其中予以公开</w:t>
      </w:r>
      <w:r>
        <w:rPr>
          <w:rFonts w:hint="eastAsia" w:ascii="仿宋_GB2312" w:hAnsi="ÃƒÂ¥Ã‚Â¾Ã‚Â®ÃƒÂ¨Ã‚Â½Ã‚Â¯ÃƒÂ©Ã¢â" w:eastAsia="仿宋_GB2312" w:cs="仿宋_GB2312"/>
          <w:color w:val="000000"/>
          <w:sz w:val="32"/>
          <w:szCs w:val="32"/>
          <w:highlight w:val="none"/>
          <w:lang w:val="en-US" w:eastAsia="zh-CN"/>
        </w:rPr>
        <w:t>2件，本机关不掌握</w:t>
      </w:r>
      <w:bookmarkStart w:id="10" w:name="_GoBack"/>
      <w:bookmarkEnd w:id="10"/>
      <w:r>
        <w:rPr>
          <w:rFonts w:hint="eastAsia" w:ascii="仿宋_GB2312" w:hAnsi="ÃƒÂ¥Ã‚Â¾Ã‚Â®ÃƒÂ¨Ã‚Â½Ã‚Â¯ÃƒÂ©Ã¢â" w:eastAsia="仿宋_GB2312" w:cs="仿宋_GB2312"/>
          <w:color w:val="000000"/>
          <w:sz w:val="32"/>
          <w:szCs w:val="32"/>
          <w:highlight w:val="none"/>
          <w:lang w:val="en-US" w:eastAsia="zh-CN"/>
        </w:rPr>
        <w:t>相关信息2件。</w:t>
      </w:r>
    </w:p>
    <w:p w14:paraId="1C8E7A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lang w:val="en-US" w:eastAsia="zh-CN"/>
        </w:rPr>
        <w:t>3.增减情况。与去年相比，依申请公开数量无变化。</w:t>
      </w:r>
    </w:p>
    <w:p w14:paraId="3812B8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highlight w:val="yellow"/>
        </w:rPr>
      </w:pPr>
      <w:r>
        <w:rPr>
          <w:rFonts w:hint="eastAsia" w:ascii="仿宋_GB2312" w:hAnsi="ÃƒÂ¥Ã‚Â¾Ã‚Â®ÃƒÂ¨Ã‚Â½Ã‚Â¯ÃƒÂ©Ã¢â" w:eastAsia="仿宋_GB2312" w:cs="仿宋_GB2312"/>
          <w:color w:val="000000"/>
          <w:sz w:val="32"/>
          <w:szCs w:val="32"/>
          <w:lang w:val="en-US" w:eastAsia="zh-CN"/>
        </w:rPr>
        <w:t>4.2025年无因</w:t>
      </w:r>
      <w:r>
        <w:rPr>
          <w:rFonts w:hint="eastAsia" w:ascii="仿宋_GB2312" w:hAnsi="ÃƒÂ¥Ã‚Â¾Ã‚Â®ÃƒÂ¨Ã‚Â½Ã‚Â¯ÃƒÂ©Ã¢â" w:eastAsia="仿宋_GB2312" w:cs="仿宋_GB2312"/>
          <w:color w:val="000000"/>
          <w:sz w:val="32"/>
          <w:szCs w:val="32"/>
        </w:rPr>
        <w:t>政府信息公开依申请</w:t>
      </w:r>
      <w:r>
        <w:rPr>
          <w:rFonts w:hint="eastAsia" w:ascii="仿宋_GB2312" w:hAnsi="ÃƒÂ¥Ã‚Â¾Ã‚Â®ÃƒÂ¨Ã‚Â½Ã‚Â¯ÃƒÂ©Ã¢â" w:eastAsia="仿宋_GB2312" w:cs="仿宋_GB2312"/>
          <w:color w:val="000000"/>
          <w:sz w:val="32"/>
          <w:szCs w:val="32"/>
          <w:lang w:val="en-US" w:eastAsia="zh-CN"/>
        </w:rPr>
        <w:t>引发的</w:t>
      </w:r>
      <w:r>
        <w:rPr>
          <w:rFonts w:hint="eastAsia" w:ascii="仿宋_GB2312" w:hAnsi="ÃƒÂ¥Ã‚Â¾Ã‚Â®ÃƒÂ¨Ã‚Â½Ã‚Â¯ÃƒÂ©Ã¢â" w:eastAsia="仿宋_GB2312" w:cs="仿宋_GB2312"/>
          <w:color w:val="000000"/>
          <w:sz w:val="32"/>
          <w:szCs w:val="32"/>
        </w:rPr>
        <w:t>行政复议</w:t>
      </w:r>
      <w:r>
        <w:rPr>
          <w:rFonts w:hint="eastAsia" w:ascii="仿宋_GB2312" w:hAnsi="ÃƒÂ¥Ã‚Â¾Ã‚Â®ÃƒÂ¨Ã‚Â½Ã‚Â¯ÃƒÂ©Ã¢â" w:eastAsia="仿宋_GB2312" w:cs="仿宋_GB2312"/>
          <w:color w:val="000000"/>
          <w:sz w:val="32"/>
          <w:szCs w:val="32"/>
          <w:lang w:eastAsia="zh-CN"/>
        </w:rPr>
        <w:t>、</w:t>
      </w:r>
      <w:r>
        <w:rPr>
          <w:rFonts w:hint="eastAsia" w:ascii="仿宋_GB2312" w:hAnsi="ÃƒÂ¥Ã‚Â¾Ã‚Â®ÃƒÂ¨Ã‚Â½Ã‚Â¯ÃƒÂ©Ã¢â" w:eastAsia="仿宋_GB2312" w:cs="仿宋_GB2312"/>
          <w:color w:val="000000"/>
          <w:sz w:val="32"/>
          <w:szCs w:val="32"/>
          <w:lang w:val="en-US" w:eastAsia="zh-CN"/>
        </w:rPr>
        <w:t>行政</w:t>
      </w:r>
      <w:r>
        <w:rPr>
          <w:rFonts w:hint="eastAsia" w:ascii="仿宋_GB2312" w:hAnsi="ÃƒÂ¥Ã‚Â¾Ã‚Â®ÃƒÂ¨Ã‚Â½Ã‚Â¯ÃƒÂ©Ã¢â" w:eastAsia="仿宋_GB2312" w:cs="仿宋_GB2312"/>
          <w:color w:val="000000"/>
          <w:sz w:val="32"/>
          <w:szCs w:val="32"/>
        </w:rPr>
        <w:t>诉讼。</w:t>
      </w:r>
    </w:p>
    <w:p w14:paraId="45A067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（三）政府信息管理情况</w:t>
      </w:r>
    </w:p>
    <w:p w14:paraId="73E433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rPr>
        <w:t>全面梳理了门户网站政务公开目录，收集、整理各类政务公开信息，并确定政府门户网站上的政务公开目录，按照目录要求收集公开信息并在网上公开。同时，严格遵循“谁公开、谁审查、谁负责”原则，确保了政务信息公开工作扎实有效开展。健全完善信息公开保密审查制度，提高政府信息公开工作的规范化水平。</w:t>
      </w:r>
    </w:p>
    <w:p w14:paraId="4BCAC6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（四）政府信息平台建设情况</w:t>
      </w:r>
    </w:p>
    <w:p w14:paraId="755FD8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rPr>
        <w:t>结合自身实际情况，从制度建设入手，完善政府信息公开制度，明确政府信息公开的职责、范围、方式和操作流程。将信息公开的内容和速率作为信息公开工作的核心，安排人员负责公开信息的编辑、审核与发布。同时积极构建微信公众号等新媒体宣传工作新格局，极大的方便了农民群众。</w:t>
      </w:r>
    </w:p>
    <w:p w14:paraId="74C066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ÃƒÂ¥Ã‚Â¾Ã‚Â®ÃƒÂ¨Ã‚Â½Ã‚Â¯ÃƒÂ©Ã¢â" w:eastAsia="仿宋_GB2312" w:cs="仿宋_GB2312"/>
          <w:color w:val="000000"/>
          <w:sz w:val="32"/>
          <w:szCs w:val="32"/>
        </w:rPr>
      </w:pPr>
      <w:r>
        <w:rPr>
          <w:rFonts w:hint="eastAsia" w:ascii="仿宋_GB2312" w:hAnsi="ÃƒÂ¥Ã‚Â¾Ã‚Â®ÃƒÂ¨Ã‚Â½Ã‚Â¯ÃƒÂ©Ã¢â"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年，滕州市农业农村局未发生因信息公开审查不当或保密审查机构未履行保密审查职责而引起的失泄密情况。</w:t>
      </w:r>
      <w:r>
        <w:rPr>
          <w:rFonts w:hint="eastAsia" w:ascii="仿宋_GB2312" w:hAnsi="ÃƒÂ¥Ã‚Â¾Ã‚Â®ÃƒÂ¨Ã‚Â½Ã‚Â¯ÃƒÂ©Ã¢â" w:eastAsia="仿宋_GB2312" w:cs="仿宋_GB2312"/>
          <w:color w:val="000000"/>
          <w:sz w:val="32"/>
          <w:szCs w:val="32"/>
          <w:lang w:eastAsia="zh-CN"/>
        </w:rPr>
        <w:t>2025</w:t>
      </w:r>
      <w:r>
        <w:rPr>
          <w:rFonts w:hint="eastAsia" w:ascii="仿宋_GB2312" w:hAnsi="ÃƒÂ¥Ã‚Â¾Ã‚Â®ÃƒÂ¨Ã‚Â½Ã‚Â¯ÃƒÂ©Ã¢â" w:eastAsia="仿宋_GB2312" w:cs="仿宋_GB2312"/>
          <w:color w:val="000000"/>
          <w:sz w:val="32"/>
          <w:szCs w:val="32"/>
        </w:rPr>
        <w:t>年度未进行社会评议，未发生责任追究情况。</w:t>
      </w:r>
    </w:p>
    <w:p w14:paraId="7C386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二、</w:t>
      </w:r>
      <w:r>
        <w:rPr>
          <w:rFonts w:hint="eastAsia" w:ascii="黑体" w:hAnsi="黑体" w:eastAsia="黑体" w:cs="黑体"/>
          <w:color w:val="000000"/>
          <w:sz w:val="32"/>
          <w:szCs w:val="32"/>
        </w:rPr>
        <w:t>主动公开政府信息工作情况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4FDF1D8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86D655D">
            <w:pPr>
              <w:widowControl/>
              <w:spacing w:line="6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652F4E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416AAC">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54591623">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EF714E7">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1F5130D2">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0E73C3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95DB65E">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AC4D5F2">
            <w:pPr>
              <w:widowControl/>
              <w:spacing w:line="600" w:lineRule="exact"/>
              <w:jc w:val="center"/>
              <w:rPr>
                <w:rFonts w:ascii="仿宋_GB2312" w:hAnsi="宋体" w:eastAsia="仿宋_GB2312" w:cs="宋体"/>
                <w:color w:val="000000"/>
                <w:kern w:val="0"/>
                <w:szCs w:val="21"/>
                <w:highlight w:val="yellow"/>
              </w:rPr>
            </w:pPr>
            <w:r>
              <w:rPr>
                <w:rFonts w:hint="eastAsia" w:ascii="仿宋_GB2312" w:hAnsi="Times New Roman" w:eastAsia="仿宋_GB2312"/>
                <w:szCs w:val="21"/>
              </w:rPr>
              <w:t>0</w:t>
            </w:r>
          </w:p>
        </w:tc>
        <w:tc>
          <w:tcPr>
            <w:tcW w:w="2206" w:type="dxa"/>
            <w:tcBorders>
              <w:top w:val="nil"/>
              <w:left w:val="nil"/>
              <w:bottom w:val="single" w:color="auto" w:sz="8" w:space="0"/>
              <w:right w:val="single" w:color="auto" w:sz="8" w:space="0"/>
            </w:tcBorders>
            <w:shd w:val="clear" w:color="auto" w:fill="auto"/>
            <w:vAlign w:val="center"/>
          </w:tcPr>
          <w:p w14:paraId="55AEEF8D">
            <w:pPr>
              <w:widowControl/>
              <w:spacing w:line="600" w:lineRule="exact"/>
              <w:jc w:val="center"/>
              <w:rPr>
                <w:rFonts w:ascii="仿宋_GB2312" w:hAnsi="宋体" w:eastAsia="仿宋_GB2312" w:cs="宋体"/>
                <w:color w:val="000000"/>
                <w:kern w:val="0"/>
                <w:szCs w:val="21"/>
                <w:highlight w:val="yellow"/>
              </w:rPr>
            </w:pPr>
            <w:r>
              <w:rPr>
                <w:rFonts w:hint="eastAsia" w:ascii="仿宋_GB2312" w:hAnsi="Times New Roman" w:eastAsia="仿宋_GB2312"/>
                <w:szCs w:val="21"/>
              </w:rPr>
              <w:t>0</w:t>
            </w:r>
          </w:p>
        </w:tc>
        <w:tc>
          <w:tcPr>
            <w:tcW w:w="2206" w:type="dxa"/>
            <w:tcBorders>
              <w:top w:val="nil"/>
              <w:left w:val="nil"/>
              <w:bottom w:val="single" w:color="auto" w:sz="8" w:space="0"/>
              <w:right w:val="single" w:color="auto" w:sz="8" w:space="0"/>
            </w:tcBorders>
            <w:shd w:val="clear" w:color="auto" w:fill="auto"/>
            <w:vAlign w:val="center"/>
          </w:tcPr>
          <w:p w14:paraId="7F2BDBBD">
            <w:pPr>
              <w:widowControl/>
              <w:spacing w:line="600" w:lineRule="exact"/>
              <w:jc w:val="center"/>
              <w:rPr>
                <w:rFonts w:ascii="仿宋_GB2312" w:hAnsi="Calibri" w:eastAsia="仿宋_GB2312" w:cs="Calibri"/>
                <w:color w:val="000000"/>
                <w:kern w:val="0"/>
                <w:szCs w:val="21"/>
                <w:highlight w:val="yellow"/>
              </w:rPr>
            </w:pPr>
            <w:r>
              <w:rPr>
                <w:rFonts w:hint="eastAsia" w:ascii="仿宋_GB2312" w:hAnsi="Times New Roman" w:eastAsia="仿宋_GB2312"/>
                <w:szCs w:val="21"/>
              </w:rPr>
              <w:t>0</w:t>
            </w:r>
          </w:p>
        </w:tc>
      </w:tr>
      <w:tr w14:paraId="49F934B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F34BAFE">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0DC88D6">
            <w:pPr>
              <w:widowControl/>
              <w:spacing w:line="600" w:lineRule="exact"/>
              <w:jc w:val="center"/>
              <w:rPr>
                <w:rFonts w:ascii="仿宋_GB2312" w:hAnsi="宋体" w:eastAsia="仿宋_GB2312" w:cs="宋体"/>
                <w:color w:val="000000"/>
                <w:kern w:val="0"/>
                <w:szCs w:val="21"/>
                <w:highlight w:val="yellow"/>
              </w:rPr>
            </w:pPr>
            <w:r>
              <w:rPr>
                <w:rFonts w:hint="eastAsia" w:ascii="仿宋_GB2312" w:hAnsi="Times New Roman" w:eastAsia="仿宋_GB2312"/>
                <w:szCs w:val="21"/>
              </w:rPr>
              <w:t>0</w:t>
            </w:r>
          </w:p>
        </w:tc>
        <w:tc>
          <w:tcPr>
            <w:tcW w:w="2206" w:type="dxa"/>
            <w:tcBorders>
              <w:top w:val="nil"/>
              <w:left w:val="nil"/>
              <w:bottom w:val="single" w:color="auto" w:sz="8" w:space="0"/>
              <w:right w:val="single" w:color="auto" w:sz="8" w:space="0"/>
            </w:tcBorders>
            <w:shd w:val="clear" w:color="auto" w:fill="auto"/>
            <w:vAlign w:val="center"/>
          </w:tcPr>
          <w:p w14:paraId="10FFDD97">
            <w:pPr>
              <w:widowControl/>
              <w:spacing w:line="600" w:lineRule="exact"/>
              <w:jc w:val="center"/>
              <w:rPr>
                <w:rFonts w:ascii="仿宋_GB2312" w:hAnsi="宋体" w:eastAsia="仿宋_GB2312" w:cs="宋体"/>
                <w:color w:val="000000"/>
                <w:kern w:val="0"/>
                <w:szCs w:val="21"/>
                <w:highlight w:val="yellow"/>
              </w:rPr>
            </w:pPr>
            <w:r>
              <w:rPr>
                <w:rFonts w:hint="eastAsia" w:ascii="仿宋_GB2312" w:hAnsi="Times New Roman" w:eastAsia="仿宋_GB2312"/>
                <w:szCs w:val="21"/>
              </w:rPr>
              <w:t>0</w:t>
            </w:r>
          </w:p>
        </w:tc>
        <w:tc>
          <w:tcPr>
            <w:tcW w:w="2206" w:type="dxa"/>
            <w:tcBorders>
              <w:top w:val="nil"/>
              <w:left w:val="nil"/>
              <w:bottom w:val="single" w:color="auto" w:sz="8" w:space="0"/>
              <w:right w:val="single" w:color="auto" w:sz="8" w:space="0"/>
            </w:tcBorders>
            <w:shd w:val="clear" w:color="auto" w:fill="auto"/>
            <w:vAlign w:val="center"/>
          </w:tcPr>
          <w:p w14:paraId="2C1DCC40">
            <w:pPr>
              <w:widowControl/>
              <w:spacing w:line="600" w:lineRule="exact"/>
              <w:jc w:val="center"/>
              <w:rPr>
                <w:rFonts w:ascii="仿宋_GB2312" w:hAnsi="Calibri" w:eastAsia="仿宋_GB2312" w:cs="Calibri"/>
                <w:color w:val="000000"/>
                <w:kern w:val="0"/>
                <w:szCs w:val="21"/>
                <w:highlight w:val="yellow"/>
              </w:rPr>
            </w:pPr>
            <w:r>
              <w:rPr>
                <w:rFonts w:hint="eastAsia" w:ascii="仿宋_GB2312" w:hAnsi="Times New Roman" w:eastAsia="仿宋_GB2312"/>
                <w:szCs w:val="21"/>
              </w:rPr>
              <w:t>0</w:t>
            </w:r>
          </w:p>
        </w:tc>
      </w:tr>
      <w:tr w14:paraId="3DBCBEF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624628B">
            <w:pPr>
              <w:widowControl/>
              <w:spacing w:line="6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E8F3B5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4BF4953">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A34E06">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17289A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2F553C5">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5A498ED">
            <w:pPr>
              <w:widowControl/>
              <w:spacing w:line="600" w:lineRule="exact"/>
              <w:jc w:val="center"/>
              <w:rPr>
                <w:rFonts w:ascii="仿宋_GB2312" w:hAnsi="Calibri" w:eastAsia="仿宋_GB2312" w:cs="Calibri"/>
                <w:color w:val="000000"/>
                <w:kern w:val="0"/>
                <w:szCs w:val="21"/>
              </w:rPr>
            </w:pPr>
            <w:r>
              <w:rPr>
                <w:rFonts w:hint="eastAsia" w:ascii="仿宋_GB2312" w:hAnsi="Times New Roman" w:eastAsia="仿宋_GB2312"/>
                <w:szCs w:val="21"/>
              </w:rPr>
              <w:t>0</w:t>
            </w:r>
          </w:p>
        </w:tc>
      </w:tr>
      <w:tr w14:paraId="0D17F08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E984C50">
            <w:pPr>
              <w:widowControl/>
              <w:spacing w:line="6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593EF1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C1157EB">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37C765B">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D4F5330">
        <w:tblPrEx>
          <w:tblCellMar>
            <w:top w:w="0" w:type="dxa"/>
            <w:left w:w="108" w:type="dxa"/>
            <w:bottom w:w="0" w:type="dxa"/>
            <w:right w:w="108" w:type="dxa"/>
          </w:tblCellMar>
        </w:tblPrEx>
        <w:trPr>
          <w:trHeight w:val="630"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AEC1F9">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17E94B2">
            <w:pPr>
              <w:widowControl/>
              <w:spacing w:line="600" w:lineRule="exact"/>
              <w:jc w:val="center"/>
              <w:rPr>
                <w:rFonts w:hint="default" w:ascii="仿宋_GB2312" w:hAnsi="宋体" w:eastAsia="仿宋_GB2312" w:cs="宋体"/>
                <w:color w:val="000000"/>
                <w:kern w:val="0"/>
                <w:szCs w:val="21"/>
                <w:highlight w:val="yellow"/>
                <w:lang w:val="en-US" w:eastAsia="zh-CN"/>
              </w:rPr>
            </w:pPr>
            <w:r>
              <w:rPr>
                <w:rFonts w:hint="eastAsia" w:ascii="仿宋_GB2312" w:hAnsi="Times New Roman" w:eastAsia="仿宋_GB2312"/>
                <w:szCs w:val="21"/>
                <w:highlight w:val="none"/>
                <w:lang w:val="en-US" w:eastAsia="zh-CN"/>
              </w:rPr>
              <w:t>18</w:t>
            </w:r>
          </w:p>
        </w:tc>
      </w:tr>
      <w:tr w14:paraId="644D128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1823A1D">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207C53B">
            <w:pPr>
              <w:widowControl/>
              <w:spacing w:line="600" w:lineRule="exact"/>
              <w:jc w:val="center"/>
              <w:rPr>
                <w:rFonts w:ascii="仿宋_GB2312" w:hAnsi="宋体" w:eastAsia="仿宋_GB2312" w:cs="宋体"/>
                <w:color w:val="000000"/>
                <w:kern w:val="0"/>
                <w:szCs w:val="21"/>
                <w:highlight w:val="yellow"/>
              </w:rPr>
            </w:pPr>
            <w:r>
              <w:rPr>
                <w:rFonts w:hint="eastAsia" w:ascii="仿宋_GB2312" w:hAnsi="Times New Roman" w:eastAsia="仿宋_GB2312"/>
                <w:szCs w:val="21"/>
              </w:rPr>
              <w:t>0</w:t>
            </w:r>
          </w:p>
        </w:tc>
      </w:tr>
      <w:tr w14:paraId="72BAFB6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AB0D6D1">
            <w:pPr>
              <w:widowControl/>
              <w:spacing w:line="6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860697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8A1A5B9">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794D04E">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F5B31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262C69C">
            <w:pPr>
              <w:widowControl/>
              <w:spacing w:line="6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64FE9B9">
            <w:pPr>
              <w:widowControl/>
              <w:spacing w:line="600" w:lineRule="exact"/>
              <w:jc w:val="center"/>
              <w:rPr>
                <w:rFonts w:ascii="仿宋_GB2312" w:hAnsi="Calibri" w:eastAsia="仿宋_GB2312" w:cs="Calibri"/>
                <w:color w:val="000000"/>
                <w:kern w:val="0"/>
                <w:szCs w:val="21"/>
              </w:rPr>
            </w:pPr>
            <w:r>
              <w:rPr>
                <w:rFonts w:hint="eastAsia" w:ascii="仿宋_GB2312" w:hAnsi="Times New Roman" w:eastAsia="仿宋_GB2312"/>
                <w:szCs w:val="21"/>
                <w:lang w:val="en-US" w:eastAsia="zh-CN"/>
              </w:rPr>
              <w:t>0</w:t>
            </w:r>
          </w:p>
        </w:tc>
      </w:tr>
    </w:tbl>
    <w:p w14:paraId="3639F308">
      <w:pPr>
        <w:numPr>
          <w:ilvl w:val="0"/>
          <w:numId w:val="0"/>
        </w:numPr>
        <w:spacing w:line="600" w:lineRule="exact"/>
        <w:ind w:firstLine="640" w:firstLineChars="200"/>
        <w:jc w:val="left"/>
        <w:rPr>
          <w:rFonts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color w:val="000000"/>
          <w:sz w:val="32"/>
          <w:szCs w:val="32"/>
        </w:rPr>
        <w:t>收到和处理政府信息公开申请情况</w:t>
      </w:r>
    </w:p>
    <w:tbl>
      <w:tblPr>
        <w:tblStyle w:val="7"/>
        <w:tblW w:w="9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539"/>
        <w:gridCol w:w="567"/>
        <w:gridCol w:w="533"/>
        <w:gridCol w:w="700"/>
        <w:gridCol w:w="767"/>
        <w:gridCol w:w="383"/>
        <w:gridCol w:w="501"/>
      </w:tblGrid>
      <w:tr w14:paraId="506F5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880A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C6C62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3990" w:type="dxa"/>
            <w:gridSpan w:val="7"/>
            <w:shd w:val="clear" w:color="auto" w:fill="auto"/>
            <w:tcMar>
              <w:left w:w="108" w:type="dxa"/>
              <w:right w:w="108" w:type="dxa"/>
            </w:tcMar>
            <w:vAlign w:val="center"/>
          </w:tcPr>
          <w:p w14:paraId="2896AE4D">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1E66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2330D0A">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Times New Roman" w:eastAsia="仿宋_GB2312"/>
                <w:szCs w:val="21"/>
              </w:rPr>
            </w:pPr>
          </w:p>
        </w:tc>
        <w:tc>
          <w:tcPr>
            <w:tcW w:w="539" w:type="dxa"/>
            <w:vMerge w:val="restart"/>
            <w:shd w:val="clear" w:color="auto" w:fill="auto"/>
            <w:tcMar>
              <w:left w:w="108" w:type="dxa"/>
              <w:right w:w="108" w:type="dxa"/>
            </w:tcMar>
            <w:vAlign w:val="center"/>
          </w:tcPr>
          <w:p w14:paraId="44DDFF9D">
            <w:pPr>
              <w:widowControl/>
              <w:jc w:val="center"/>
              <w:rPr>
                <w:rFonts w:ascii="黑体" w:hAnsi="黑体" w:eastAsia="黑体"/>
                <w:szCs w:val="21"/>
              </w:rPr>
            </w:pPr>
            <w:r>
              <w:rPr>
                <w:rFonts w:hint="eastAsia" w:ascii="黑体" w:hAnsi="黑体" w:eastAsia="黑体"/>
                <w:kern w:val="0"/>
                <w:szCs w:val="21"/>
              </w:rPr>
              <w:t>自然人</w:t>
            </w:r>
          </w:p>
        </w:tc>
        <w:tc>
          <w:tcPr>
            <w:tcW w:w="2950" w:type="dxa"/>
            <w:gridSpan w:val="5"/>
            <w:shd w:val="clear" w:color="auto" w:fill="auto"/>
            <w:tcMar>
              <w:left w:w="108" w:type="dxa"/>
              <w:right w:w="108" w:type="dxa"/>
            </w:tcMar>
            <w:vAlign w:val="center"/>
          </w:tcPr>
          <w:p w14:paraId="4D3EE8BE">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501" w:type="dxa"/>
            <w:vMerge w:val="restart"/>
            <w:shd w:val="clear" w:color="auto" w:fill="auto"/>
            <w:tcMar>
              <w:left w:w="108" w:type="dxa"/>
              <w:right w:w="108" w:type="dxa"/>
            </w:tcMar>
            <w:vAlign w:val="center"/>
          </w:tcPr>
          <w:p w14:paraId="66953247">
            <w:pPr>
              <w:widowControl/>
              <w:jc w:val="center"/>
              <w:rPr>
                <w:rFonts w:ascii="黑体" w:hAnsi="黑体" w:eastAsia="黑体"/>
                <w:szCs w:val="21"/>
              </w:rPr>
            </w:pPr>
            <w:r>
              <w:rPr>
                <w:rFonts w:hint="eastAsia" w:ascii="黑体" w:hAnsi="黑体" w:eastAsia="黑体"/>
                <w:kern w:val="0"/>
                <w:szCs w:val="21"/>
              </w:rPr>
              <w:t>总计</w:t>
            </w:r>
          </w:p>
        </w:tc>
      </w:tr>
      <w:tr w14:paraId="30236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CA47C10">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Times New Roman" w:eastAsia="仿宋_GB2312"/>
                <w:szCs w:val="21"/>
              </w:rPr>
            </w:pPr>
          </w:p>
        </w:tc>
        <w:tc>
          <w:tcPr>
            <w:tcW w:w="539" w:type="dxa"/>
            <w:vMerge w:val="continue"/>
            <w:shd w:val="clear" w:color="auto" w:fill="auto"/>
            <w:tcMar>
              <w:left w:w="108" w:type="dxa"/>
              <w:right w:w="108" w:type="dxa"/>
            </w:tcMar>
            <w:vAlign w:val="center"/>
          </w:tcPr>
          <w:p w14:paraId="510E0429">
            <w:pPr>
              <w:jc w:val="center"/>
              <w:rPr>
                <w:rFonts w:ascii="黑体" w:hAnsi="黑体" w:eastAsia="黑体"/>
                <w:szCs w:val="21"/>
              </w:rPr>
            </w:pPr>
          </w:p>
        </w:tc>
        <w:tc>
          <w:tcPr>
            <w:tcW w:w="567" w:type="dxa"/>
            <w:shd w:val="clear" w:color="auto" w:fill="auto"/>
            <w:tcMar>
              <w:left w:w="108" w:type="dxa"/>
              <w:right w:w="108" w:type="dxa"/>
            </w:tcMar>
            <w:vAlign w:val="center"/>
          </w:tcPr>
          <w:p w14:paraId="5E68BED7">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33" w:type="dxa"/>
            <w:shd w:val="clear" w:color="auto" w:fill="auto"/>
            <w:tcMar>
              <w:left w:w="108" w:type="dxa"/>
              <w:right w:w="108" w:type="dxa"/>
            </w:tcMar>
            <w:vAlign w:val="center"/>
          </w:tcPr>
          <w:p w14:paraId="3B97DE2A">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00" w:type="dxa"/>
            <w:shd w:val="clear" w:color="auto" w:fill="auto"/>
            <w:tcMar>
              <w:left w:w="108" w:type="dxa"/>
              <w:right w:w="108" w:type="dxa"/>
            </w:tcMar>
            <w:vAlign w:val="center"/>
          </w:tcPr>
          <w:p w14:paraId="02D1D59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67" w:type="dxa"/>
            <w:shd w:val="clear" w:color="auto" w:fill="auto"/>
            <w:tcMar>
              <w:left w:w="108" w:type="dxa"/>
              <w:right w:w="108" w:type="dxa"/>
            </w:tcMar>
            <w:vAlign w:val="center"/>
          </w:tcPr>
          <w:p w14:paraId="0BCF7E2A">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383" w:type="dxa"/>
            <w:shd w:val="clear" w:color="auto" w:fill="auto"/>
            <w:tcMar>
              <w:left w:w="108" w:type="dxa"/>
              <w:right w:w="108" w:type="dxa"/>
            </w:tcMar>
            <w:vAlign w:val="center"/>
          </w:tcPr>
          <w:p w14:paraId="1FA79CBC">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501" w:type="dxa"/>
            <w:vMerge w:val="continue"/>
            <w:shd w:val="clear" w:color="auto" w:fill="auto"/>
            <w:tcMar>
              <w:left w:w="108" w:type="dxa"/>
              <w:right w:w="108" w:type="dxa"/>
            </w:tcMar>
            <w:vAlign w:val="center"/>
          </w:tcPr>
          <w:p w14:paraId="481655A2">
            <w:pPr>
              <w:jc w:val="center"/>
              <w:rPr>
                <w:rFonts w:ascii="仿宋_GB2312" w:hAnsi="Times New Roman" w:eastAsia="仿宋_GB2312"/>
                <w:szCs w:val="21"/>
              </w:rPr>
            </w:pPr>
          </w:p>
        </w:tc>
      </w:tr>
      <w:tr w14:paraId="2FE7C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0228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39" w:type="dxa"/>
            <w:shd w:val="clear" w:color="auto" w:fill="auto"/>
            <w:tcMar>
              <w:left w:w="108" w:type="dxa"/>
              <w:right w:w="108" w:type="dxa"/>
            </w:tcMar>
            <w:vAlign w:val="center"/>
          </w:tcPr>
          <w:p w14:paraId="4C5BB94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14:paraId="199E783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64F3737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3C0C49C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51338DA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3733B03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2752B85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r>
      <w:tr w14:paraId="607F3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4D6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39" w:type="dxa"/>
            <w:shd w:val="clear" w:color="auto" w:fill="auto"/>
            <w:tcMar>
              <w:left w:w="108" w:type="dxa"/>
              <w:right w:w="108" w:type="dxa"/>
            </w:tcMar>
            <w:vAlign w:val="center"/>
          </w:tcPr>
          <w:p w14:paraId="6085544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59CDD4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D60081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34D60BC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4E5B63D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A43B16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69A729E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69B3F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16" w:type="dxa"/>
            <w:vMerge w:val="restart"/>
            <w:shd w:val="clear" w:color="auto" w:fill="auto"/>
            <w:tcMar>
              <w:left w:w="108" w:type="dxa"/>
              <w:right w:w="108" w:type="dxa"/>
            </w:tcMar>
            <w:vAlign w:val="center"/>
          </w:tcPr>
          <w:p w14:paraId="7FC696EC">
            <w:pPr>
              <w:keepNext w:val="0"/>
              <w:keepLines w:val="0"/>
              <w:pageBreakBefore w:val="0"/>
              <w:widowControl/>
              <w:kinsoku/>
              <w:wordWrap/>
              <w:overflowPunct/>
              <w:topLinePunct w:val="0"/>
              <w:autoSpaceDE/>
              <w:autoSpaceDN/>
              <w:bidi w:val="0"/>
              <w:adjustRightInd/>
              <w:snapToGrid/>
              <w:spacing w:after="180" w:line="240" w:lineRule="auto"/>
              <w:jc w:val="center"/>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31A25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kern w:val="0"/>
                <w:szCs w:val="21"/>
              </w:rPr>
            </w:pPr>
            <w:r>
              <w:rPr>
                <w:rFonts w:hint="eastAsia" w:ascii="黑体" w:hAnsi="黑体" w:eastAsia="黑体"/>
                <w:kern w:val="0"/>
                <w:szCs w:val="21"/>
              </w:rPr>
              <w:t>（一）予以公开</w:t>
            </w:r>
          </w:p>
        </w:tc>
        <w:tc>
          <w:tcPr>
            <w:tcW w:w="539" w:type="dxa"/>
            <w:shd w:val="clear" w:color="auto" w:fill="auto"/>
            <w:tcMar>
              <w:left w:w="108" w:type="dxa"/>
              <w:right w:w="108" w:type="dxa"/>
            </w:tcMar>
            <w:vAlign w:val="center"/>
          </w:tcPr>
          <w:p w14:paraId="01B1BA8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4AB84AC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2CBE3F8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384EAE4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4DA8F2B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12CB952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1010464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r>
      <w:tr w14:paraId="3D40B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787FB7A">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0A2212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kern w:val="0"/>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39" w:type="dxa"/>
            <w:shd w:val="clear" w:color="auto" w:fill="auto"/>
            <w:tcMar>
              <w:left w:w="108" w:type="dxa"/>
              <w:right w:w="108" w:type="dxa"/>
            </w:tcMar>
            <w:vAlign w:val="center"/>
          </w:tcPr>
          <w:p w14:paraId="68F3D3E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C0F41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3B78427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0CB6ABA0">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2005BC8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49E4F9E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1827A81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1F40E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EE0041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033E1B5">
            <w:pPr>
              <w:keepNext w:val="0"/>
              <w:keepLines w:val="0"/>
              <w:pageBreakBefore w:val="0"/>
              <w:widowControl/>
              <w:kinsoku/>
              <w:wordWrap/>
              <w:overflowPunct/>
              <w:topLinePunct w:val="0"/>
              <w:autoSpaceDE/>
              <w:autoSpaceDN/>
              <w:bidi w:val="0"/>
              <w:adjustRightInd/>
              <w:snapToGrid/>
              <w:spacing w:line="240" w:lineRule="auto"/>
              <w:ind w:left="-107" w:leftChars="-51"/>
              <w:jc w:val="center"/>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4AD90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539" w:type="dxa"/>
            <w:shd w:val="clear" w:color="auto" w:fill="auto"/>
            <w:tcMar>
              <w:left w:w="108" w:type="dxa"/>
              <w:right w:w="108" w:type="dxa"/>
            </w:tcMar>
            <w:vAlign w:val="center"/>
          </w:tcPr>
          <w:p w14:paraId="7279986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A75EAB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1DF9A2F0">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4943F05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6C40DD3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77C270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7679F6C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BC3F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2DFF79">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2EEEF89">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1BB2A8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39" w:type="dxa"/>
            <w:shd w:val="clear" w:color="auto" w:fill="auto"/>
            <w:tcMar>
              <w:left w:w="108" w:type="dxa"/>
              <w:right w:w="108" w:type="dxa"/>
            </w:tcMar>
            <w:vAlign w:val="center"/>
          </w:tcPr>
          <w:p w14:paraId="3F307EC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CFEE4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0A63DDA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07D2940">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2BD7D0C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14C4D21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740D946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0</w:t>
            </w:r>
          </w:p>
        </w:tc>
      </w:tr>
      <w:tr w14:paraId="5CE2B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11AF2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3599CCD">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180D74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39" w:type="dxa"/>
            <w:shd w:val="clear" w:color="auto" w:fill="auto"/>
            <w:tcMar>
              <w:left w:w="108" w:type="dxa"/>
              <w:right w:w="108" w:type="dxa"/>
            </w:tcMar>
            <w:vAlign w:val="center"/>
          </w:tcPr>
          <w:p w14:paraId="2B77388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8DD812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7F5A59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439389C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234F895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3A345B0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1EAE864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3B2C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E1DD14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1F8363A">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75FDF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39" w:type="dxa"/>
            <w:shd w:val="clear" w:color="auto" w:fill="auto"/>
            <w:tcMar>
              <w:left w:w="108" w:type="dxa"/>
              <w:right w:w="108" w:type="dxa"/>
            </w:tcMar>
            <w:vAlign w:val="center"/>
          </w:tcPr>
          <w:p w14:paraId="665F651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BC0D25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2BDF4E4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45937A6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249D0E2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0FFA580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090356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30F27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833F04A">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86EDD1D">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6E918B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39" w:type="dxa"/>
            <w:shd w:val="clear" w:color="auto" w:fill="auto"/>
            <w:tcMar>
              <w:left w:w="108" w:type="dxa"/>
              <w:right w:w="108" w:type="dxa"/>
            </w:tcMar>
            <w:vAlign w:val="center"/>
          </w:tcPr>
          <w:p w14:paraId="7A6DB58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69CE77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2651651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4C0AF1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18F9C7B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3D0053E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575DEB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BD6A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9D16C0A">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38B3BE5">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1973E9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39" w:type="dxa"/>
            <w:shd w:val="clear" w:color="auto" w:fill="auto"/>
            <w:tcMar>
              <w:left w:w="108" w:type="dxa"/>
              <w:right w:w="108" w:type="dxa"/>
            </w:tcMar>
            <w:vAlign w:val="center"/>
          </w:tcPr>
          <w:p w14:paraId="6753951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AA794E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3AF25A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BEC513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74BB5CC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0CED129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17FADF6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66F5E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4EC63CB">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A8A22F7">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4E7E9A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39" w:type="dxa"/>
            <w:shd w:val="clear" w:color="auto" w:fill="auto"/>
            <w:tcMar>
              <w:left w:w="108" w:type="dxa"/>
              <w:right w:w="108" w:type="dxa"/>
            </w:tcMar>
            <w:vAlign w:val="center"/>
          </w:tcPr>
          <w:p w14:paraId="5B5FB7F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1274BF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7B4E220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587D879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1CAAC6C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426DA67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DFBA3B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33779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CFE7F94">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934F38C">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4A5AC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39" w:type="dxa"/>
            <w:shd w:val="clear" w:color="auto" w:fill="auto"/>
            <w:tcMar>
              <w:left w:w="108" w:type="dxa"/>
              <w:right w:w="108" w:type="dxa"/>
            </w:tcMar>
            <w:vAlign w:val="center"/>
          </w:tcPr>
          <w:p w14:paraId="57ECA00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4064C3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D9D539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4CA631B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7A871D4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2DC28A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77CD0C9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6C8F7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3885E5">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7B32F63E">
            <w:pPr>
              <w:keepNext w:val="0"/>
              <w:keepLines w:val="0"/>
              <w:pageBreakBefore w:val="0"/>
              <w:widowControl/>
              <w:kinsoku/>
              <w:wordWrap/>
              <w:overflowPunct/>
              <w:topLinePunct w:val="0"/>
              <w:autoSpaceDE/>
              <w:autoSpaceDN/>
              <w:bidi w:val="0"/>
              <w:adjustRightInd/>
              <w:snapToGrid/>
              <w:spacing w:line="240" w:lineRule="auto"/>
              <w:ind w:left="-107" w:leftChars="-51"/>
              <w:jc w:val="center"/>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6C8D98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39" w:type="dxa"/>
            <w:shd w:val="clear" w:color="auto" w:fill="auto"/>
            <w:tcMar>
              <w:left w:w="108" w:type="dxa"/>
              <w:right w:w="108" w:type="dxa"/>
            </w:tcMar>
            <w:vAlign w:val="center"/>
          </w:tcPr>
          <w:p w14:paraId="2E8EA5F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608D0FA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144011B0">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48A0FCC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3920DAC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0CBCE0C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57A3619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w:t>
            </w:r>
          </w:p>
        </w:tc>
      </w:tr>
      <w:tr w14:paraId="5C25C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7A23125">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0B2FE7C">
            <w:pPr>
              <w:keepNext w:val="0"/>
              <w:keepLines w:val="0"/>
              <w:pageBreakBefore w:val="0"/>
              <w:kinsoku/>
              <w:wordWrap/>
              <w:overflowPunct/>
              <w:topLinePunct w:val="0"/>
              <w:autoSpaceDE/>
              <w:autoSpaceDN/>
              <w:bidi w:val="0"/>
              <w:adjustRightInd/>
              <w:snapToGrid/>
              <w:spacing w:line="240" w:lineRule="auto"/>
              <w:ind w:left="-107" w:leftChars="-51"/>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70C415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39" w:type="dxa"/>
            <w:shd w:val="clear" w:color="auto" w:fill="auto"/>
            <w:tcMar>
              <w:left w:w="108" w:type="dxa"/>
              <w:right w:w="108" w:type="dxa"/>
            </w:tcMar>
            <w:vAlign w:val="center"/>
          </w:tcPr>
          <w:p w14:paraId="71B2F73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15A983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67C9693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FBD385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5E6883E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4CBAE1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FD4E7A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F4D2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433258">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F8AFA02">
            <w:pPr>
              <w:keepNext w:val="0"/>
              <w:keepLines w:val="0"/>
              <w:pageBreakBefore w:val="0"/>
              <w:kinsoku/>
              <w:wordWrap/>
              <w:overflowPunct/>
              <w:topLinePunct w:val="0"/>
              <w:autoSpaceDE/>
              <w:autoSpaceDN/>
              <w:bidi w:val="0"/>
              <w:adjustRightInd/>
              <w:snapToGrid/>
              <w:spacing w:line="240" w:lineRule="auto"/>
              <w:ind w:left="-107" w:leftChars="-51"/>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3288E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39" w:type="dxa"/>
            <w:shd w:val="clear" w:color="auto" w:fill="auto"/>
            <w:tcMar>
              <w:left w:w="108" w:type="dxa"/>
              <w:right w:w="108" w:type="dxa"/>
            </w:tcMar>
            <w:vAlign w:val="center"/>
          </w:tcPr>
          <w:p w14:paraId="159108B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7DBAF3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7732B09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2CA0011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73E59B8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31EF67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65A3377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1ECA5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FD880B9">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64FE8493">
            <w:pPr>
              <w:keepNext w:val="0"/>
              <w:keepLines w:val="0"/>
              <w:pageBreakBefore w:val="0"/>
              <w:widowControl/>
              <w:kinsoku/>
              <w:wordWrap/>
              <w:overflowPunct/>
              <w:topLinePunct w:val="0"/>
              <w:autoSpaceDE/>
              <w:autoSpaceDN/>
              <w:bidi w:val="0"/>
              <w:adjustRightInd/>
              <w:snapToGrid/>
              <w:spacing w:line="240" w:lineRule="auto"/>
              <w:ind w:left="-107" w:leftChars="-51"/>
              <w:jc w:val="center"/>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A9390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39" w:type="dxa"/>
            <w:shd w:val="clear" w:color="auto" w:fill="auto"/>
            <w:tcMar>
              <w:left w:w="108" w:type="dxa"/>
              <w:right w:w="108" w:type="dxa"/>
            </w:tcMar>
            <w:vAlign w:val="center"/>
          </w:tcPr>
          <w:p w14:paraId="52E21CB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210A15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683A8F7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3916D1C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475FD76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790CB3F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35668F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13630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CC4BB3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FC9CB3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40E100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39" w:type="dxa"/>
            <w:shd w:val="clear" w:color="auto" w:fill="auto"/>
            <w:tcMar>
              <w:left w:w="108" w:type="dxa"/>
              <w:right w:w="108" w:type="dxa"/>
            </w:tcMar>
            <w:vAlign w:val="center"/>
          </w:tcPr>
          <w:p w14:paraId="2CB3B71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ADCE64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1C19425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795E485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388D385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1DEB3A4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3D38581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36419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1EB919">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8416F90">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24333F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39" w:type="dxa"/>
            <w:shd w:val="clear" w:color="auto" w:fill="auto"/>
            <w:tcMar>
              <w:left w:w="108" w:type="dxa"/>
              <w:right w:w="108" w:type="dxa"/>
            </w:tcMar>
            <w:vAlign w:val="center"/>
          </w:tcPr>
          <w:p w14:paraId="5891D39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964F18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285AB7F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2A6E0C5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5757BBB0">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2A1AE40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2EEF03B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2CD6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32848918">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802029F">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65F008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39" w:type="dxa"/>
            <w:shd w:val="clear" w:color="auto" w:fill="auto"/>
            <w:tcMar>
              <w:left w:w="108" w:type="dxa"/>
              <w:right w:w="108" w:type="dxa"/>
            </w:tcMar>
            <w:vAlign w:val="center"/>
          </w:tcPr>
          <w:p w14:paraId="280EACE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BB99FC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7F31106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754ACBF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029412F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69F2AE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21B4A17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0D134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DCAD51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82495BD">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2976" w:type="dxa"/>
            <w:shd w:val="clear" w:color="auto" w:fill="auto"/>
            <w:tcMar>
              <w:left w:w="108" w:type="dxa"/>
              <w:right w:w="108" w:type="dxa"/>
            </w:tcMar>
            <w:vAlign w:val="center"/>
          </w:tcPr>
          <w:p w14:paraId="0ED7C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DD8483B">
            <w:pPr>
              <w:keepNext w:val="0"/>
              <w:keepLines w:val="0"/>
              <w:pageBreakBefore w:val="0"/>
              <w:widowControl/>
              <w:kinsoku/>
              <w:wordWrap/>
              <w:overflowPunct/>
              <w:topLinePunct w:val="0"/>
              <w:autoSpaceDE/>
              <w:autoSpaceDN/>
              <w:bidi w:val="0"/>
              <w:adjustRightInd/>
              <w:snapToGrid/>
              <w:spacing w:line="240" w:lineRule="auto"/>
              <w:ind w:firstLine="210" w:firstLineChars="100"/>
              <w:jc w:val="center"/>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39" w:type="dxa"/>
            <w:shd w:val="clear" w:color="auto" w:fill="auto"/>
            <w:tcMar>
              <w:left w:w="108" w:type="dxa"/>
              <w:right w:w="108" w:type="dxa"/>
            </w:tcMar>
            <w:vAlign w:val="center"/>
          </w:tcPr>
          <w:p w14:paraId="06D6D2C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95D2F8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08CBF2C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75EFBD7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15F424D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5DB62D9E">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355FA56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4AD5F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8980771">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068C07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1CDB18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39" w:type="dxa"/>
            <w:shd w:val="clear" w:color="auto" w:fill="auto"/>
            <w:tcMar>
              <w:left w:w="108" w:type="dxa"/>
              <w:right w:w="108" w:type="dxa"/>
            </w:tcMar>
            <w:vAlign w:val="center"/>
          </w:tcPr>
          <w:p w14:paraId="2357739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BCB3B1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7186DE5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F1EF13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457BE3E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4ABEAB6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29FAA3A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18497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6EA6F92">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AB06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kern w:val="0"/>
                <w:szCs w:val="21"/>
              </w:rPr>
            </w:pPr>
          </w:p>
        </w:tc>
        <w:tc>
          <w:tcPr>
            <w:tcW w:w="2976" w:type="dxa"/>
            <w:shd w:val="clear" w:color="auto" w:fill="auto"/>
            <w:vAlign w:val="center"/>
          </w:tcPr>
          <w:p w14:paraId="2A4DD2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39" w:type="dxa"/>
            <w:shd w:val="clear" w:color="auto" w:fill="auto"/>
            <w:tcMar>
              <w:left w:w="108" w:type="dxa"/>
              <w:right w:w="108" w:type="dxa"/>
            </w:tcMar>
            <w:vAlign w:val="center"/>
          </w:tcPr>
          <w:p w14:paraId="3AA2540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FBA1484">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59DB01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67BFCD2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4BA80FC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4D6AF94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17ADC2D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725DF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667C932">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7B577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kern w:val="0"/>
                <w:szCs w:val="21"/>
              </w:rPr>
            </w:pPr>
          </w:p>
        </w:tc>
        <w:tc>
          <w:tcPr>
            <w:tcW w:w="2976" w:type="dxa"/>
            <w:shd w:val="clear" w:color="auto" w:fill="auto"/>
            <w:vAlign w:val="center"/>
          </w:tcPr>
          <w:p w14:paraId="339E14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黑体" w:eastAsia="仿宋_GB2312"/>
                <w:kern w:val="0"/>
                <w:szCs w:val="21"/>
              </w:rPr>
            </w:pPr>
            <w:r>
              <w:rPr>
                <w:rFonts w:hint="eastAsia" w:ascii="仿宋_GB2312" w:hAnsi="楷体" w:eastAsia="仿宋_GB2312"/>
              </w:rPr>
              <w:t>3.其他</w:t>
            </w:r>
          </w:p>
        </w:tc>
        <w:tc>
          <w:tcPr>
            <w:tcW w:w="539" w:type="dxa"/>
            <w:shd w:val="clear" w:color="auto" w:fill="auto"/>
            <w:tcMar>
              <w:left w:w="108" w:type="dxa"/>
              <w:right w:w="108" w:type="dxa"/>
            </w:tcMar>
            <w:vAlign w:val="center"/>
          </w:tcPr>
          <w:p w14:paraId="194CBD1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178323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3D2DA25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16A46418">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0EE34B6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77ABF51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4B1A47E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r w14:paraId="1AC51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D1AA3DF">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0C45F1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kern w:val="0"/>
                <w:szCs w:val="21"/>
              </w:rPr>
            </w:pPr>
            <w:r>
              <w:rPr>
                <w:rFonts w:hint="eastAsia" w:ascii="黑体" w:hAnsi="黑体" w:eastAsia="黑体"/>
                <w:kern w:val="0"/>
                <w:szCs w:val="21"/>
              </w:rPr>
              <w:t>（七）总计</w:t>
            </w:r>
          </w:p>
        </w:tc>
        <w:tc>
          <w:tcPr>
            <w:tcW w:w="539" w:type="dxa"/>
            <w:shd w:val="clear" w:color="auto" w:fill="auto"/>
            <w:tcMar>
              <w:left w:w="108" w:type="dxa"/>
              <w:right w:w="108" w:type="dxa"/>
            </w:tcMar>
            <w:vAlign w:val="center"/>
          </w:tcPr>
          <w:p w14:paraId="3DDE2539">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c>
          <w:tcPr>
            <w:tcW w:w="567" w:type="dxa"/>
            <w:shd w:val="clear" w:color="auto" w:fill="auto"/>
            <w:tcMar>
              <w:left w:w="108" w:type="dxa"/>
              <w:right w:w="108" w:type="dxa"/>
            </w:tcMar>
            <w:vAlign w:val="center"/>
          </w:tcPr>
          <w:p w14:paraId="128494C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4DB3A39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1FBEAE05">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1618B86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12DB382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311D3BA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4</w:t>
            </w:r>
          </w:p>
        </w:tc>
      </w:tr>
      <w:tr w14:paraId="0D550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477B3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39" w:type="dxa"/>
            <w:shd w:val="clear" w:color="auto" w:fill="auto"/>
            <w:tcMar>
              <w:left w:w="108" w:type="dxa"/>
              <w:right w:w="108" w:type="dxa"/>
            </w:tcMar>
            <w:vAlign w:val="center"/>
          </w:tcPr>
          <w:p w14:paraId="3CC2082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9F8433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33" w:type="dxa"/>
            <w:shd w:val="clear" w:color="auto" w:fill="auto"/>
            <w:tcMar>
              <w:left w:w="108" w:type="dxa"/>
              <w:right w:w="108" w:type="dxa"/>
            </w:tcMar>
            <w:vAlign w:val="center"/>
          </w:tcPr>
          <w:p w14:paraId="7DCB724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00" w:type="dxa"/>
            <w:shd w:val="clear" w:color="auto" w:fill="auto"/>
            <w:tcMar>
              <w:left w:w="108" w:type="dxa"/>
              <w:right w:w="108" w:type="dxa"/>
            </w:tcMar>
            <w:vAlign w:val="center"/>
          </w:tcPr>
          <w:p w14:paraId="7834A60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767" w:type="dxa"/>
            <w:shd w:val="clear" w:color="auto" w:fill="auto"/>
            <w:tcMar>
              <w:left w:w="108" w:type="dxa"/>
              <w:right w:w="108" w:type="dxa"/>
            </w:tcMar>
            <w:vAlign w:val="center"/>
          </w:tcPr>
          <w:p w14:paraId="70A6E1E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383" w:type="dxa"/>
            <w:shd w:val="clear" w:color="auto" w:fill="auto"/>
            <w:tcMar>
              <w:left w:w="108" w:type="dxa"/>
              <w:right w:w="108" w:type="dxa"/>
            </w:tcMar>
            <w:vAlign w:val="center"/>
          </w:tcPr>
          <w:p w14:paraId="6BB8EA4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c>
          <w:tcPr>
            <w:tcW w:w="501" w:type="dxa"/>
            <w:shd w:val="clear" w:color="auto" w:fill="auto"/>
            <w:tcMar>
              <w:left w:w="108" w:type="dxa"/>
              <w:right w:w="108" w:type="dxa"/>
            </w:tcMar>
            <w:vAlign w:val="center"/>
          </w:tcPr>
          <w:p w14:paraId="064A82D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rPr>
            </w:pPr>
            <w:r>
              <w:rPr>
                <w:rFonts w:hint="eastAsia" w:ascii="仿宋_GB2312" w:hAnsi="Times New Roman" w:eastAsia="仿宋_GB2312"/>
                <w:szCs w:val="21"/>
              </w:rPr>
              <w:t>0</w:t>
            </w:r>
          </w:p>
        </w:tc>
      </w:tr>
    </w:tbl>
    <w:p w14:paraId="4617F49B">
      <w:pPr>
        <w:numPr>
          <w:ilvl w:val="0"/>
          <w:numId w:val="0"/>
        </w:numPr>
        <w:spacing w:line="60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四、</w:t>
      </w:r>
      <w:r>
        <w:rPr>
          <w:rFonts w:hint="eastAsia" w:ascii="黑体" w:hAnsi="黑体" w:eastAsia="黑体" w:cs="黑体"/>
          <w:color w:val="000000"/>
          <w:sz w:val="32"/>
          <w:szCs w:val="32"/>
        </w:rPr>
        <w:t>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647E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339F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6AA3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行政诉讼</w:t>
            </w:r>
          </w:p>
        </w:tc>
      </w:tr>
      <w:tr w14:paraId="1FB36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807CC6">
            <w:pPr>
              <w:keepNext w:val="0"/>
              <w:keepLines w:val="0"/>
              <w:pageBreakBefore w:val="0"/>
              <w:widowControl/>
              <w:kinsoku/>
              <w:wordWrap/>
              <w:overflowPunct/>
              <w:topLinePunct w:val="0"/>
              <w:autoSpaceDE/>
              <w:autoSpaceDN/>
              <w:bidi w:val="0"/>
              <w:adjustRightInd/>
              <w:snapToGrid/>
              <w:spacing w:line="30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41105603">
            <w:pPr>
              <w:keepNext w:val="0"/>
              <w:keepLines w:val="0"/>
              <w:pageBreakBefore w:val="0"/>
              <w:widowControl/>
              <w:kinsoku/>
              <w:wordWrap/>
              <w:overflowPunct/>
              <w:topLinePunct w:val="0"/>
              <w:autoSpaceDE/>
              <w:autoSpaceDN/>
              <w:bidi w:val="0"/>
              <w:adjustRightInd/>
              <w:snapToGrid/>
              <w:spacing w:line="30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0D4ED12">
            <w:pPr>
              <w:keepNext w:val="0"/>
              <w:keepLines w:val="0"/>
              <w:pageBreakBefore w:val="0"/>
              <w:widowControl/>
              <w:kinsoku/>
              <w:wordWrap/>
              <w:overflowPunct/>
              <w:topLinePunct w:val="0"/>
              <w:autoSpaceDE/>
              <w:autoSpaceDN/>
              <w:bidi w:val="0"/>
              <w:adjustRightInd/>
              <w:snapToGrid/>
              <w:spacing w:line="30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43F59B">
            <w:pPr>
              <w:keepNext w:val="0"/>
              <w:keepLines w:val="0"/>
              <w:pageBreakBefore w:val="0"/>
              <w:widowControl/>
              <w:kinsoku/>
              <w:wordWrap/>
              <w:overflowPunct/>
              <w:topLinePunct w:val="0"/>
              <w:autoSpaceDE/>
              <w:autoSpaceDN/>
              <w:bidi w:val="0"/>
              <w:adjustRightInd/>
              <w:snapToGrid/>
              <w:spacing w:line="30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0DFC74">
            <w:pPr>
              <w:keepNext w:val="0"/>
              <w:keepLines w:val="0"/>
              <w:pageBreakBefore w:val="0"/>
              <w:widowControl/>
              <w:kinsoku/>
              <w:wordWrap/>
              <w:overflowPunct/>
              <w:topLinePunct w:val="0"/>
              <w:autoSpaceDE/>
              <w:autoSpaceDN/>
              <w:bidi w:val="0"/>
              <w:adjustRightInd/>
              <w:snapToGrid/>
              <w:spacing w:line="30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1DB1834">
            <w:pPr>
              <w:keepNext w:val="0"/>
              <w:keepLines w:val="0"/>
              <w:pageBreakBefore w:val="0"/>
              <w:widowControl/>
              <w:kinsoku/>
              <w:wordWrap/>
              <w:overflowPunct/>
              <w:topLinePunct w:val="0"/>
              <w:autoSpaceDE/>
              <w:autoSpaceDN/>
              <w:bidi w:val="0"/>
              <w:adjustRightInd/>
              <w:snapToGrid/>
              <w:spacing w:line="30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8DC9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5E7CDB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F4A6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776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161066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C3B7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CC3FE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0090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1E99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42CE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5E3659B">
            <w:pPr>
              <w:keepNext w:val="0"/>
              <w:keepLines w:val="0"/>
              <w:pageBreakBefore w:val="0"/>
              <w:widowControl/>
              <w:kinsoku/>
              <w:wordWrap/>
              <w:overflowPunct/>
              <w:topLinePunct w:val="0"/>
              <w:autoSpaceDE/>
              <w:autoSpaceDN/>
              <w:bidi w:val="0"/>
              <w:adjustRightInd/>
              <w:snapToGrid/>
              <w:spacing w:line="30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57D1264">
            <w:pPr>
              <w:keepNext w:val="0"/>
              <w:keepLines w:val="0"/>
              <w:pageBreakBefore w:val="0"/>
              <w:widowControl/>
              <w:kinsoku/>
              <w:wordWrap/>
              <w:overflowPunct/>
              <w:topLinePunct w:val="0"/>
              <w:autoSpaceDE/>
              <w:autoSpaceDN/>
              <w:bidi w:val="0"/>
              <w:adjustRightInd/>
              <w:snapToGrid/>
              <w:spacing w:line="30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7DAA97">
            <w:pPr>
              <w:keepNext w:val="0"/>
              <w:keepLines w:val="0"/>
              <w:pageBreakBefore w:val="0"/>
              <w:widowControl/>
              <w:kinsoku/>
              <w:wordWrap/>
              <w:overflowPunct/>
              <w:topLinePunct w:val="0"/>
              <w:autoSpaceDE/>
              <w:autoSpaceDN/>
              <w:bidi w:val="0"/>
              <w:adjustRightInd/>
              <w:snapToGrid/>
              <w:spacing w:line="30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783A12D7">
            <w:pPr>
              <w:keepNext w:val="0"/>
              <w:keepLines w:val="0"/>
              <w:pageBreakBefore w:val="0"/>
              <w:widowControl/>
              <w:kinsoku/>
              <w:wordWrap/>
              <w:overflowPunct/>
              <w:topLinePunct w:val="0"/>
              <w:autoSpaceDE/>
              <w:autoSpaceDN/>
              <w:bidi w:val="0"/>
              <w:adjustRightInd/>
              <w:snapToGrid/>
              <w:spacing w:line="30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ABD7C3">
            <w:pPr>
              <w:keepNext w:val="0"/>
              <w:keepLines w:val="0"/>
              <w:pageBreakBefore w:val="0"/>
              <w:widowControl/>
              <w:kinsoku/>
              <w:wordWrap/>
              <w:overflowPunct/>
              <w:topLinePunct w:val="0"/>
              <w:autoSpaceDE/>
              <w:autoSpaceDN/>
              <w:bidi w:val="0"/>
              <w:adjustRightInd/>
              <w:snapToGrid/>
              <w:spacing w:line="30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7B7CBDD3">
            <w:pPr>
              <w:keepNext w:val="0"/>
              <w:keepLines w:val="0"/>
              <w:pageBreakBefore w:val="0"/>
              <w:widowControl/>
              <w:kinsoku/>
              <w:wordWrap/>
              <w:overflowPunct/>
              <w:topLinePunct w:val="0"/>
              <w:autoSpaceDE/>
              <w:autoSpaceDN/>
              <w:bidi w:val="0"/>
              <w:adjustRightInd/>
              <w:snapToGrid/>
              <w:spacing w:line="30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FBE1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EDA297">
            <w:pPr>
              <w:keepNext w:val="0"/>
              <w:keepLines w:val="0"/>
              <w:pageBreakBefore w:val="0"/>
              <w:widowControl/>
              <w:kinsoku/>
              <w:wordWrap/>
              <w:overflowPunct/>
              <w:topLinePunct w:val="0"/>
              <w:autoSpaceDE/>
              <w:autoSpaceDN/>
              <w:bidi w:val="0"/>
              <w:adjustRightInd/>
              <w:snapToGrid/>
              <w:spacing w:line="30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DC220A">
            <w:pPr>
              <w:keepNext w:val="0"/>
              <w:keepLines w:val="0"/>
              <w:pageBreakBefore w:val="0"/>
              <w:widowControl/>
              <w:kinsoku/>
              <w:wordWrap/>
              <w:overflowPunct/>
              <w:topLinePunct w:val="0"/>
              <w:autoSpaceDE/>
              <w:autoSpaceDN/>
              <w:bidi w:val="0"/>
              <w:adjustRightInd/>
              <w:snapToGrid/>
              <w:spacing w:line="30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339FD718">
            <w:pPr>
              <w:keepNext w:val="0"/>
              <w:keepLines w:val="0"/>
              <w:pageBreakBefore w:val="0"/>
              <w:widowControl/>
              <w:kinsoku/>
              <w:wordWrap/>
              <w:overflowPunct/>
              <w:topLinePunct w:val="0"/>
              <w:autoSpaceDE/>
              <w:autoSpaceDN/>
              <w:bidi w:val="0"/>
              <w:adjustRightInd/>
              <w:snapToGrid/>
              <w:spacing w:line="30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1B19F">
            <w:pPr>
              <w:keepNext w:val="0"/>
              <w:keepLines w:val="0"/>
              <w:pageBreakBefore w:val="0"/>
              <w:widowControl/>
              <w:kinsoku/>
              <w:wordWrap/>
              <w:overflowPunct/>
              <w:topLinePunct w:val="0"/>
              <w:autoSpaceDE/>
              <w:autoSpaceDN/>
              <w:bidi w:val="0"/>
              <w:adjustRightInd/>
              <w:snapToGrid/>
              <w:spacing w:line="30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5B9A5EB3">
            <w:pPr>
              <w:keepNext w:val="0"/>
              <w:keepLines w:val="0"/>
              <w:pageBreakBefore w:val="0"/>
              <w:widowControl/>
              <w:kinsoku/>
              <w:wordWrap/>
              <w:overflowPunct/>
              <w:topLinePunct w:val="0"/>
              <w:autoSpaceDE/>
              <w:autoSpaceDN/>
              <w:bidi w:val="0"/>
              <w:adjustRightInd/>
              <w:snapToGrid/>
              <w:spacing w:line="30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369D6A">
            <w:pPr>
              <w:keepNext w:val="0"/>
              <w:keepLines w:val="0"/>
              <w:pageBreakBefore w:val="0"/>
              <w:widowControl/>
              <w:kinsoku/>
              <w:wordWrap/>
              <w:overflowPunct/>
              <w:topLinePunct w:val="0"/>
              <w:autoSpaceDE/>
              <w:autoSpaceDN/>
              <w:bidi w:val="0"/>
              <w:adjustRightInd/>
              <w:snapToGrid/>
              <w:spacing w:line="30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B2E7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黑体" w:eastAsia="黑体"/>
              </w:rPr>
            </w:pPr>
            <w:r>
              <w:rPr>
                <w:rFonts w:ascii="黑体" w:hAnsi="黑体" w:eastAsia="黑体"/>
                <w:kern w:val="0"/>
                <w:sz w:val="20"/>
                <w:szCs w:val="20"/>
              </w:rPr>
              <w:t>总计</w:t>
            </w:r>
          </w:p>
        </w:tc>
      </w:tr>
      <w:tr w14:paraId="30F14F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A589B1">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337524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D37792F">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F350EBA">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3B7612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310DEE6">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079F83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AF2CA7">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2B59DD">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8CB558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4FC83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DA97DFC">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19FF153">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2FC41EB">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1833132">
            <w:pPr>
              <w:keepNext w:val="0"/>
              <w:keepLines w:val="0"/>
              <w:pageBreakBefore w:val="0"/>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71619532">
      <w:pPr>
        <w:keepNext w:val="0"/>
        <w:keepLines w:val="0"/>
        <w:pageBreakBefore w:val="0"/>
        <w:widowControl w:val="0"/>
        <w:numPr>
          <w:ilvl w:val="0"/>
          <w:numId w:val="0"/>
        </w:numPr>
        <w:kinsoku/>
        <w:wordWrap/>
        <w:overflowPunct/>
        <w:topLinePunct w:val="0"/>
        <w:autoSpaceDE/>
        <w:bidi w:val="0"/>
        <w:adjustRightInd/>
        <w:snapToGrid/>
        <w:spacing w:line="600" w:lineRule="exact"/>
        <w:ind w:firstLine="640" w:firstLineChars="200"/>
        <w:jc w:val="left"/>
        <w:textAlignment w:val="auto"/>
        <w:rPr>
          <w:rFonts w:ascii="黑体" w:hAnsi="黑体" w:eastAsia="黑体" w:cs="黑体"/>
          <w:color w:val="000000"/>
          <w:sz w:val="32"/>
          <w:szCs w:val="32"/>
          <w:highlight w:val="none"/>
        </w:rPr>
      </w:pPr>
      <w:r>
        <w:rPr>
          <w:rFonts w:hint="eastAsia" w:ascii="黑体" w:hAnsi="黑体" w:eastAsia="黑体" w:cs="黑体"/>
          <w:color w:val="000000"/>
          <w:kern w:val="2"/>
          <w:sz w:val="32"/>
          <w:szCs w:val="32"/>
          <w:highlight w:val="none"/>
          <w:lang w:val="en-US" w:eastAsia="zh-CN" w:bidi="ar-SA"/>
        </w:rPr>
        <w:t>五、</w:t>
      </w:r>
      <w:r>
        <w:rPr>
          <w:rFonts w:hint="eastAsia" w:ascii="黑体" w:hAnsi="黑体" w:eastAsia="黑体" w:cs="黑体"/>
          <w:color w:val="000000"/>
          <w:sz w:val="32"/>
          <w:szCs w:val="32"/>
          <w:highlight w:val="none"/>
        </w:rPr>
        <w:t>存在的主要问题及改进情况</w:t>
      </w:r>
    </w:p>
    <w:p w14:paraId="7506691D">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楷体_GB2312" w:hAnsi="楷体_GB2312" w:eastAsia="楷体_GB2312" w:cs="楷体_GB2312"/>
          <w:color w:val="000000"/>
          <w:spacing w:val="-6"/>
          <w:kern w:val="0"/>
          <w:sz w:val="32"/>
          <w:szCs w:val="32"/>
          <w:shd w:val="clear" w:color="auto" w:fill="FFFFFF"/>
          <w:lang w:val="en-US" w:eastAsia="zh-CN" w:bidi="ar-SA"/>
        </w:rPr>
      </w:pPr>
      <w:r>
        <w:rPr>
          <w:rFonts w:hint="eastAsia" w:ascii="楷体_GB2312" w:hAnsi="楷体_GB2312" w:eastAsia="楷体_GB2312" w:cs="楷体_GB2312"/>
          <w:color w:val="000000"/>
          <w:spacing w:val="-6"/>
          <w:kern w:val="0"/>
          <w:sz w:val="32"/>
          <w:szCs w:val="32"/>
          <w:shd w:val="clear" w:color="auto" w:fill="FFFFFF"/>
          <w:lang w:val="en-US" w:eastAsia="zh-CN" w:bidi="ar-SA"/>
        </w:rPr>
        <w:t>（一）存在不足</w:t>
      </w:r>
    </w:p>
    <w:p w14:paraId="26E324EE">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2025年，滕州市农业农村局政府信息公开工作稳步推进，各项任务得到有效落实。对照更高标准和要求，我们认识到工作中仍有持续提升的空间：一是信息公开平台和栏目可以进一步优化，以便公众能更快速、更直观地获取所需信息；二是政策解读与宣传的形式还可更加丰富多样，以适应不同群体的查阅习惯。</w:t>
      </w:r>
    </w:p>
    <w:p w14:paraId="34407E9B">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楷体_GB2312" w:hAnsi="楷体_GB2312" w:eastAsia="楷体_GB2312" w:cs="楷体_GB2312"/>
          <w:color w:val="000000"/>
          <w:spacing w:val="-6"/>
          <w:kern w:val="0"/>
          <w:sz w:val="32"/>
          <w:szCs w:val="32"/>
          <w:shd w:val="clear" w:color="auto" w:fill="FFFFFF"/>
          <w:lang w:val="en-US" w:eastAsia="zh-CN" w:bidi="ar-SA"/>
        </w:rPr>
      </w:pPr>
      <w:r>
        <w:rPr>
          <w:rFonts w:hint="eastAsia" w:ascii="楷体_GB2312" w:hAnsi="楷体_GB2312" w:eastAsia="楷体_GB2312" w:cs="楷体_GB2312"/>
          <w:color w:val="000000"/>
          <w:spacing w:val="-6"/>
          <w:kern w:val="0"/>
          <w:sz w:val="32"/>
          <w:szCs w:val="32"/>
          <w:shd w:val="clear" w:color="auto" w:fill="FFFFFF"/>
          <w:lang w:val="en-US" w:eastAsia="zh-CN" w:bidi="ar-SA"/>
        </w:rPr>
        <w:t>（二）改进措施</w:t>
      </w:r>
    </w:p>
    <w:p w14:paraId="1BB239A5">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default"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一是持续优化信息公开服务。对门户网站及政务新媒体平台的信息发布栏目进行梳理与整合，提升信息发布的系统性和查询的便捷性，改善公众获取体验。二是积极探索多样化解读方式。在用好文字、图解等传统形式基础上，积极尝试视频、简明问答等更生动直观的解读方式，增强政策宣传的吸引力和覆盖面。</w:t>
      </w:r>
    </w:p>
    <w:p w14:paraId="2370B0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FF0000"/>
          <w:sz w:val="32"/>
          <w:szCs w:val="32"/>
          <w:highlight w:val="yellow"/>
        </w:rPr>
      </w:pPr>
      <w:r>
        <w:rPr>
          <w:rFonts w:hint="eastAsia" w:ascii="黑体" w:hAnsi="黑体" w:eastAsia="黑体" w:cs="黑体"/>
          <w:color w:val="000000"/>
          <w:kern w:val="2"/>
          <w:sz w:val="32"/>
          <w:szCs w:val="32"/>
          <w:lang w:val="en-US" w:eastAsia="zh-CN" w:bidi="ar-SA"/>
        </w:rPr>
        <w:t>六、</w:t>
      </w:r>
      <w:r>
        <w:rPr>
          <w:rFonts w:hint="eastAsia" w:ascii="黑体" w:hAnsi="黑体" w:eastAsia="黑体" w:cs="黑体"/>
          <w:color w:val="000000"/>
          <w:sz w:val="32"/>
          <w:szCs w:val="32"/>
        </w:rPr>
        <w:t>其他需要报告的事项</w:t>
      </w:r>
    </w:p>
    <w:p w14:paraId="44C71F5E">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1.收取信息处理费情况方面。本年度，滕州市农业农村局未收取信息处理费；</w:t>
      </w:r>
    </w:p>
    <w:p w14:paraId="3C06D7D0">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highlight w:val="yellow"/>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2.落实上级年度政务公开工作要点情况。对照《枣庄市2025年政务公开政务公开工作要点》，印发《滕州市2025年政务公开工作要点》和《落实枣庄市2025年政务公开工作要点工作台账》，围绕重点领域信息公开、政策发布解读回应、政民互动交流、基层政务公开标准化规范化建设及工作保障落实等环节，细化梳理任务事项，明确相应责任分工与工作进度安排，确保各项任务有序推进、落实到位。</w:t>
      </w:r>
    </w:p>
    <w:p w14:paraId="6B682936">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3.人大代表建议和政协提案办理情况方面。2025年，滕州市农业农村局收到政协提案29件，已办理完毕，逐一答复了代表本人，并将政协提案办理情况进行了公开。</w:t>
      </w:r>
    </w:p>
    <w:p w14:paraId="0059EFC0">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2025年，滕州市农业农村局收到人大建议11件，已办理完毕，逐一答复了代表本人，并将人大建议办理情况进行了公开。</w:t>
      </w:r>
    </w:p>
    <w:p w14:paraId="5869F21B">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4.开展政务公开创新方面。滕州市农业农村局持续用好滕州市人民政府门户网站、“滕州市农业农村局”微信公众号等官方平台，严格落实信息当日发布机制，确保各级各类涉农政策、工作动态和便民信息及时、准确向社会公开，政务信息发布的时效性与覆盖面得到进一步提升。</w:t>
      </w:r>
    </w:p>
    <w:p w14:paraId="3C7E32FD">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5.本单位政府信息公开工作年度报告数据统计需要说明的事项：无</w:t>
      </w:r>
    </w:p>
    <w:p w14:paraId="4A783E63">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6.其他有关文件专门要求通过政府信息公开工作年度报告予以报告的事项：无。</w:t>
      </w:r>
    </w:p>
    <w:p w14:paraId="142985A1">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7.滕州市农业农村局政府信息公开工作年度报告数据统计真实准确。</w:t>
      </w:r>
    </w:p>
    <w:p w14:paraId="1CC6510E">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pPr>
      <w:r>
        <w:rPr>
          <w:rFonts w:hint="eastAsia" w:ascii="仿宋_GB2312" w:hAnsi="ÃƒÂ¥Ã‚Â¾Ã‚Â®ÃƒÂ¨Ã‚Â½Ã‚Â¯ÃƒÂ©Ã¢â" w:eastAsia="仿宋_GB2312" w:cs="仿宋_GB2312"/>
          <w:color w:val="000000"/>
          <w:spacing w:val="-6"/>
          <w:kern w:val="0"/>
          <w:sz w:val="32"/>
          <w:szCs w:val="32"/>
          <w:shd w:val="clear" w:color="auto" w:fill="FFFFFF"/>
          <w:lang w:val="en-US" w:eastAsia="zh-CN" w:bidi="ar-SA"/>
        </w:rPr>
        <w:t>8.本报告的电子版可在“中国滕州网”（http://www.tengzhou.gov.cn/）网站查询和下载。如对本报告有任何疑问，请与滕州市农业农村局办公室联系。（地址：滕州市学院西路3号，联系电话：0632—5513032，电子邮箱：tzsnyncjbgs@zz.shandong.cn。</w:t>
      </w:r>
    </w:p>
    <w:p w14:paraId="49291415">
      <w:pPr>
        <w:keepNext w:val="0"/>
        <w:keepLines w:val="0"/>
        <w:pageBreakBefore w:val="0"/>
        <w:widowControl w:val="0"/>
        <w:kinsoku/>
        <w:wordWrap/>
        <w:overflowPunct/>
        <w:topLinePunct w:val="0"/>
        <w:autoSpaceDE/>
        <w:autoSpaceDN w:val="0"/>
        <w:bidi w:val="0"/>
        <w:adjustRightInd/>
        <w:snapToGrid/>
        <w:spacing w:line="600" w:lineRule="exact"/>
        <w:ind w:firstLine="616" w:firstLineChars="200"/>
        <w:textAlignment w:val="auto"/>
        <w:rPr>
          <w:rFonts w:hint="default" w:ascii="仿宋_GB2312" w:hAnsi="ÃƒÂ¥Ã‚Â¾Ã‚Â®ÃƒÂ¨Ã‚Â½Ã‚Â¯ÃƒÂ©Ã¢â" w:eastAsia="仿宋_GB2312" w:cs="仿宋_GB2312"/>
          <w:color w:val="000000"/>
          <w:spacing w:val="-6"/>
          <w:kern w:val="0"/>
          <w:sz w:val="32"/>
          <w:szCs w:val="32"/>
          <w:shd w:val="clear" w:color="auto" w:fill="FFFFFF"/>
          <w:lang w:val="en-US" w:eastAsia="zh-CN" w:bidi="ar-SA"/>
        </w:rPr>
      </w:pPr>
    </w:p>
    <w:sectPr>
      <w:footerReference r:id="rId3" w:type="default"/>
      <w:pgSz w:w="11906" w:h="16838"/>
      <w:pgMar w:top="1701" w:right="1701" w:bottom="1701" w:left="1701"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ÃƒÂ¥Ã‚Â¾Ã‚Â®ÃƒÂ¨Ã‚Â½Ã‚Â¯ÃƒÂ©Ã¢â">
    <w:altName w:val="宋体"/>
    <w:panose1 w:val="00000000000000000000"/>
    <w:charset w:val="86"/>
    <w:family w:val="roman"/>
    <w:pitch w:val="default"/>
    <w:sig w:usb0="00000000" w:usb1="00000000" w:usb2="00000000" w:usb3="00000000" w:csb0="00000000" w:csb1="00000000"/>
  </w:font>
  <w:font w:name="serif">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512F">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58AF5">
                          <w:pPr>
                            <w:snapToGrid w:val="0"/>
                            <w:rPr>
                              <w:rFonts w:eastAsia="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958AF5">
                    <w:pPr>
                      <w:snapToGrid w:val="0"/>
                      <w:rPr>
                        <w:rFonts w:eastAsia="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NWQ2YTg2N2U0NjBjNTY0YTZkZGY5ZDEzYWZiZjIifQ=="/>
  </w:docVars>
  <w:rsids>
    <w:rsidRoot w:val="398367B0"/>
    <w:rsid w:val="000E2CCE"/>
    <w:rsid w:val="002E677D"/>
    <w:rsid w:val="00651527"/>
    <w:rsid w:val="007239D1"/>
    <w:rsid w:val="007A14B2"/>
    <w:rsid w:val="00A12B45"/>
    <w:rsid w:val="015B5B6A"/>
    <w:rsid w:val="057E3477"/>
    <w:rsid w:val="066254A2"/>
    <w:rsid w:val="0B30303F"/>
    <w:rsid w:val="119F0F1F"/>
    <w:rsid w:val="12F67492"/>
    <w:rsid w:val="137361BF"/>
    <w:rsid w:val="189A7199"/>
    <w:rsid w:val="193D3DF0"/>
    <w:rsid w:val="1BAB27A9"/>
    <w:rsid w:val="1DB7314C"/>
    <w:rsid w:val="21B81079"/>
    <w:rsid w:val="23356CE4"/>
    <w:rsid w:val="240F5A90"/>
    <w:rsid w:val="2562292E"/>
    <w:rsid w:val="279B3355"/>
    <w:rsid w:val="28074CD0"/>
    <w:rsid w:val="28666229"/>
    <w:rsid w:val="292D69B8"/>
    <w:rsid w:val="2AB134E2"/>
    <w:rsid w:val="320C0128"/>
    <w:rsid w:val="355D6317"/>
    <w:rsid w:val="35E80BFF"/>
    <w:rsid w:val="398367B0"/>
    <w:rsid w:val="3A257964"/>
    <w:rsid w:val="3A490040"/>
    <w:rsid w:val="3E650498"/>
    <w:rsid w:val="3FBC149B"/>
    <w:rsid w:val="43D9531B"/>
    <w:rsid w:val="45663EC6"/>
    <w:rsid w:val="45BF7624"/>
    <w:rsid w:val="49470F79"/>
    <w:rsid w:val="4C9B7E4B"/>
    <w:rsid w:val="50A85453"/>
    <w:rsid w:val="51874608"/>
    <w:rsid w:val="52CF270B"/>
    <w:rsid w:val="53B65F21"/>
    <w:rsid w:val="55414503"/>
    <w:rsid w:val="56CE1555"/>
    <w:rsid w:val="5ABA3CA0"/>
    <w:rsid w:val="5CD56B9E"/>
    <w:rsid w:val="5DC45D90"/>
    <w:rsid w:val="60611D09"/>
    <w:rsid w:val="6239054A"/>
    <w:rsid w:val="62BA1A1E"/>
    <w:rsid w:val="657A4758"/>
    <w:rsid w:val="66CA7019"/>
    <w:rsid w:val="670922A9"/>
    <w:rsid w:val="68650227"/>
    <w:rsid w:val="69AC7160"/>
    <w:rsid w:val="69EE7A62"/>
    <w:rsid w:val="6DFE57FA"/>
    <w:rsid w:val="6EF13206"/>
    <w:rsid w:val="706A53C9"/>
    <w:rsid w:val="71CA4371"/>
    <w:rsid w:val="729E424F"/>
    <w:rsid w:val="72EB46C3"/>
    <w:rsid w:val="7421414E"/>
    <w:rsid w:val="75474090"/>
    <w:rsid w:val="760836BA"/>
    <w:rsid w:val="7CC61F1A"/>
    <w:rsid w:val="7D465F49"/>
    <w:rsid w:val="7DC54E9C"/>
    <w:rsid w:val="7EE51809"/>
    <w:rsid w:val="D9CF8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3010</Words>
  <Characters>3170</Characters>
  <Lines>23</Lines>
  <Paragraphs>6</Paragraphs>
  <TotalTime>10</TotalTime>
  <ScaleCrop>false</ScaleCrop>
  <LinksUpToDate>false</LinksUpToDate>
  <CharactersWithSpaces>3170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2023-01-15T09:39:00Z</dcterms:created>
  <dc:creator>Administrator</dc:creator>
  <cp:lastModifiedBy>路人 甲乙丙丁</cp:lastModifiedBy>
  <dcterms:modified xsi:type="dcterms:W3CDTF">2026-01-21T01:59:45Z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AF2A3CF77BA14A3491D2BF68F761045D_13</vt:lpwstr>
  </property>
  <property fmtid="{D5CDD505-2E9C-101B-9397-08002B2CF9AE}" pid="4" name="KSOTemplateDocerSaveRecord">
    <vt:lpwstr>eyJoZGlkIjoiM2Q0ODIxNTBkOGU0YzkwYjQxYjU1YWIzNWU5YzRmMzUiLCJ1c2VySWQiOiIyNTAxNTkyMTIifQ==</vt:lpwstr>
  </property>
</Properties>
</file>