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0"/>
          <w:kern w:val="0"/>
          <w:sz w:val="44"/>
          <w:szCs w:val="44"/>
          <w:shd w:val="clear" w:color="auto" w:fill="FFFFFF"/>
          <w:lang w:val="en-US" w:eastAsia="zh-CN" w:bidi="ar-SA"/>
        </w:rPr>
        <w:t>滕州市</w:t>
      </w:r>
      <w:r>
        <w:rPr>
          <w:rFonts w:hint="eastAsia" w:ascii="方正小标宋简体" w:hAnsi="方正小标宋简体" w:eastAsia="方正小标宋简体" w:cs="方正小标宋简体"/>
          <w:b w:val="0"/>
          <w:bCs/>
          <w:i w:val="0"/>
          <w:caps w:val="0"/>
          <w:color w:val="333333"/>
          <w:spacing w:val="-17"/>
          <w:kern w:val="0"/>
          <w:sz w:val="44"/>
          <w:szCs w:val="44"/>
          <w:shd w:val="clear" w:color="auto" w:fill="FFFFFF"/>
          <w:lang w:val="en-US" w:eastAsia="zh-CN" w:bidi="ar-SA"/>
        </w:rPr>
        <w:t>工业和信息化局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SA"/>
        </w:rPr>
      </w:pPr>
      <w:r>
        <w:rPr>
          <w:rFonts w:hint="eastAsia" w:ascii="方正小标宋简体" w:hAnsi="方正小标宋简体" w:eastAsia="方正小标宋简体" w:cs="方正小标宋简体"/>
          <w:b w:val="0"/>
          <w:bCs/>
          <w:i w:val="0"/>
          <w:caps w:val="0"/>
          <w:color w:val="333333"/>
          <w:spacing w:val="-17"/>
          <w:kern w:val="0"/>
          <w:sz w:val="44"/>
          <w:szCs w:val="44"/>
          <w:shd w:val="clear" w:color="auto" w:fill="FFFFFF"/>
          <w:lang w:val="en-US" w:eastAsia="zh-CN" w:bidi="ar-SA"/>
        </w:rPr>
        <w:t>2025年政府信息公开工作</w:t>
      </w:r>
      <w:r>
        <w:rPr>
          <w:rFonts w:hint="eastAsia" w:ascii="方正小标宋简体" w:hAnsi="方正小标宋简体" w:eastAsia="方正小标宋简体" w:cs="方正小标宋简体"/>
          <w:b w:val="0"/>
          <w:bCs/>
          <w:i w:val="0"/>
          <w:caps w:val="0"/>
          <w:color w:val="333333"/>
          <w:spacing w:val="0"/>
          <w:kern w:val="0"/>
          <w:sz w:val="44"/>
          <w:szCs w:val="44"/>
          <w:shd w:val="clear" w:color="auto" w:fill="FFFFFF"/>
          <w:lang w:val="en-US" w:eastAsia="zh-CN" w:bidi="ar-SA"/>
        </w:rPr>
        <w:t>年度报告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ascii="仿宋_GB2312" w:hAnsi="sans-serif" w:eastAsia="仿宋_GB2312" w:cs="仿宋_GB2312"/>
          <w:i w:val="0"/>
          <w:iCs w:val="0"/>
          <w:caps w:val="0"/>
          <w:color w:val="000000"/>
          <w:spacing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规定和省政府办公厅、枣庄市政府办公室、滕州市政府办公室通知要求，特编制滕州市工业和信息化局2025年政府信息公开年度报告并向社会公布。本年度报告中所列数据的统计期限自2025年1月1日起至12月31日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333333"/>
          <w:spacing w:val="0"/>
          <w:kern w:val="0"/>
          <w:sz w:val="32"/>
          <w:szCs w:val="32"/>
          <w:lang w:val="en-US" w:eastAsia="zh-CN" w:bidi="ar-SA"/>
        </w:rPr>
      </w:pPr>
      <w:r>
        <w:rPr>
          <w:rFonts w:hint="eastAsia" w:ascii="黑体" w:hAnsi="黑体" w:eastAsia="黑体" w:cs="黑体"/>
          <w:b w:val="0"/>
          <w:bCs/>
          <w:i w:val="0"/>
          <w:caps w:val="0"/>
          <w:color w:val="333333"/>
          <w:spacing w:val="0"/>
          <w:kern w:val="0"/>
          <w:sz w:val="32"/>
          <w:szCs w:val="32"/>
          <w:shd w:val="clear" w:color="auto" w:fill="FFFFFF"/>
          <w:lang w:val="en-US" w:eastAsia="zh-CN" w:bidi="ar-SA"/>
        </w:rPr>
        <w:t>一、总体情况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2025</w:t>
      </w:r>
      <w:r>
        <w:rPr>
          <w:rFonts w:hint="eastAsia" w:ascii="Times New Roman" w:hAnsi="Times New Roman" w:eastAsia="仿宋_GB2312" w:cs="Times New Roman"/>
          <w:color w:val="auto"/>
          <w:kern w:val="2"/>
          <w:sz w:val="32"/>
          <w:szCs w:val="32"/>
          <w:highlight w:val="none"/>
          <w:lang w:val="en-US" w:eastAsia="zh-CN" w:bidi="ar-SA"/>
        </w:rPr>
        <w:t>年，滕州市工业和信息化局严格按照《条例》要求，在市政府的坚强领导下，坚持以公开为常态、不公开为例外，遵循“公正、公平、合法、便民”的原则，深入推进政府信息公开工作，依托政务公开页面、微信公众号等做好主动公开工作；加强政府信息公开的规范化、标准化、信息化管理，切实做好依申请公开工作。截至202</w:t>
      </w:r>
      <w:r>
        <w:rPr>
          <w:rFonts w:hint="eastAsia" w:ascii="Times New Roman" w:hAnsi="Times New Roman"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年12月31日，滕州市工业和信息化局政府信息公开工作运行正常，相关工作持续稳步开展。</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lang w:eastAsia="zh-CN"/>
        </w:rPr>
      </w:pPr>
      <w:r>
        <w:rPr>
          <w:rFonts w:hint="eastAsia" w:ascii="楷体_GB2312" w:hAnsi="sans-serif" w:eastAsia="楷体_GB2312" w:cs="楷体_GB2312"/>
          <w:i w:val="0"/>
          <w:iCs w:val="0"/>
          <w:caps w:val="0"/>
          <w:color w:val="000000"/>
          <w:spacing w:val="0"/>
          <w:sz w:val="32"/>
          <w:szCs w:val="32"/>
        </w:rPr>
        <w:t>（一）主动公开</w:t>
      </w:r>
      <w:r>
        <w:rPr>
          <w:rFonts w:hint="eastAsia" w:ascii="楷体_GB2312" w:hAnsi="sans-serif" w:eastAsia="楷体_GB2312" w:cs="楷体_GB2312"/>
          <w:i w:val="0"/>
          <w:iCs w:val="0"/>
          <w:caps w:val="0"/>
          <w:color w:val="000000"/>
          <w:spacing w:val="0"/>
          <w:sz w:val="32"/>
          <w:szCs w:val="32"/>
          <w:lang w:eastAsia="zh-CN"/>
        </w:rPr>
        <w:t>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坚持依法公开、客观公正、注重实效、方便监督的原则，积极主动开展政府信息公开工作。全年主动公开政府信息</w:t>
      </w:r>
      <w:r>
        <w:rPr>
          <w:rFonts w:hint="eastAsia" w:ascii="Times New Roman" w:hAnsi="Times New Roman" w:cs="Times New Roman"/>
          <w:color w:val="auto"/>
          <w:kern w:val="2"/>
          <w:sz w:val="32"/>
          <w:szCs w:val="32"/>
          <w:highlight w:val="none"/>
          <w:lang w:val="en-US" w:eastAsia="zh-CN" w:bidi="ar-SA"/>
        </w:rPr>
        <w:t>52</w:t>
      </w:r>
      <w:r>
        <w:rPr>
          <w:rFonts w:hint="eastAsia" w:ascii="Times New Roman" w:hAnsi="Times New Roman" w:eastAsia="仿宋_GB2312" w:cs="Times New Roman"/>
          <w:color w:val="auto"/>
          <w:kern w:val="2"/>
          <w:sz w:val="32"/>
          <w:szCs w:val="32"/>
          <w:highlight w:val="none"/>
          <w:lang w:val="en-US" w:eastAsia="zh-CN" w:bidi="ar-SA"/>
        </w:rPr>
        <w:t>9条，其中，通过滕州市人民政府官网“本市动态”栏目“滕州市工业和信息化局”页面公开信息9</w:t>
      </w:r>
      <w:r>
        <w:rPr>
          <w:rFonts w:hint="eastAsia" w:ascii="Times New Roman" w:hAnsi="Times New Roman" w:cs="Times New Roman"/>
          <w:color w:val="auto"/>
          <w:kern w:val="2"/>
          <w:sz w:val="32"/>
          <w:szCs w:val="32"/>
          <w:highlight w:val="none"/>
          <w:lang w:val="en-US" w:eastAsia="zh-CN" w:bidi="ar-SA"/>
        </w:rPr>
        <w:t>7</w:t>
      </w:r>
      <w:r>
        <w:rPr>
          <w:rFonts w:hint="eastAsia" w:ascii="Times New Roman" w:hAnsi="Times New Roman" w:eastAsia="仿宋_GB2312" w:cs="Times New Roman"/>
          <w:color w:val="auto"/>
          <w:kern w:val="2"/>
          <w:sz w:val="32"/>
          <w:szCs w:val="32"/>
          <w:highlight w:val="none"/>
          <w:lang w:val="en-US" w:eastAsia="zh-CN" w:bidi="ar-SA"/>
        </w:rPr>
        <w:t>条，通过滕州市人民政府官网信息公开页面公开信息</w:t>
      </w:r>
      <w:r>
        <w:rPr>
          <w:rFonts w:hint="eastAsia" w:ascii="Times New Roman" w:hAnsi="Times New Roman" w:cs="Times New Roman"/>
          <w:color w:val="auto"/>
          <w:kern w:val="2"/>
          <w:sz w:val="32"/>
          <w:szCs w:val="32"/>
          <w:highlight w:val="none"/>
          <w:lang w:val="en-US" w:eastAsia="zh-CN" w:bidi="ar-SA"/>
        </w:rPr>
        <w:t>93</w:t>
      </w:r>
      <w:r>
        <w:rPr>
          <w:rFonts w:hint="eastAsia" w:ascii="Times New Roman" w:hAnsi="Times New Roman" w:eastAsia="仿宋_GB2312" w:cs="Times New Roman"/>
          <w:color w:val="auto"/>
          <w:kern w:val="2"/>
          <w:sz w:val="32"/>
          <w:szCs w:val="32"/>
          <w:highlight w:val="none"/>
          <w:lang w:val="en-US" w:eastAsia="zh-CN" w:bidi="ar-SA"/>
        </w:rPr>
        <w:t>条，通过滕州市工业和信息化局官方微信公众号</w:t>
      </w:r>
      <w:r>
        <w:rPr>
          <w:rFonts w:hint="eastAsia" w:ascii="Times New Roman" w:hAnsi="Times New Roman" w:cs="Times New Roman"/>
          <w:color w:val="auto"/>
          <w:kern w:val="2"/>
          <w:sz w:val="32"/>
          <w:szCs w:val="32"/>
          <w:highlight w:val="none"/>
          <w:lang w:val="en-US" w:eastAsia="zh-CN" w:bidi="ar-SA"/>
        </w:rPr>
        <w:t>发布</w:t>
      </w:r>
      <w:r>
        <w:rPr>
          <w:rFonts w:hint="eastAsia" w:ascii="Times New Roman" w:hAnsi="Times New Roman" w:eastAsia="仿宋_GB2312" w:cs="Times New Roman"/>
          <w:color w:val="auto"/>
          <w:kern w:val="2"/>
          <w:sz w:val="32"/>
          <w:szCs w:val="32"/>
          <w:highlight w:val="none"/>
          <w:lang w:val="en-US" w:eastAsia="zh-CN" w:bidi="ar-SA"/>
        </w:rPr>
        <w:t>信息</w:t>
      </w:r>
      <w:r>
        <w:rPr>
          <w:rFonts w:hint="eastAsia" w:ascii="Times New Roman" w:hAnsi="Times New Roman" w:cs="Times New Roman"/>
          <w:color w:val="auto"/>
          <w:kern w:val="2"/>
          <w:sz w:val="32"/>
          <w:szCs w:val="32"/>
          <w:highlight w:val="none"/>
          <w:lang w:val="en-US" w:eastAsia="zh-CN" w:bidi="ar-SA"/>
        </w:rPr>
        <w:t>339</w:t>
      </w:r>
      <w:r>
        <w:rPr>
          <w:rFonts w:hint="eastAsia" w:ascii="Times New Roman" w:hAnsi="Times New Roman" w:eastAsia="仿宋_GB2312" w:cs="Times New Roman"/>
          <w:color w:val="auto"/>
          <w:kern w:val="2"/>
          <w:sz w:val="32"/>
          <w:szCs w:val="32"/>
          <w:highlight w:val="none"/>
          <w:lang w:val="en-US" w:eastAsia="zh-CN" w:bidi="ar-SA"/>
        </w:rPr>
        <w:t>条。</w:t>
      </w:r>
    </w:p>
    <w:p>
      <w:pPr>
        <w:pStyle w:val="7"/>
        <w:keepNext w:val="0"/>
        <w:keepLines w:val="0"/>
        <w:widowControl/>
        <w:suppressLineNumbers w:val="0"/>
        <w:spacing w:line="315" w:lineRule="atLeast"/>
        <w:ind w:left="0" w:firstLine="0"/>
        <w:jc w:val="center"/>
        <w:rPr>
          <w:rFonts w:hint="eastAsia" w:ascii="sans-serif" w:hAnsi="sans-serif" w:eastAsia="宋体" w:cs="sans-serif"/>
          <w:i w:val="0"/>
          <w:iCs w:val="0"/>
          <w:caps w:val="0"/>
          <w:color w:val="000000"/>
          <w:spacing w:val="0"/>
          <w:sz w:val="27"/>
          <w:szCs w:val="27"/>
          <w:lang w:eastAsia="zh-CN"/>
        </w:rPr>
      </w:pPr>
      <w:r>
        <w:rPr>
          <w:rFonts w:hint="eastAsia" w:ascii="sans-serif" w:hAnsi="sans-serif" w:eastAsia="宋体" w:cs="sans-serif"/>
          <w:i w:val="0"/>
          <w:iCs w:val="0"/>
          <w:caps w:val="0"/>
          <w:color w:val="000000"/>
          <w:spacing w:val="0"/>
          <w:sz w:val="27"/>
          <w:szCs w:val="27"/>
          <w:lang w:eastAsia="zh-CN"/>
        </w:rPr>
        <w:drawing>
          <wp:inline distT="0" distB="0" distL="114300" distR="114300">
            <wp:extent cx="5079365" cy="2775585"/>
            <wp:effectExtent l="4445" t="4445" r="21590" b="203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7"/>
        <w:keepNext w:val="0"/>
        <w:keepLines w:val="0"/>
        <w:widowControl/>
        <w:suppressLineNumbers w:val="0"/>
        <w:spacing w:line="600" w:lineRule="atLeast"/>
        <w:ind w:left="0" w:firstLine="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lang w:eastAsia="zh-CN"/>
        </w:rPr>
        <w:t>2025</w:t>
      </w:r>
      <w:r>
        <w:rPr>
          <w:rFonts w:hint="eastAsia" w:ascii="黑体" w:hAnsi="宋体" w:eastAsia="黑体" w:cs="黑体"/>
          <w:i w:val="0"/>
          <w:iCs w:val="0"/>
          <w:caps w:val="0"/>
          <w:color w:val="000000"/>
          <w:spacing w:val="0"/>
          <w:sz w:val="24"/>
          <w:szCs w:val="24"/>
        </w:rPr>
        <w:t>年</w:t>
      </w:r>
      <w:r>
        <w:rPr>
          <w:rFonts w:hint="eastAsia" w:ascii="黑体" w:hAnsi="宋体" w:eastAsia="黑体" w:cs="黑体"/>
          <w:i w:val="0"/>
          <w:iCs w:val="0"/>
          <w:caps w:val="0"/>
          <w:color w:val="000000"/>
          <w:spacing w:val="0"/>
          <w:sz w:val="24"/>
          <w:szCs w:val="24"/>
          <w:lang w:eastAsia="zh-CN"/>
        </w:rPr>
        <w:t>市工信</w:t>
      </w:r>
      <w:r>
        <w:rPr>
          <w:rFonts w:hint="eastAsia" w:ascii="黑体" w:hAnsi="宋体" w:eastAsia="黑体" w:cs="黑体"/>
          <w:i w:val="0"/>
          <w:iCs w:val="0"/>
          <w:caps w:val="0"/>
          <w:color w:val="000000"/>
          <w:spacing w:val="0"/>
          <w:sz w:val="24"/>
          <w:szCs w:val="24"/>
        </w:rPr>
        <w:t>局政府信息主动公开情况分布图</w:t>
      </w:r>
    </w:p>
    <w:p>
      <w:pPr>
        <w:pStyle w:val="7"/>
        <w:keepNext w:val="0"/>
        <w:keepLines w:val="0"/>
        <w:widowControl/>
        <w:suppressLineNumbers w:val="0"/>
        <w:spacing w:line="600" w:lineRule="atLeast"/>
        <w:ind w:left="0" w:firstLine="0"/>
        <w:jc w:val="center"/>
        <w:rPr>
          <w:rFonts w:hint="eastAsia" w:ascii="黑体" w:hAnsi="宋体" w:eastAsia="黑体" w:cs="黑体"/>
          <w:i w:val="0"/>
          <w:iCs w:val="0"/>
          <w:caps w:val="0"/>
          <w:color w:val="000000"/>
          <w:spacing w:val="0"/>
          <w:sz w:val="24"/>
          <w:szCs w:val="24"/>
        </w:rPr>
      </w:pPr>
    </w:p>
    <w:p>
      <w:pPr>
        <w:pStyle w:val="7"/>
        <w:keepNext w:val="0"/>
        <w:keepLines w:val="0"/>
        <w:widowControl/>
        <w:suppressLineNumbers w:val="0"/>
        <w:spacing w:line="600" w:lineRule="atLeast"/>
        <w:ind w:left="0" w:firstLine="0"/>
        <w:jc w:val="center"/>
        <w:rPr>
          <w:rFonts w:hint="eastAsia" w:ascii="黑体" w:hAnsi="宋体" w:eastAsia="黑体" w:cs="黑体"/>
          <w:i w:val="0"/>
          <w:iCs w:val="0"/>
          <w:caps w:val="0"/>
          <w:color w:val="000000"/>
          <w:spacing w:val="0"/>
          <w:sz w:val="24"/>
          <w:szCs w:val="24"/>
          <w:lang w:eastAsia="zh-CN"/>
        </w:rPr>
      </w:pPr>
      <w:r>
        <w:rPr>
          <w:rFonts w:hint="eastAsia" w:ascii="黑体" w:hAnsi="宋体" w:eastAsia="黑体" w:cs="黑体"/>
          <w:i w:val="0"/>
          <w:iCs w:val="0"/>
          <w:caps w:val="0"/>
          <w:color w:val="000000"/>
          <w:spacing w:val="0"/>
          <w:sz w:val="24"/>
          <w:szCs w:val="24"/>
          <w:lang w:eastAsia="zh-CN"/>
        </w:rPr>
        <w:drawing>
          <wp:inline distT="0" distB="0" distL="114300" distR="114300">
            <wp:extent cx="5271770" cy="3319145"/>
            <wp:effectExtent l="0" t="0" r="5080" b="14605"/>
            <wp:docPr id="11" name="图片 11" descr="/home/User/桌面/2026-01-06_09-00-26.png2026-01-06_09-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ome/User/桌面/2026-01-06_09-00-26.png2026-01-06_09-00-26"/>
                    <pic:cNvPicPr>
                      <a:picLocks noChangeAspect="1"/>
                    </pic:cNvPicPr>
                  </pic:nvPicPr>
                  <pic:blipFill>
                    <a:blip r:embed="rId6"/>
                    <a:srcRect/>
                    <a:stretch>
                      <a:fillRect/>
                    </a:stretch>
                  </pic:blipFill>
                  <pic:spPr>
                    <a:xfrm>
                      <a:off x="0" y="0"/>
                      <a:ext cx="5271770" cy="3319145"/>
                    </a:xfrm>
                    <a:prstGeom prst="rect">
                      <a:avLst/>
                    </a:prstGeom>
                  </pic:spPr>
                </pic:pic>
              </a:graphicData>
            </a:graphic>
          </wp:inline>
        </w:drawing>
      </w:r>
    </w:p>
    <w:p>
      <w:pPr>
        <w:pStyle w:val="7"/>
        <w:keepNext w:val="0"/>
        <w:keepLines w:val="0"/>
        <w:widowControl/>
        <w:suppressLineNumbers w:val="0"/>
        <w:spacing w:line="600" w:lineRule="atLeast"/>
        <w:ind w:left="0" w:firstLine="0"/>
        <w:jc w:val="center"/>
        <w:rPr>
          <w:rFonts w:hint="eastAsia" w:ascii="黑体" w:hAnsi="宋体" w:eastAsia="黑体" w:cs="黑体"/>
          <w:i w:val="0"/>
          <w:iCs w:val="0"/>
          <w:caps w:val="0"/>
          <w:color w:val="000000"/>
          <w:spacing w:val="0"/>
          <w:sz w:val="24"/>
          <w:szCs w:val="24"/>
          <w:lang w:eastAsia="zh-CN"/>
        </w:rPr>
      </w:pPr>
      <w:r>
        <w:rPr>
          <w:rFonts w:hint="eastAsia" w:ascii="黑体" w:hAnsi="宋体" w:eastAsia="黑体" w:cs="黑体"/>
          <w:i w:val="0"/>
          <w:iCs w:val="0"/>
          <w:caps w:val="0"/>
          <w:color w:val="000000"/>
          <w:spacing w:val="0"/>
          <w:sz w:val="24"/>
          <w:szCs w:val="24"/>
          <w:lang w:eastAsia="zh-CN"/>
        </w:rPr>
        <w:t>2025</w:t>
      </w:r>
      <w:r>
        <w:rPr>
          <w:rFonts w:hint="eastAsia" w:ascii="黑体" w:hAnsi="宋体" w:eastAsia="黑体" w:cs="黑体"/>
          <w:i w:val="0"/>
          <w:iCs w:val="0"/>
          <w:caps w:val="0"/>
          <w:color w:val="000000"/>
          <w:spacing w:val="0"/>
          <w:sz w:val="24"/>
          <w:szCs w:val="24"/>
        </w:rPr>
        <w:t>年</w:t>
      </w:r>
      <w:r>
        <w:rPr>
          <w:rFonts w:hint="eastAsia" w:ascii="黑体" w:hAnsi="宋体" w:eastAsia="黑体" w:cs="黑体"/>
          <w:i w:val="0"/>
          <w:iCs w:val="0"/>
          <w:caps w:val="0"/>
          <w:color w:val="000000"/>
          <w:spacing w:val="0"/>
          <w:sz w:val="24"/>
          <w:szCs w:val="24"/>
          <w:lang w:eastAsia="zh-CN"/>
        </w:rPr>
        <w:t>在滕州市人民政府官网“本市动态”栏目“滕州市工业和信息化局”页面公开信息</w:t>
      </w:r>
      <w:r>
        <w:rPr>
          <w:rFonts w:hint="eastAsia" w:ascii="黑体" w:hAnsi="宋体" w:eastAsia="黑体" w:cs="黑体"/>
          <w:i w:val="0"/>
          <w:iCs w:val="0"/>
          <w:caps w:val="0"/>
          <w:color w:val="000000"/>
          <w:spacing w:val="0"/>
          <w:sz w:val="24"/>
          <w:szCs w:val="24"/>
        </w:rPr>
        <w:t>发布情况（部分）</w:t>
      </w:r>
    </w:p>
    <w:p>
      <w:pPr>
        <w:pStyle w:val="7"/>
        <w:keepNext w:val="0"/>
        <w:keepLines w:val="0"/>
        <w:widowControl/>
        <w:suppressLineNumbers w:val="0"/>
        <w:spacing w:line="600" w:lineRule="atLeast"/>
        <w:ind w:left="0" w:firstLine="0"/>
        <w:jc w:val="center"/>
        <w:rPr>
          <w:rFonts w:hint="eastAsia" w:ascii="sans-serif" w:hAnsi="sans-serif" w:eastAsia="宋体" w:cs="sans-serif"/>
          <w:i w:val="0"/>
          <w:iCs w:val="0"/>
          <w:caps w:val="0"/>
          <w:color w:val="000000"/>
          <w:spacing w:val="0"/>
          <w:sz w:val="27"/>
          <w:szCs w:val="27"/>
          <w:lang w:eastAsia="zh-CN"/>
        </w:rPr>
      </w:pPr>
      <w:r>
        <w:rPr>
          <w:rFonts w:hint="eastAsia" w:ascii="sans-serif" w:hAnsi="sans-serif" w:eastAsia="宋体" w:cs="sans-serif"/>
          <w:i w:val="0"/>
          <w:iCs w:val="0"/>
          <w:caps w:val="0"/>
          <w:color w:val="000000"/>
          <w:spacing w:val="0"/>
          <w:sz w:val="27"/>
          <w:szCs w:val="27"/>
          <w:lang w:eastAsia="zh-CN"/>
        </w:rPr>
        <w:drawing>
          <wp:inline distT="0" distB="0" distL="114300" distR="114300">
            <wp:extent cx="4848860" cy="3439795"/>
            <wp:effectExtent l="0" t="0" r="8890" b="8255"/>
            <wp:docPr id="6" name="图片 6" descr="/home/User/桌面/2026-01-06_09-03-05.png2026-01-06_09-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ome/User/桌面/2026-01-06_09-03-05.png2026-01-06_09-03-05"/>
                    <pic:cNvPicPr>
                      <a:picLocks noChangeAspect="1"/>
                    </pic:cNvPicPr>
                  </pic:nvPicPr>
                  <pic:blipFill>
                    <a:blip r:embed="rId7"/>
                    <a:srcRect/>
                    <a:stretch>
                      <a:fillRect/>
                    </a:stretch>
                  </pic:blipFill>
                  <pic:spPr>
                    <a:xfrm>
                      <a:off x="0" y="0"/>
                      <a:ext cx="4848860" cy="3439795"/>
                    </a:xfrm>
                    <a:prstGeom prst="rect">
                      <a:avLst/>
                    </a:prstGeom>
                  </pic:spPr>
                </pic:pic>
              </a:graphicData>
            </a:graphic>
          </wp:inline>
        </w:drawing>
      </w:r>
    </w:p>
    <w:p>
      <w:pPr>
        <w:pStyle w:val="7"/>
        <w:keepNext w:val="0"/>
        <w:keepLines w:val="0"/>
        <w:widowControl/>
        <w:suppressLineNumbers w:val="0"/>
        <w:spacing w:line="600" w:lineRule="atLeast"/>
        <w:ind w:left="0" w:firstLine="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lang w:eastAsia="zh-CN"/>
        </w:rPr>
        <w:t>2025</w:t>
      </w:r>
      <w:r>
        <w:rPr>
          <w:rFonts w:hint="eastAsia" w:ascii="黑体" w:hAnsi="宋体" w:eastAsia="黑体" w:cs="黑体"/>
          <w:i w:val="0"/>
          <w:iCs w:val="0"/>
          <w:caps w:val="0"/>
          <w:color w:val="000000"/>
          <w:spacing w:val="0"/>
          <w:sz w:val="24"/>
          <w:szCs w:val="24"/>
        </w:rPr>
        <w:t>年</w:t>
      </w:r>
      <w:r>
        <w:rPr>
          <w:rFonts w:hint="eastAsia" w:ascii="黑体" w:hAnsi="宋体" w:eastAsia="黑体" w:cs="黑体"/>
          <w:i w:val="0"/>
          <w:iCs w:val="0"/>
          <w:caps w:val="0"/>
          <w:color w:val="000000"/>
          <w:spacing w:val="0"/>
          <w:sz w:val="24"/>
          <w:szCs w:val="24"/>
          <w:lang w:eastAsia="zh-CN"/>
        </w:rPr>
        <w:t>在滕州市人民政府官网信息公开页面公开信息</w:t>
      </w:r>
      <w:r>
        <w:rPr>
          <w:rFonts w:hint="eastAsia" w:ascii="黑体" w:hAnsi="宋体" w:eastAsia="黑体" w:cs="黑体"/>
          <w:i w:val="0"/>
          <w:iCs w:val="0"/>
          <w:caps w:val="0"/>
          <w:color w:val="000000"/>
          <w:spacing w:val="0"/>
          <w:sz w:val="24"/>
          <w:szCs w:val="24"/>
        </w:rPr>
        <w:t>发布情况（部分）</w:t>
      </w:r>
    </w:p>
    <w:p>
      <w:pPr>
        <w:pStyle w:val="7"/>
        <w:keepNext w:val="0"/>
        <w:keepLines w:val="0"/>
        <w:widowControl/>
        <w:suppressLineNumbers w:val="0"/>
        <w:spacing w:line="315" w:lineRule="atLeast"/>
        <w:ind w:left="0" w:firstLine="0"/>
        <w:jc w:val="center"/>
        <w:rPr>
          <w:rFonts w:hint="eastAsia" w:ascii="黑体" w:hAnsi="宋体" w:eastAsia="黑体" w:cs="黑体"/>
          <w:i w:val="0"/>
          <w:iCs w:val="0"/>
          <w:caps w:val="0"/>
          <w:color w:val="000000"/>
          <w:spacing w:val="0"/>
          <w:sz w:val="24"/>
          <w:szCs w:val="24"/>
          <w:lang w:eastAsia="zh-CN"/>
        </w:rPr>
      </w:pPr>
      <w:r>
        <w:rPr>
          <w:rFonts w:hint="eastAsia" w:ascii="sans-serif" w:hAnsi="sans-serif" w:eastAsia="宋体" w:cs="sans-serif"/>
          <w:i w:val="0"/>
          <w:iCs w:val="0"/>
          <w:caps w:val="0"/>
          <w:color w:val="000000"/>
          <w:spacing w:val="0"/>
          <w:sz w:val="27"/>
          <w:szCs w:val="27"/>
          <w:lang w:eastAsia="zh-CN"/>
        </w:rPr>
        <w:drawing>
          <wp:inline distT="0" distB="0" distL="114300" distR="114300">
            <wp:extent cx="4540250" cy="3217545"/>
            <wp:effectExtent l="0" t="0" r="12700" b="1905"/>
            <wp:docPr id="2" name="图片 2" descr="/home/User/桌面/2026-01-06_09-06-05.png2026-01-06_09-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ome/User/桌面/2026-01-06_09-06-05.png2026-01-06_09-06-05"/>
                    <pic:cNvPicPr>
                      <a:picLocks noChangeAspect="1"/>
                    </pic:cNvPicPr>
                  </pic:nvPicPr>
                  <pic:blipFill>
                    <a:blip r:embed="rId8"/>
                    <a:srcRect/>
                    <a:stretch>
                      <a:fillRect/>
                    </a:stretch>
                  </pic:blipFill>
                  <pic:spPr>
                    <a:xfrm>
                      <a:off x="0" y="0"/>
                      <a:ext cx="4540250" cy="3217545"/>
                    </a:xfrm>
                    <a:prstGeom prst="rect">
                      <a:avLst/>
                    </a:prstGeom>
                  </pic:spPr>
                </pic:pic>
              </a:graphicData>
            </a:graphic>
          </wp:inline>
        </w:drawing>
      </w:r>
    </w:p>
    <w:p>
      <w:pPr>
        <w:pStyle w:val="7"/>
        <w:keepNext w:val="0"/>
        <w:keepLines w:val="0"/>
        <w:widowControl/>
        <w:suppressLineNumbers w:val="0"/>
        <w:spacing w:line="600" w:lineRule="atLeast"/>
        <w:ind w:left="0" w:firstLine="0"/>
        <w:jc w:val="center"/>
        <w:rPr>
          <w:rFonts w:hint="eastAsia" w:ascii="楷体_GB2312" w:hAnsi="sans-serif" w:eastAsia="楷体_GB2312" w:cs="楷体_GB2312"/>
          <w:i w:val="0"/>
          <w:iCs w:val="0"/>
          <w:caps w:val="0"/>
          <w:color w:val="000000"/>
          <w:spacing w:val="0"/>
          <w:sz w:val="32"/>
          <w:szCs w:val="32"/>
          <w:highlight w:val="none"/>
        </w:rPr>
      </w:pPr>
      <w:r>
        <w:rPr>
          <w:rFonts w:hint="eastAsia" w:ascii="黑体" w:hAnsi="宋体" w:eastAsia="黑体" w:cs="黑体"/>
          <w:i w:val="0"/>
          <w:iCs w:val="0"/>
          <w:caps w:val="0"/>
          <w:color w:val="000000"/>
          <w:spacing w:val="0"/>
          <w:sz w:val="24"/>
          <w:szCs w:val="24"/>
          <w:lang w:eastAsia="zh-CN"/>
        </w:rPr>
        <w:t>2025</w:t>
      </w:r>
      <w:r>
        <w:rPr>
          <w:rFonts w:hint="eastAsia" w:ascii="黑体" w:hAnsi="宋体" w:eastAsia="黑体" w:cs="黑体"/>
          <w:i w:val="0"/>
          <w:iCs w:val="0"/>
          <w:caps w:val="0"/>
          <w:color w:val="000000"/>
          <w:spacing w:val="0"/>
          <w:sz w:val="24"/>
          <w:szCs w:val="24"/>
        </w:rPr>
        <w:t>年“滕州工信”官方公众号信息发布情况（部分）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highlight w:val="none"/>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highlight w:val="none"/>
          <w:lang w:eastAsia="zh-CN"/>
        </w:rPr>
      </w:pPr>
      <w:r>
        <w:rPr>
          <w:rFonts w:hint="eastAsia" w:ascii="楷体_GB2312" w:hAnsi="sans-serif" w:eastAsia="楷体_GB2312" w:cs="楷体_GB2312"/>
          <w:i w:val="0"/>
          <w:iCs w:val="0"/>
          <w:caps w:val="0"/>
          <w:color w:val="000000"/>
          <w:spacing w:val="0"/>
          <w:sz w:val="32"/>
          <w:szCs w:val="32"/>
          <w:highlight w:val="none"/>
        </w:rPr>
        <w:t>（二）依申请公开</w:t>
      </w:r>
      <w:r>
        <w:rPr>
          <w:rFonts w:hint="eastAsia" w:ascii="楷体_GB2312" w:hAnsi="sans-serif" w:eastAsia="楷体_GB2312" w:cs="楷体_GB2312"/>
          <w:i w:val="0"/>
          <w:iCs w:val="0"/>
          <w:caps w:val="0"/>
          <w:color w:val="000000"/>
          <w:spacing w:val="0"/>
          <w:sz w:val="32"/>
          <w:szCs w:val="32"/>
          <w:highlight w:val="none"/>
          <w:lang w:eastAsia="zh-CN"/>
        </w:rPr>
        <w:t>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积极畅通受理渠道，</w:t>
      </w:r>
      <w:r>
        <w:rPr>
          <w:rFonts w:hint="eastAsia" w:ascii="Times New Roman" w:hAnsi="Times New Roman" w:cs="Times New Roman"/>
          <w:color w:val="auto"/>
          <w:kern w:val="2"/>
          <w:sz w:val="32"/>
          <w:szCs w:val="32"/>
          <w:highlight w:val="none"/>
          <w:lang w:val="en-US" w:eastAsia="zh-CN" w:bidi="ar-SA"/>
        </w:rPr>
        <w:t>认真</w:t>
      </w:r>
      <w:r>
        <w:rPr>
          <w:rFonts w:hint="eastAsia" w:ascii="Times New Roman" w:hAnsi="Times New Roman" w:eastAsia="仿宋_GB2312" w:cs="Times New Roman"/>
          <w:color w:val="auto"/>
          <w:kern w:val="2"/>
          <w:sz w:val="32"/>
          <w:szCs w:val="32"/>
          <w:highlight w:val="none"/>
          <w:lang w:val="en-US" w:eastAsia="zh-CN" w:bidi="ar-SA"/>
        </w:rPr>
        <w:t>处理政府信息公开申请</w:t>
      </w:r>
      <w:r>
        <w:rPr>
          <w:rFonts w:hint="eastAsia" w:ascii="Times New Roman" w:hAnsi="Times New Roman" w:cs="Times New Roman"/>
          <w:color w:val="auto"/>
          <w:kern w:val="2"/>
          <w:sz w:val="32"/>
          <w:szCs w:val="32"/>
          <w:highlight w:val="none"/>
          <w:lang w:val="en-US" w:eastAsia="zh-CN" w:bidi="ar-SA"/>
        </w:rPr>
        <w:t>。2025</w:t>
      </w:r>
      <w:r>
        <w:rPr>
          <w:rFonts w:hint="eastAsia"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cs="Times New Roman"/>
          <w:color w:val="auto"/>
          <w:kern w:val="2"/>
          <w:sz w:val="32"/>
          <w:szCs w:val="32"/>
          <w:highlight w:val="none"/>
          <w:lang w:val="en-US" w:eastAsia="zh-CN" w:bidi="ar-SA"/>
        </w:rPr>
        <w:t>共</w:t>
      </w:r>
      <w:r>
        <w:rPr>
          <w:rFonts w:hint="eastAsia" w:ascii="Times New Roman" w:hAnsi="Times New Roman" w:eastAsia="仿宋_GB2312" w:cs="Times New Roman"/>
          <w:color w:val="auto"/>
          <w:kern w:val="2"/>
          <w:sz w:val="32"/>
          <w:szCs w:val="32"/>
          <w:highlight w:val="none"/>
          <w:lang w:val="en-US" w:eastAsia="zh-CN" w:bidi="ar-SA"/>
        </w:rPr>
        <w:t>受理信息公开申请2件，其中</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予以公开1件、无法提供1件。申请人均为自然人，全部予以答复</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未向申请人收取任何费用</w:t>
      </w:r>
      <w:r>
        <w:rPr>
          <w:rFonts w:hint="eastAsia" w:ascii="Times New Roman" w:hAnsi="Times New Roman" w:cs="Times New Roman"/>
          <w:color w:val="auto"/>
          <w:kern w:val="2"/>
          <w:sz w:val="32"/>
          <w:szCs w:val="32"/>
          <w:highlight w:val="none"/>
          <w:lang w:val="en-US" w:eastAsia="zh-CN" w:bidi="ar-SA"/>
        </w:rPr>
        <w:t>，处理</w:t>
      </w:r>
      <w:r>
        <w:rPr>
          <w:rFonts w:hint="eastAsia" w:ascii="Times New Roman" w:hAnsi="Times New Roman" w:eastAsia="仿宋_GB2312" w:cs="Times New Roman"/>
          <w:color w:val="auto"/>
          <w:kern w:val="2"/>
          <w:sz w:val="32"/>
          <w:szCs w:val="32"/>
          <w:highlight w:val="none"/>
          <w:lang w:val="en-US" w:eastAsia="zh-CN" w:bidi="ar-SA"/>
        </w:rPr>
        <w:t>数量与</w:t>
      </w:r>
      <w:r>
        <w:rPr>
          <w:rFonts w:hint="eastAsia" w:ascii="Times New Roman" w:hAnsi="Times New Roman" w:cs="Times New Roman"/>
          <w:color w:val="auto"/>
          <w:kern w:val="2"/>
          <w:sz w:val="32"/>
          <w:szCs w:val="32"/>
          <w:highlight w:val="none"/>
          <w:lang w:val="en-US" w:eastAsia="zh-CN" w:bidi="ar-SA"/>
        </w:rPr>
        <w:t>2024</w:t>
      </w:r>
      <w:r>
        <w:rPr>
          <w:rFonts w:hint="eastAsia" w:ascii="Times New Roman" w:hAnsi="Times New Roman" w:eastAsia="仿宋_GB2312" w:cs="Times New Roman"/>
          <w:color w:val="auto"/>
          <w:kern w:val="2"/>
          <w:sz w:val="32"/>
          <w:szCs w:val="32"/>
          <w:highlight w:val="none"/>
          <w:lang w:val="en-US" w:eastAsia="zh-CN" w:bidi="ar-SA"/>
        </w:rPr>
        <w:t>年相比增加1件。全年未发生因政府信息公开被申请行政复议、提起行政诉讼和行政申诉的情况。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lang w:eastAsia="zh-CN"/>
        </w:rPr>
      </w:pPr>
      <w:r>
        <w:rPr>
          <w:rFonts w:hint="eastAsia" w:ascii="楷体_GB2312" w:hAnsi="sans-serif" w:eastAsia="楷体_GB2312" w:cs="楷体_GB2312"/>
          <w:i w:val="0"/>
          <w:iCs w:val="0"/>
          <w:caps w:val="0"/>
          <w:color w:val="000000"/>
          <w:spacing w:val="0"/>
          <w:sz w:val="32"/>
          <w:szCs w:val="32"/>
        </w:rPr>
        <w:t>（三）政府信息管理</w:t>
      </w:r>
      <w:r>
        <w:rPr>
          <w:rFonts w:hint="eastAsia" w:ascii="楷体_GB2312" w:hAnsi="sans-serif" w:eastAsia="楷体_GB2312" w:cs="楷体_GB2312"/>
          <w:i w:val="0"/>
          <w:iCs w:val="0"/>
          <w:caps w:val="0"/>
          <w:color w:val="000000"/>
          <w:spacing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为提高部门信息公开规范化水平，滕州市工业和信息化局不断完善细化政府信息公开工作制度，切实落实政府信息全生命周期管理制度。建立健全政府信息公开保密审查制度，严格执行“谁公开、谁审查、谁负责”“先审查、后公开”“一事一审”的保密审查制度</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层层把关、严格审核，</w:t>
      </w:r>
      <w:r>
        <w:rPr>
          <w:rFonts w:hint="eastAsia" w:ascii="Times New Roman" w:hAnsi="Times New Roman" w:cs="Times New Roman"/>
          <w:color w:val="auto"/>
          <w:kern w:val="2"/>
          <w:sz w:val="32"/>
          <w:szCs w:val="32"/>
          <w:highlight w:val="none"/>
          <w:lang w:val="en-US" w:eastAsia="zh-CN" w:bidi="ar-SA"/>
        </w:rPr>
        <w:t>切实</w:t>
      </w:r>
      <w:r>
        <w:rPr>
          <w:rFonts w:hint="eastAsia" w:ascii="Times New Roman" w:hAnsi="Times New Roman" w:eastAsia="仿宋_GB2312" w:cs="Times New Roman"/>
          <w:color w:val="auto"/>
          <w:kern w:val="2"/>
          <w:sz w:val="32"/>
          <w:szCs w:val="32"/>
          <w:highlight w:val="none"/>
          <w:lang w:val="en-US" w:eastAsia="zh-CN" w:bidi="ar-SA"/>
        </w:rPr>
        <w:t>推动政府信息公开工作朝着标准化、制度化方向发展。</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lang w:eastAsia="zh-CN"/>
        </w:rPr>
      </w:pPr>
      <w:r>
        <w:rPr>
          <w:rFonts w:hint="eastAsia" w:ascii="楷体_GB2312" w:hAnsi="sans-serif" w:eastAsia="楷体_GB2312" w:cs="楷体_GB2312"/>
          <w:i w:val="0"/>
          <w:iCs w:val="0"/>
          <w:caps w:val="0"/>
          <w:color w:val="000000"/>
          <w:spacing w:val="0"/>
          <w:sz w:val="32"/>
          <w:szCs w:val="32"/>
        </w:rPr>
        <w:t>（四）</w:t>
      </w:r>
      <w:r>
        <w:rPr>
          <w:rFonts w:hint="eastAsia" w:ascii="楷体_GB2312" w:hAnsi="sans-serif" w:eastAsia="楷体_GB2312" w:cs="楷体_GB2312"/>
          <w:i w:val="0"/>
          <w:iCs w:val="0"/>
          <w:caps w:val="0"/>
          <w:color w:val="000000"/>
          <w:spacing w:val="0"/>
          <w:sz w:val="32"/>
          <w:szCs w:val="32"/>
          <w:lang w:eastAsia="zh-CN"/>
        </w:rPr>
        <w:t>公开</w:t>
      </w:r>
      <w:r>
        <w:rPr>
          <w:rFonts w:hint="eastAsia" w:ascii="楷体_GB2312" w:hAnsi="sans-serif" w:eastAsia="楷体_GB2312" w:cs="楷体_GB2312"/>
          <w:i w:val="0"/>
          <w:iCs w:val="0"/>
          <w:caps w:val="0"/>
          <w:color w:val="000000"/>
          <w:spacing w:val="0"/>
          <w:sz w:val="32"/>
          <w:szCs w:val="32"/>
        </w:rPr>
        <w:t>平台建设</w:t>
      </w:r>
      <w:r>
        <w:rPr>
          <w:rFonts w:hint="eastAsia" w:ascii="楷体_GB2312" w:hAnsi="sans-serif" w:eastAsia="楷体_GB2312" w:cs="楷体_GB2312"/>
          <w:i w:val="0"/>
          <w:iCs w:val="0"/>
          <w:caps w:val="0"/>
          <w:color w:val="000000"/>
          <w:spacing w:val="0"/>
          <w:sz w:val="32"/>
          <w:szCs w:val="32"/>
          <w:lang w:eastAsia="zh-CN"/>
        </w:rPr>
        <w:t>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sans-serif" w:eastAsia="仿宋_GB2312" w:cs="仿宋_GB2312"/>
          <w:i w:val="0"/>
          <w:iCs w:val="0"/>
          <w:caps w:val="0"/>
          <w:color w:val="000000"/>
          <w:spacing w:val="0"/>
          <w:sz w:val="32"/>
          <w:szCs w:val="32"/>
        </w:rPr>
        <w:t>秉持科学高效、方便群众的原则，积极探索创新信息公开方式，不断丰富信息公开载体，着力打造内容</w:t>
      </w:r>
      <w:r>
        <w:rPr>
          <w:rFonts w:hint="eastAsia" w:hAnsi="sans-serif" w:cs="仿宋_GB2312"/>
          <w:i w:val="0"/>
          <w:iCs w:val="0"/>
          <w:caps w:val="0"/>
          <w:color w:val="000000"/>
          <w:spacing w:val="0"/>
          <w:sz w:val="32"/>
          <w:szCs w:val="32"/>
          <w:lang w:eastAsia="zh-CN"/>
        </w:rPr>
        <w:t>丰</w:t>
      </w:r>
      <w:r>
        <w:rPr>
          <w:rFonts w:hint="eastAsia" w:hAnsi="sans-serif" w:cs="仿宋_GB2312"/>
          <w:i w:val="0"/>
          <w:iCs w:val="0"/>
          <w:caps w:val="0"/>
          <w:color w:val="auto"/>
          <w:spacing w:val="0"/>
          <w:sz w:val="32"/>
          <w:szCs w:val="32"/>
          <w:lang w:eastAsia="zh-CN"/>
        </w:rPr>
        <w:t>富</w:t>
      </w:r>
      <w:r>
        <w:rPr>
          <w:rFonts w:hint="eastAsia" w:ascii="仿宋_GB2312" w:hAnsi="sans-serif" w:eastAsia="仿宋_GB2312" w:cs="仿宋_GB2312"/>
          <w:i w:val="0"/>
          <w:iCs w:val="0"/>
          <w:caps w:val="0"/>
          <w:color w:val="auto"/>
          <w:spacing w:val="0"/>
          <w:sz w:val="32"/>
          <w:szCs w:val="32"/>
        </w:rPr>
        <w:t>、功能</w:t>
      </w:r>
      <w:r>
        <w:rPr>
          <w:rFonts w:hint="eastAsia" w:hAnsi="sans-serif" w:cs="仿宋_GB2312"/>
          <w:i w:val="0"/>
          <w:iCs w:val="0"/>
          <w:caps w:val="0"/>
          <w:color w:val="auto"/>
          <w:spacing w:val="0"/>
          <w:sz w:val="32"/>
          <w:szCs w:val="32"/>
          <w:lang w:eastAsia="zh-CN"/>
        </w:rPr>
        <w:t>多样</w:t>
      </w:r>
      <w:r>
        <w:rPr>
          <w:rFonts w:hint="eastAsia" w:ascii="仿宋_GB2312" w:hAnsi="sans-serif" w:eastAsia="仿宋_GB2312" w:cs="仿宋_GB2312"/>
          <w:i w:val="0"/>
          <w:iCs w:val="0"/>
          <w:caps w:val="0"/>
          <w:color w:val="auto"/>
          <w:spacing w:val="0"/>
          <w:sz w:val="32"/>
          <w:szCs w:val="32"/>
        </w:rPr>
        <w:t>、运行稳定的政府信息公开平台。按照《条例》的要求，</w:t>
      </w:r>
      <w:r>
        <w:rPr>
          <w:rFonts w:hint="eastAsia" w:hAnsi="sans-serif" w:cs="仿宋_GB2312"/>
          <w:i w:val="0"/>
          <w:iCs w:val="0"/>
          <w:caps w:val="0"/>
          <w:color w:val="auto"/>
          <w:spacing w:val="0"/>
          <w:sz w:val="32"/>
          <w:szCs w:val="32"/>
          <w:lang w:eastAsia="zh-CN"/>
        </w:rPr>
        <w:t>由</w:t>
      </w:r>
      <w:r>
        <w:rPr>
          <w:rFonts w:hint="eastAsia" w:ascii="仿宋_GB2312" w:hAnsi="sans-serif" w:eastAsia="仿宋_GB2312" w:cs="仿宋_GB2312"/>
          <w:i w:val="0"/>
          <w:iCs w:val="0"/>
          <w:caps w:val="0"/>
          <w:color w:val="auto"/>
          <w:spacing w:val="0"/>
          <w:sz w:val="32"/>
          <w:szCs w:val="32"/>
        </w:rPr>
        <w:t>专人负责政府信息公开平台的内容更新、日常运行维护</w:t>
      </w:r>
      <w:r>
        <w:rPr>
          <w:rFonts w:hint="eastAsia" w:hAnsi="sans-serif" w:cs="仿宋_GB2312"/>
          <w:i w:val="0"/>
          <w:iCs w:val="0"/>
          <w:caps w:val="0"/>
          <w:color w:val="auto"/>
          <w:spacing w:val="0"/>
          <w:sz w:val="32"/>
          <w:szCs w:val="32"/>
          <w:lang w:eastAsia="zh-CN"/>
        </w:rPr>
        <w:t>等工作</w:t>
      </w:r>
      <w:r>
        <w:rPr>
          <w:rFonts w:hint="eastAsia" w:ascii="仿宋_GB2312" w:hAnsi="sans-serif" w:eastAsia="仿宋_GB2312" w:cs="仿宋_GB2312"/>
          <w:i w:val="0"/>
          <w:iCs w:val="0"/>
          <w:caps w:val="0"/>
          <w:color w:val="auto"/>
          <w:spacing w:val="0"/>
          <w:sz w:val="32"/>
          <w:szCs w:val="32"/>
        </w:rPr>
        <w:t>，确保信息及时、准确发布</w:t>
      </w:r>
      <w:r>
        <w:rPr>
          <w:rFonts w:hint="eastAsia" w:hAnsi="sans-serif" w:cs="仿宋_GB2312"/>
          <w:i w:val="0"/>
          <w:iCs w:val="0"/>
          <w:caps w:val="0"/>
          <w:color w:val="auto"/>
          <w:spacing w:val="0"/>
          <w:sz w:val="32"/>
          <w:szCs w:val="32"/>
          <w:lang w:eastAsia="zh-CN"/>
        </w:rPr>
        <w:t>。</w:t>
      </w:r>
      <w:r>
        <w:rPr>
          <w:rFonts w:hint="eastAsia" w:ascii="仿宋_GB2312" w:hAnsi="sans-serif" w:eastAsia="仿宋_GB2312" w:cs="仿宋_GB2312"/>
          <w:i w:val="0"/>
          <w:iCs w:val="0"/>
          <w:caps w:val="0"/>
          <w:color w:val="auto"/>
          <w:spacing w:val="0"/>
          <w:sz w:val="32"/>
          <w:szCs w:val="32"/>
        </w:rPr>
        <w:t>构建新媒体宣传工作新格局</w:t>
      </w:r>
      <w:r>
        <w:rPr>
          <w:rFonts w:hint="eastAsia" w:hAnsi="sans-serif" w:cs="仿宋_GB2312"/>
          <w:i w:val="0"/>
          <w:iCs w:val="0"/>
          <w:caps w:val="0"/>
          <w:color w:val="auto"/>
          <w:spacing w:val="0"/>
          <w:sz w:val="32"/>
          <w:szCs w:val="32"/>
          <w:lang w:eastAsia="zh-CN"/>
        </w:rPr>
        <w:t>，</w:t>
      </w:r>
      <w:r>
        <w:rPr>
          <w:rFonts w:hint="eastAsia" w:hAnsi="sans-serif" w:cs="仿宋_GB2312"/>
          <w:i w:val="0"/>
          <w:iCs w:val="0"/>
          <w:caps w:val="0"/>
          <w:color w:val="000000"/>
          <w:spacing w:val="0"/>
          <w:sz w:val="32"/>
          <w:szCs w:val="32"/>
          <w:lang w:eastAsia="zh-CN"/>
        </w:rPr>
        <w:t>运营</w:t>
      </w:r>
      <w:r>
        <w:rPr>
          <w:rFonts w:hint="eastAsia" w:ascii="仿宋_GB2312" w:hAnsi="sans-serif" w:eastAsia="仿宋_GB2312" w:cs="仿宋_GB2312"/>
          <w:i w:val="0"/>
          <w:iCs w:val="0"/>
          <w:caps w:val="0"/>
          <w:color w:val="000000"/>
          <w:spacing w:val="0"/>
          <w:sz w:val="32"/>
          <w:szCs w:val="32"/>
        </w:rPr>
        <w:t>“滕州工信”微信</w:t>
      </w:r>
      <w:r>
        <w:rPr>
          <w:rFonts w:hint="eastAsia" w:hAnsi="sans-serif" w:cs="仿宋_GB2312"/>
          <w:i w:val="0"/>
          <w:iCs w:val="0"/>
          <w:caps w:val="0"/>
          <w:color w:val="000000"/>
          <w:spacing w:val="0"/>
          <w:sz w:val="32"/>
          <w:szCs w:val="32"/>
          <w:lang w:eastAsia="zh-CN"/>
        </w:rPr>
        <w:t>公众号，</w:t>
      </w:r>
      <w:r>
        <w:rPr>
          <w:rFonts w:hint="eastAsia" w:ascii="仿宋_GB2312" w:hAnsi="sans-serif" w:eastAsia="仿宋_GB2312" w:cs="仿宋_GB2312"/>
          <w:i w:val="0"/>
          <w:iCs w:val="0"/>
          <w:caps w:val="0"/>
          <w:color w:val="auto"/>
          <w:spacing w:val="0"/>
          <w:sz w:val="32"/>
          <w:szCs w:val="32"/>
          <w:highlight w:val="none"/>
        </w:rPr>
        <w:t>定期发布工信领域动态</w:t>
      </w:r>
      <w:r>
        <w:rPr>
          <w:rFonts w:hint="eastAsia" w:hAnsi="sans-serif" w:cs="仿宋_GB2312"/>
          <w:i w:val="0"/>
          <w:iCs w:val="0"/>
          <w:caps w:val="0"/>
          <w:color w:val="auto"/>
          <w:spacing w:val="0"/>
          <w:sz w:val="32"/>
          <w:szCs w:val="32"/>
          <w:highlight w:val="none"/>
          <w:lang w:eastAsia="zh-CN"/>
        </w:rPr>
        <w:t>信息</w:t>
      </w:r>
      <w:r>
        <w:rPr>
          <w:rFonts w:hint="eastAsia" w:ascii="仿宋_GB2312" w:hAnsi="sans-serif" w:eastAsia="仿宋_GB2312" w:cs="仿宋_GB2312"/>
          <w:i w:val="0"/>
          <w:iCs w:val="0"/>
          <w:caps w:val="0"/>
          <w:color w:val="auto"/>
          <w:spacing w:val="0"/>
          <w:sz w:val="32"/>
          <w:szCs w:val="32"/>
          <w:highlight w:val="none"/>
        </w:rPr>
        <w:t>、各级</w:t>
      </w:r>
      <w:r>
        <w:rPr>
          <w:rFonts w:hint="eastAsia" w:hAnsi="sans-serif" w:cs="仿宋_GB2312"/>
          <w:i w:val="0"/>
          <w:iCs w:val="0"/>
          <w:caps w:val="0"/>
          <w:color w:val="auto"/>
          <w:spacing w:val="0"/>
          <w:sz w:val="32"/>
          <w:szCs w:val="32"/>
          <w:highlight w:val="none"/>
          <w:lang w:eastAsia="zh-CN"/>
        </w:rPr>
        <w:t>工业</w:t>
      </w:r>
      <w:r>
        <w:rPr>
          <w:rFonts w:hint="eastAsia" w:ascii="仿宋_GB2312" w:hAnsi="sans-serif" w:eastAsia="仿宋_GB2312" w:cs="仿宋_GB2312"/>
          <w:i w:val="0"/>
          <w:iCs w:val="0"/>
          <w:caps w:val="0"/>
          <w:color w:val="auto"/>
          <w:spacing w:val="0"/>
          <w:sz w:val="32"/>
          <w:szCs w:val="32"/>
          <w:highlight w:val="none"/>
        </w:rPr>
        <w:t>惠企政策</w:t>
      </w:r>
      <w:r>
        <w:rPr>
          <w:rFonts w:hint="eastAsia" w:hAnsi="sans-serif" w:cs="仿宋_GB2312"/>
          <w:i w:val="0"/>
          <w:iCs w:val="0"/>
          <w:caps w:val="0"/>
          <w:color w:val="auto"/>
          <w:spacing w:val="0"/>
          <w:sz w:val="32"/>
          <w:szCs w:val="32"/>
          <w:highlight w:val="none"/>
          <w:lang w:eastAsia="zh-CN"/>
        </w:rPr>
        <w:t>等</w:t>
      </w:r>
      <w:r>
        <w:rPr>
          <w:rFonts w:hint="eastAsia" w:ascii="仿宋_GB2312" w:hAnsi="sans-serif" w:eastAsia="仿宋_GB2312" w:cs="仿宋_GB2312"/>
          <w:i w:val="0"/>
          <w:iCs w:val="0"/>
          <w:caps w:val="0"/>
          <w:color w:val="auto"/>
          <w:spacing w:val="0"/>
          <w:sz w:val="32"/>
          <w:szCs w:val="32"/>
          <w:highlight w:val="none"/>
        </w:rPr>
        <w:t>，为广大群众和企业提供</w:t>
      </w:r>
      <w:r>
        <w:rPr>
          <w:rFonts w:hint="eastAsia" w:ascii="Times New Roman" w:hAnsi="Times New Roman" w:eastAsia="仿宋_GB2312" w:cs="Times New Roman"/>
          <w:color w:val="auto"/>
          <w:kern w:val="2"/>
          <w:sz w:val="32"/>
          <w:szCs w:val="32"/>
          <w:highlight w:val="none"/>
          <w:lang w:val="en-US" w:eastAsia="zh-CN" w:bidi="ar-SA"/>
        </w:rPr>
        <w:t>了一个便捷的信息获取渠道。截至</w:t>
      </w:r>
      <w:r>
        <w:rPr>
          <w:rFonts w:hint="eastAsia" w:ascii="Times New Roman" w:hAnsi="Times New Roman" w:cs="Times New Roman"/>
          <w:color w:val="auto"/>
          <w:kern w:val="2"/>
          <w:sz w:val="32"/>
          <w:szCs w:val="32"/>
          <w:highlight w:val="none"/>
          <w:lang w:val="en-US" w:eastAsia="zh-CN" w:bidi="ar-SA"/>
        </w:rPr>
        <w:t>2025</w:t>
      </w:r>
      <w:r>
        <w:rPr>
          <w:rFonts w:hint="eastAsia" w:ascii="Times New Roman" w:hAnsi="Times New Roman" w:eastAsia="仿宋_GB2312" w:cs="Times New Roman"/>
          <w:color w:val="auto"/>
          <w:kern w:val="2"/>
          <w:sz w:val="32"/>
          <w:szCs w:val="32"/>
          <w:highlight w:val="none"/>
          <w:lang w:val="en-US" w:eastAsia="zh-CN" w:bidi="ar-SA"/>
        </w:rPr>
        <w:t>年底，“滕州工信”拥有粉丝</w:t>
      </w:r>
      <w:r>
        <w:rPr>
          <w:rFonts w:hint="eastAsia" w:ascii="Times New Roman" w:hAnsi="Times New Roman" w:cs="Times New Roman"/>
          <w:color w:val="auto"/>
          <w:kern w:val="2"/>
          <w:sz w:val="32"/>
          <w:szCs w:val="32"/>
          <w:highlight w:val="none"/>
          <w:lang w:val="en-US" w:eastAsia="zh-CN" w:bidi="ar-SA"/>
        </w:rPr>
        <w:t>1566</w:t>
      </w:r>
      <w:r>
        <w:rPr>
          <w:rFonts w:hint="eastAsia" w:ascii="Times New Roman" w:hAnsi="Times New Roman" w:eastAsia="仿宋_GB2312" w:cs="Times New Roman"/>
          <w:color w:val="auto"/>
          <w:kern w:val="2"/>
          <w:sz w:val="32"/>
          <w:szCs w:val="32"/>
          <w:highlight w:val="none"/>
          <w:lang w:val="en-US" w:eastAsia="zh-CN" w:bidi="ar-SA"/>
        </w:rPr>
        <w:t>名。</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lang w:eastAsia="zh-CN"/>
        </w:rPr>
      </w:pPr>
      <w:r>
        <w:rPr>
          <w:rFonts w:hint="eastAsia" w:ascii="楷体_GB2312" w:hAnsi="sans-serif" w:eastAsia="楷体_GB2312" w:cs="楷体_GB2312"/>
          <w:i w:val="0"/>
          <w:iCs w:val="0"/>
          <w:caps w:val="0"/>
          <w:color w:val="000000"/>
          <w:spacing w:val="0"/>
          <w:sz w:val="32"/>
          <w:szCs w:val="32"/>
        </w:rPr>
        <w:t>（五）监督保障</w:t>
      </w:r>
      <w:r>
        <w:rPr>
          <w:rFonts w:hint="eastAsia" w:ascii="楷体_GB2312" w:hAnsi="sans-serif" w:eastAsia="楷体_GB2312" w:cs="楷体_GB2312"/>
          <w:i w:val="0"/>
          <w:iCs w:val="0"/>
          <w:caps w:val="0"/>
          <w:color w:val="000000"/>
          <w:spacing w:val="0"/>
          <w:sz w:val="32"/>
          <w:szCs w:val="32"/>
          <w:lang w:eastAsia="zh-CN"/>
        </w:rPr>
        <w:t>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建立形成“主要领导亲自抓，分管领导具体抓，各科室各司其职”的工作机制，从组织架构上确保政务公开工作的有序推进。建立长效管理机制加强监督</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进一步增强主动公开意识，鼓励干部职工积极参与政府公开信息发布的监督工作，更好地服务政府、社会、企业和群众。</w:t>
      </w:r>
      <w:r>
        <w:rPr>
          <w:rFonts w:hint="eastAsia" w:ascii="Times New Roman" w:hAnsi="Times New Roman" w:cs="Times New Roman"/>
          <w:color w:val="auto"/>
          <w:kern w:val="2"/>
          <w:sz w:val="32"/>
          <w:szCs w:val="32"/>
          <w:highlight w:val="none"/>
          <w:lang w:val="en-US" w:eastAsia="zh-CN" w:bidi="ar-SA"/>
        </w:rPr>
        <w:t>2025</w:t>
      </w:r>
      <w:r>
        <w:rPr>
          <w:rFonts w:hint="eastAsia" w:ascii="Times New Roman" w:hAnsi="Times New Roman" w:eastAsia="仿宋_GB2312" w:cs="Times New Roman"/>
          <w:color w:val="auto"/>
          <w:kern w:val="2"/>
          <w:sz w:val="32"/>
          <w:szCs w:val="32"/>
          <w:highlight w:val="none"/>
          <w:lang w:val="en-US" w:eastAsia="zh-CN" w:bidi="ar-SA"/>
        </w:rPr>
        <w:t>年，滕州市工业和信息化局未发生因信息公开审查不当或保密审查机构未履行保密审查职责而引起的失泄密情况。</w:t>
      </w:r>
      <w:r>
        <w:rPr>
          <w:rFonts w:hint="eastAsia" w:ascii="Times New Roman" w:hAnsi="Times New Roman" w:cs="Times New Roman"/>
          <w:color w:val="auto"/>
          <w:kern w:val="2"/>
          <w:sz w:val="32"/>
          <w:szCs w:val="32"/>
          <w:highlight w:val="none"/>
          <w:lang w:val="en-US" w:eastAsia="zh-CN" w:bidi="ar-SA"/>
        </w:rPr>
        <w:t>2025</w:t>
      </w:r>
      <w:r>
        <w:rPr>
          <w:rFonts w:hint="eastAsia" w:ascii="Times New Roman" w:hAnsi="Times New Roman" w:eastAsia="仿宋_GB2312" w:cs="Times New Roman"/>
          <w:color w:val="auto"/>
          <w:kern w:val="2"/>
          <w:sz w:val="32"/>
          <w:szCs w:val="32"/>
          <w:highlight w:val="none"/>
          <w:lang w:val="en-US" w:eastAsia="zh-CN" w:bidi="ar-SA"/>
        </w:rPr>
        <w:t>年度未进行社会评议，未发生责任追究情况。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333333"/>
          <w:spacing w:val="0"/>
          <w:kern w:val="0"/>
          <w:sz w:val="32"/>
          <w:szCs w:val="32"/>
          <w:lang w:val="en-US" w:eastAsia="zh-CN" w:bidi="ar-SA"/>
        </w:rPr>
      </w:pPr>
      <w:r>
        <w:rPr>
          <w:rFonts w:hint="eastAsia" w:ascii="黑体" w:hAnsi="黑体" w:eastAsia="黑体" w:cs="黑体"/>
          <w:b w:val="0"/>
          <w:bCs/>
          <w:i w:val="0"/>
          <w:caps w:val="0"/>
          <w:color w:val="333333"/>
          <w:spacing w:val="0"/>
          <w:kern w:val="0"/>
          <w:sz w:val="32"/>
          <w:szCs w:val="32"/>
          <w:shd w:val="clear" w:color="auto" w:fill="FFFFFF"/>
          <w:lang w:val="en-US" w:eastAsia="zh-CN" w:bidi="ar-SA"/>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黑体" w:hAnsi="黑体" w:eastAsia="黑体" w:cs="宋体"/>
                <w:color w:val="000000"/>
                <w:kern w:val="0"/>
                <w:sz w:val="21"/>
                <w:szCs w:val="21"/>
                <w:lang w:val="en-US" w:eastAsia="zh-CN" w:bidi="ar-SA"/>
              </w:rPr>
            </w:pPr>
            <w:r>
              <w:rPr>
                <w:rFonts w:hint="eastAsia" w:ascii="黑体" w:hAnsi="黑体" w:eastAsia="黑体" w:cs="宋体"/>
                <w:color w:val="000000"/>
                <w:kern w:val="0"/>
                <w:sz w:val="21"/>
                <w:szCs w:val="21"/>
                <w:lang w:val="en-US" w:eastAsia="zh-CN" w:bidi="ar-SA"/>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信息内容</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本年废止件数</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left"/>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规章</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1"/>
                <w:szCs w:val="21"/>
                <w:lang w:val="en-US" w:eastAsia="zh-CN" w:bidi="ar-SA"/>
              </w:rPr>
            </w:pPr>
            <w:r>
              <w:rPr>
                <w:rFonts w:hint="eastAsia" w:hAnsi="宋体" w:cs="宋体"/>
                <w:color w:val="auto"/>
                <w:kern w:val="0"/>
                <w:sz w:val="21"/>
                <w:szCs w:val="21"/>
                <w:lang w:val="en-US" w:eastAsia="zh-CN" w:bidi="ar-SA"/>
              </w:rPr>
              <w:t>0</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hAnsi="宋体" w:cs="宋体"/>
                <w:color w:val="auto"/>
                <w:kern w:val="0"/>
                <w:sz w:val="21"/>
                <w:szCs w:val="21"/>
                <w:lang w:val="en-US" w:eastAsia="zh-CN" w:bidi="ar-SA"/>
              </w:rPr>
              <w:t>0</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Calibri" w:eastAsia="仿宋_GB2312" w:cs="Calibri"/>
                <w:color w:val="auto"/>
                <w:kern w:val="0"/>
                <w:sz w:val="21"/>
                <w:szCs w:val="21"/>
                <w:lang w:val="en-US" w:eastAsia="zh-CN" w:bidi="ar-SA"/>
              </w:rPr>
            </w:pPr>
            <w:r>
              <w:rPr>
                <w:rFonts w:hint="eastAsia" w:hAnsi="宋体" w:cs="宋体"/>
                <w:color w:val="auto"/>
                <w:kern w:val="0"/>
                <w:sz w:val="21"/>
                <w:szCs w:val="21"/>
                <w:lang w:val="en-US" w:eastAsia="zh-CN" w:bidi="ar-SA"/>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left"/>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1"/>
                <w:szCs w:val="21"/>
                <w:lang w:val="en-US" w:eastAsia="zh-CN" w:bidi="ar-SA"/>
              </w:rPr>
            </w:pPr>
            <w:r>
              <w:rPr>
                <w:rFonts w:hint="eastAsia" w:hAnsi="宋体" w:cs="宋体"/>
                <w:color w:val="auto"/>
                <w:kern w:val="0"/>
                <w:sz w:val="21"/>
                <w:szCs w:val="21"/>
                <w:lang w:val="en-US" w:eastAsia="zh-CN" w:bidi="ar-SA"/>
              </w:rPr>
              <w:t>0</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1"/>
                <w:szCs w:val="21"/>
                <w:lang w:val="en-US" w:eastAsia="zh-CN" w:bidi="ar-SA"/>
              </w:rPr>
            </w:pPr>
            <w:r>
              <w:rPr>
                <w:rFonts w:hint="eastAsia" w:hAnsi="宋体" w:cs="宋体"/>
                <w:color w:val="auto"/>
                <w:kern w:val="0"/>
                <w:sz w:val="21"/>
                <w:szCs w:val="21"/>
                <w:lang w:val="en-US" w:eastAsia="zh-CN" w:bidi="ar-SA"/>
              </w:rPr>
              <w:t>0</w:t>
            </w:r>
          </w:p>
        </w:tc>
        <w:tc>
          <w:tcPr>
            <w:tcW w:w="22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1"/>
                <w:szCs w:val="21"/>
                <w:lang w:val="en-US" w:eastAsia="zh-CN" w:bidi="ar-SA"/>
              </w:rPr>
            </w:pPr>
            <w:r>
              <w:rPr>
                <w:rFonts w:hint="eastAsia" w:hAnsi="宋体" w:cs="宋体"/>
                <w:color w:val="auto"/>
                <w:kern w:val="0"/>
                <w:sz w:val="21"/>
                <w:szCs w:val="21"/>
                <w:lang w:val="en-US" w:eastAsia="zh-CN" w:bidi="ar-SA"/>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黑体" w:hAnsi="黑体" w:eastAsia="黑体" w:cs="宋体"/>
                <w:color w:val="auto"/>
                <w:kern w:val="0"/>
                <w:sz w:val="21"/>
                <w:szCs w:val="21"/>
                <w:lang w:val="en-US" w:eastAsia="zh-CN" w:bidi="ar-SA"/>
              </w:rPr>
            </w:pPr>
            <w:r>
              <w:rPr>
                <w:rFonts w:hint="eastAsia" w:ascii="黑体" w:hAnsi="黑体" w:eastAsia="黑体" w:cs="宋体"/>
                <w:color w:val="auto"/>
                <w:kern w:val="0"/>
                <w:sz w:val="21"/>
                <w:szCs w:val="21"/>
                <w:lang w:val="en-US" w:eastAsia="zh-CN" w:bidi="ar-SA"/>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left"/>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Calibri"/>
                <w:color w:val="auto"/>
                <w:kern w:val="0"/>
                <w:sz w:val="21"/>
                <w:szCs w:val="21"/>
                <w:lang w:val="en-US" w:eastAsia="zh-CN" w:bidi="ar-SA"/>
              </w:rPr>
            </w:pPr>
            <w:r>
              <w:rPr>
                <w:rFonts w:hint="eastAsia" w:hAnsi="Calibri" w:cs="Calibri"/>
                <w:color w:val="auto"/>
                <w:kern w:val="0"/>
                <w:sz w:val="21"/>
                <w:szCs w:val="21"/>
                <w:lang w:val="en-US" w:eastAsia="zh-CN" w:bidi="ar-SA"/>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黑体" w:hAnsi="黑体" w:eastAsia="黑体" w:cs="宋体"/>
                <w:color w:val="auto"/>
                <w:kern w:val="0"/>
                <w:sz w:val="21"/>
                <w:szCs w:val="21"/>
                <w:lang w:val="en-US" w:eastAsia="zh-CN" w:bidi="ar-SA"/>
              </w:rPr>
            </w:pPr>
            <w:r>
              <w:rPr>
                <w:rFonts w:hint="eastAsia" w:ascii="黑体" w:hAnsi="黑体" w:eastAsia="黑体" w:cs="宋体"/>
                <w:color w:val="auto"/>
                <w:kern w:val="0"/>
                <w:sz w:val="21"/>
                <w:szCs w:val="21"/>
                <w:lang w:val="en-US" w:eastAsia="zh-CN" w:bidi="ar-SA"/>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left"/>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Calibri"/>
                <w:color w:val="auto"/>
                <w:kern w:val="0"/>
                <w:sz w:val="21"/>
                <w:szCs w:val="21"/>
                <w:lang w:val="en-US" w:eastAsia="zh-CN" w:bidi="ar-SA"/>
              </w:rPr>
            </w:pPr>
            <w:r>
              <w:rPr>
                <w:rFonts w:hint="eastAsia" w:hAnsi="Calibri" w:cs="Calibri"/>
                <w:color w:val="auto"/>
                <w:kern w:val="0"/>
                <w:sz w:val="21"/>
                <w:szCs w:val="21"/>
                <w:lang w:val="en-US" w:eastAsia="zh-CN" w:bidi="ar-SA"/>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left"/>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Calibri"/>
                <w:color w:val="auto"/>
                <w:kern w:val="0"/>
                <w:sz w:val="21"/>
                <w:szCs w:val="21"/>
                <w:lang w:val="en-US" w:eastAsia="zh-CN" w:bidi="ar-SA"/>
              </w:rPr>
            </w:pPr>
            <w:r>
              <w:rPr>
                <w:rFonts w:hint="eastAsia" w:hAnsi="Calibri" w:cs="Calibri"/>
                <w:color w:val="auto"/>
                <w:kern w:val="0"/>
                <w:sz w:val="21"/>
                <w:szCs w:val="21"/>
                <w:lang w:val="en-US" w:eastAsia="zh-CN" w:bidi="ar-SA"/>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黑体" w:hAnsi="黑体" w:eastAsia="黑体" w:cs="宋体"/>
                <w:color w:val="auto"/>
                <w:kern w:val="0"/>
                <w:sz w:val="21"/>
                <w:szCs w:val="21"/>
                <w:lang w:val="en-US" w:eastAsia="zh-CN" w:bidi="ar-SA"/>
              </w:rPr>
            </w:pPr>
            <w:r>
              <w:rPr>
                <w:rFonts w:hint="eastAsia" w:ascii="黑体" w:hAnsi="黑体" w:eastAsia="黑体" w:cs="宋体"/>
                <w:color w:val="auto"/>
                <w:kern w:val="0"/>
                <w:sz w:val="21"/>
                <w:szCs w:val="21"/>
                <w:lang w:val="en-US" w:eastAsia="zh-CN" w:bidi="ar-SA"/>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firstLine="0" w:firstLineChars="0"/>
              <w:jc w:val="left"/>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Calibri"/>
                <w:color w:val="auto"/>
                <w:kern w:val="0"/>
                <w:sz w:val="21"/>
                <w:szCs w:val="21"/>
                <w:lang w:val="en-US" w:eastAsia="zh-CN" w:bidi="ar-SA"/>
              </w:rPr>
            </w:pPr>
            <w:r>
              <w:rPr>
                <w:rFonts w:hint="eastAsia" w:hAnsi="Calibri" w:cs="Calibri"/>
                <w:color w:val="auto"/>
                <w:kern w:val="0"/>
                <w:sz w:val="21"/>
                <w:szCs w:val="21"/>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8"/>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jc w:val="center"/>
              <w:rPr>
                <w:rFonts w:hint="default" w:ascii="楷体_GB2312" w:hAnsi="黑体" w:eastAsia="楷体_GB2312" w:cs="Times New Roman"/>
                <w:color w:val="auto"/>
                <w:kern w:val="0"/>
                <w:sz w:val="21"/>
                <w:szCs w:val="21"/>
                <w:lang w:val="en-US" w:eastAsia="zh-CN" w:bidi="ar-SA"/>
              </w:rPr>
            </w:pPr>
            <w:r>
              <w:rPr>
                <w:rFonts w:hint="eastAsia" w:ascii="楷体_GB2312" w:hAnsi="黑体" w:eastAsia="楷体_GB2312" w:cs="Times New Roman"/>
                <w:color w:val="auto"/>
                <w:kern w:val="0"/>
                <w:sz w:val="21"/>
                <w:szCs w:val="21"/>
                <w:lang w:val="en-US" w:eastAsia="zh-CN" w:bidi="ar-SA"/>
              </w:rPr>
              <w:t>（本列数据的勾稽关系为：第一项加第二项之和，</w:t>
            </w:r>
          </w:p>
          <w:p>
            <w:pPr>
              <w:keepNext w:val="0"/>
              <w:keepLines w:val="0"/>
              <w:widowControl/>
              <w:suppressLineNumbers w:val="0"/>
              <w:suppressAutoHyphens/>
              <w:bidi w:val="0"/>
              <w:spacing w:before="0" w:beforeAutospacing="0" w:after="0" w:afterAutospacing="0"/>
              <w:ind w:left="0" w:right="0" w:firstLine="0" w:firstLineChars="0"/>
              <w:jc w:val="center"/>
              <w:rPr>
                <w:rFonts w:hint="default" w:ascii="仿宋_GB2312" w:hAnsi="Times New Roman" w:eastAsia="仿宋_GB2312" w:cs="Times New Roman"/>
                <w:color w:val="auto"/>
                <w:kern w:val="2"/>
                <w:sz w:val="21"/>
                <w:szCs w:val="21"/>
                <w:lang w:val="en-US" w:eastAsia="zh-CN" w:bidi="ar-SA"/>
              </w:rPr>
            </w:pPr>
            <w:r>
              <w:rPr>
                <w:rFonts w:hint="eastAsia" w:ascii="楷体_GB2312" w:hAnsi="黑体" w:eastAsia="楷体_GB2312" w:cs="Times New Roman"/>
                <w:color w:val="auto"/>
                <w:kern w:val="0"/>
                <w:sz w:val="21"/>
                <w:szCs w:val="21"/>
                <w:lang w:val="en-US" w:eastAsia="zh-CN" w:bidi="ar-SA"/>
              </w:rPr>
              <w:t>等于第三项加第四项之和）</w:t>
            </w:r>
          </w:p>
        </w:tc>
        <w:tc>
          <w:tcPr>
            <w:tcW w:w="4448" w:type="dxa"/>
            <w:gridSpan w:val="10"/>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20" w:lineRule="exact"/>
              <w:ind w:left="0" w:right="0"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jc w:val="center"/>
              <w:rPr>
                <w:rFonts w:hint="default" w:ascii="仿宋_GB2312" w:hAnsi="Times New Roman" w:eastAsia="仿宋_GB2312" w:cs="Times New Roman"/>
                <w:color w:val="auto"/>
                <w:kern w:val="2"/>
                <w:sz w:val="21"/>
                <w:szCs w:val="21"/>
                <w:lang w:val="en-US" w:eastAsia="zh-CN" w:bidi="ar-SA"/>
              </w:rPr>
            </w:pPr>
          </w:p>
        </w:tc>
        <w:tc>
          <w:tcPr>
            <w:tcW w:w="747" w:type="dxa"/>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自然人</w:t>
            </w:r>
          </w:p>
        </w:tc>
        <w:tc>
          <w:tcPr>
            <w:tcW w:w="3000" w:type="dxa"/>
            <w:gridSpan w:val="7"/>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20" w:lineRule="exact"/>
              <w:ind w:left="0" w:right="0"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法人或其他组织</w:t>
            </w:r>
          </w:p>
        </w:tc>
        <w:tc>
          <w:tcPr>
            <w:tcW w:w="701" w:type="dxa"/>
            <w:gridSpan w:val="2"/>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jc w:val="center"/>
              <w:rPr>
                <w:rFonts w:hint="default" w:ascii="仿宋_GB2312" w:hAnsi="Times New Roman" w:eastAsia="仿宋_GB2312" w:cs="Times New Roman"/>
                <w:color w:val="auto"/>
                <w:kern w:val="2"/>
                <w:sz w:val="21"/>
                <w:szCs w:val="21"/>
                <w:lang w:val="en-US" w:eastAsia="zh-CN" w:bidi="ar-SA"/>
              </w:rPr>
            </w:pPr>
          </w:p>
        </w:tc>
        <w:tc>
          <w:tcPr>
            <w:tcW w:w="747"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jc w:val="center"/>
              <w:rPr>
                <w:rFonts w:hint="default" w:ascii="黑体" w:hAnsi="黑体" w:eastAsia="黑体" w:cs="Times New Roman"/>
                <w:color w:val="auto"/>
                <w:kern w:val="2"/>
                <w:sz w:val="21"/>
                <w:szCs w:val="21"/>
                <w:lang w:val="en-US" w:eastAsia="zh-CN" w:bidi="ar-SA"/>
              </w:rPr>
            </w:pPr>
          </w:p>
        </w:tc>
        <w:tc>
          <w:tcPr>
            <w:tcW w:w="540" w:type="dxa"/>
            <w:gridSpan w:val="2"/>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20" w:lineRule="exact"/>
              <w:ind w:left="-162" w:leftChars="-51" w:right="-163" w:rightChars="-51" w:hanging="1"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商业企业</w:t>
            </w:r>
          </w:p>
        </w:tc>
        <w:tc>
          <w:tcPr>
            <w:tcW w:w="540" w:type="dxa"/>
            <w:gridSpan w:val="2"/>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20" w:lineRule="exact"/>
              <w:ind w:left="-163" w:leftChars="-51" w:right="-163" w:rightChars="-51"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科研机构</w:t>
            </w:r>
          </w:p>
        </w:tc>
        <w:tc>
          <w:tcPr>
            <w:tcW w:w="720"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20" w:lineRule="exact"/>
              <w:ind w:left="-163" w:leftChars="-51" w:right="-163" w:rightChars="-51"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社会公益组织</w:t>
            </w:r>
          </w:p>
        </w:tc>
        <w:tc>
          <w:tcPr>
            <w:tcW w:w="675"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20" w:lineRule="exact"/>
              <w:ind w:left="-162" w:leftChars="-51" w:right="-163" w:rightChars="-51" w:hanging="1"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法律服务机构</w:t>
            </w:r>
          </w:p>
        </w:tc>
        <w:tc>
          <w:tcPr>
            <w:tcW w:w="525"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60" w:lineRule="exact"/>
              <w:ind w:left="-96" w:leftChars="-30" w:right="-205" w:rightChars="-64" w:firstLine="0" w:firstLineChars="0"/>
              <w:jc w:val="center"/>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其他</w:t>
            </w:r>
          </w:p>
        </w:tc>
        <w:tc>
          <w:tcPr>
            <w:tcW w:w="701" w:type="dxa"/>
            <w:gridSpan w:val="2"/>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jc w:val="center"/>
              <w:rPr>
                <w:rFonts w:hint="default" w:ascii="仿宋_GB2312" w:hAnsi="Times New Roman" w:eastAsia="仿宋_GB2312"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一、</w:t>
            </w:r>
            <w:bookmarkStart w:id="0" w:name="_Hlk66973412"/>
            <w:r>
              <w:rPr>
                <w:rFonts w:hint="eastAsia" w:ascii="黑体" w:hAnsi="黑体" w:eastAsia="黑体" w:cs="Times New Roman"/>
                <w:color w:val="auto"/>
                <w:kern w:val="0"/>
                <w:sz w:val="21"/>
                <w:szCs w:val="21"/>
                <w:lang w:val="en-US" w:eastAsia="zh-CN" w:bidi="ar-SA"/>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hAnsi="Times New Roman" w:cs="Times New Roman"/>
                <w:color w:val="auto"/>
                <w:kern w:val="2"/>
                <w:sz w:val="21"/>
                <w:szCs w:val="21"/>
                <w:lang w:val="en-US" w:eastAsia="zh-CN" w:bidi="ar-SA"/>
              </w:rPr>
              <w:t>2</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hAnsi="Times New Roman" w:cs="Times New Roman"/>
                <w:color w:val="auto"/>
                <w:kern w:val="2"/>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二、上年结转政府信息公开申请数量</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widowControl/>
              <w:suppressLineNumbers w:val="0"/>
              <w:suppressAutoHyphens/>
              <w:bidi w:val="0"/>
              <w:spacing w:before="0" w:beforeAutospacing="0" w:after="180" w:afterAutospacing="0"/>
              <w:ind w:left="0"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三、本年度办理结果</w:t>
            </w:r>
          </w:p>
        </w:tc>
        <w:tc>
          <w:tcPr>
            <w:tcW w:w="4677" w:type="dxa"/>
            <w:gridSpan w:val="2"/>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（一）予以公开</w:t>
            </w:r>
          </w:p>
        </w:tc>
        <w:tc>
          <w:tcPr>
            <w:tcW w:w="752"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hAnsi="Times New Roman" w:cs="Times New Roman"/>
                <w:color w:val="auto"/>
                <w:kern w:val="2"/>
                <w:sz w:val="21"/>
                <w:szCs w:val="21"/>
                <w:lang w:val="en-US" w:eastAsia="zh-CN" w:bidi="ar-SA"/>
              </w:rPr>
              <w:t>1</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3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6"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hAnsi="Times New Roman" w:cs="Times New Roman"/>
                <w:color w:val="auto"/>
                <w:kern w:val="2"/>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4677" w:type="dxa"/>
            <w:gridSpan w:val="2"/>
            <w:noWrap w:val="0"/>
            <w:tcMar>
              <w:left w:w="108" w:type="dxa"/>
              <w:right w:w="108" w:type="dxa"/>
            </w:tcMar>
            <w:vAlign w:val="center"/>
          </w:tcPr>
          <w:p>
            <w:pPr>
              <w:keepNext w:val="0"/>
              <w:keepLines w:val="0"/>
              <w:widowControl/>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（二）部分公开（</w:t>
            </w:r>
            <w:bookmarkStart w:id="1" w:name="_Hlk66973981"/>
            <w:r>
              <w:rPr>
                <w:rFonts w:hint="eastAsia" w:ascii="黑体" w:hAnsi="黑体" w:eastAsia="黑体" w:cs="Times New Roman"/>
                <w:color w:val="auto"/>
                <w:kern w:val="0"/>
                <w:sz w:val="21"/>
                <w:szCs w:val="21"/>
                <w:lang w:val="en-US" w:eastAsia="zh-CN" w:bidi="ar-SA"/>
              </w:rPr>
              <w:t>区分处理的，只计这一情形，不计其他情形</w:t>
            </w:r>
            <w:bookmarkEnd w:id="1"/>
            <w:r>
              <w:rPr>
                <w:rFonts w:hint="eastAsia" w:ascii="黑体" w:hAnsi="黑体" w:eastAsia="黑体" w:cs="Times New Roman"/>
                <w:color w:val="auto"/>
                <w:kern w:val="0"/>
                <w:sz w:val="21"/>
                <w:szCs w:val="21"/>
                <w:lang w:val="en-US" w:eastAsia="zh-CN" w:bidi="ar-SA"/>
              </w:rPr>
              <w:t>）</w:t>
            </w:r>
          </w:p>
        </w:tc>
        <w:tc>
          <w:tcPr>
            <w:tcW w:w="752"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3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6"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163" w:leftChars="-51"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（三）不予公开</w:t>
            </w: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1.属于国家秘密</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2.</w:t>
            </w:r>
            <w:bookmarkStart w:id="2" w:name="_Hlk66974104"/>
            <w:r>
              <w:rPr>
                <w:rFonts w:hint="eastAsia" w:ascii="仿宋_GB2312" w:hAnsi="黑体" w:eastAsia="仿宋_GB2312" w:cs="Times New Roman"/>
                <w:color w:val="auto"/>
                <w:kern w:val="0"/>
                <w:sz w:val="21"/>
                <w:szCs w:val="21"/>
                <w:lang w:val="en-US" w:eastAsia="zh-CN" w:bidi="ar-SA"/>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3.危及“三安全一稳定”</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4.</w:t>
            </w:r>
            <w:bookmarkStart w:id="3" w:name="_Hlk66974290"/>
            <w:r>
              <w:rPr>
                <w:rFonts w:hint="eastAsia" w:ascii="仿宋_GB2312" w:hAnsi="黑体" w:eastAsia="仿宋_GB2312" w:cs="Times New Roman"/>
                <w:color w:val="auto"/>
                <w:kern w:val="0"/>
                <w:sz w:val="21"/>
                <w:szCs w:val="21"/>
                <w:lang w:val="en-US" w:eastAsia="zh-CN" w:bidi="ar-SA"/>
              </w:rPr>
              <w:t>保护第三方合法权益</w:t>
            </w:r>
            <w:bookmarkEnd w:id="3"/>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5.属于三类内部事务信息</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6.</w:t>
            </w:r>
            <w:bookmarkStart w:id="4" w:name="_Hlk66974555"/>
            <w:r>
              <w:rPr>
                <w:rFonts w:hint="eastAsia" w:ascii="仿宋_GB2312" w:hAnsi="黑体" w:eastAsia="仿宋_GB2312" w:cs="Times New Roman"/>
                <w:color w:val="auto"/>
                <w:kern w:val="0"/>
                <w:sz w:val="21"/>
                <w:szCs w:val="21"/>
                <w:lang w:val="en-US" w:eastAsia="zh-CN" w:bidi="ar-SA"/>
              </w:rPr>
              <w:t>属于四类过程性信息</w:t>
            </w:r>
            <w:bookmarkEnd w:id="4"/>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7.属于行政执法案卷</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8.</w:t>
            </w:r>
            <w:bookmarkStart w:id="5" w:name="_Hlk66975211"/>
            <w:r>
              <w:rPr>
                <w:rFonts w:hint="eastAsia" w:ascii="仿宋_GB2312" w:hAnsi="黑体" w:eastAsia="仿宋_GB2312" w:cs="Times New Roman"/>
                <w:color w:val="auto"/>
                <w:kern w:val="0"/>
                <w:sz w:val="21"/>
                <w:szCs w:val="21"/>
                <w:lang w:val="en-US" w:eastAsia="zh-CN" w:bidi="ar-SA"/>
              </w:rPr>
              <w:t>属于行政查询事项</w:t>
            </w:r>
            <w:bookmarkEnd w:id="5"/>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163" w:leftChars="-51"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（四）无法提供</w:t>
            </w: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1.本机关不掌握相关政府信息</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hAnsi="Times New Roman" w:cs="Times New Roman"/>
                <w:color w:val="auto"/>
                <w:kern w:val="2"/>
                <w:sz w:val="21"/>
                <w:szCs w:val="21"/>
                <w:lang w:val="en-US" w:eastAsia="zh-CN" w:bidi="ar-SA"/>
              </w:rPr>
              <w:t>1</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hAnsi="Times New Roman" w:cs="Times New Roman"/>
                <w:color w:val="auto"/>
                <w:kern w:val="2"/>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163" w:leftChars="-51"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2.</w:t>
            </w:r>
            <w:bookmarkStart w:id="6" w:name="_Hlk66975392"/>
            <w:r>
              <w:rPr>
                <w:rFonts w:hint="eastAsia" w:ascii="仿宋_GB2312" w:hAnsi="黑体" w:eastAsia="仿宋_GB2312" w:cs="Times New Roman"/>
                <w:color w:val="auto"/>
                <w:kern w:val="0"/>
                <w:sz w:val="21"/>
                <w:szCs w:val="21"/>
                <w:lang w:val="en-US" w:eastAsia="zh-CN" w:bidi="ar-SA"/>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163" w:leftChars="-51"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3.</w:t>
            </w:r>
            <w:bookmarkStart w:id="7" w:name="_Hlk66975466"/>
            <w:r>
              <w:rPr>
                <w:rFonts w:hint="eastAsia" w:ascii="仿宋_GB2312" w:hAnsi="黑体" w:eastAsia="仿宋_GB2312" w:cs="Times New Roman"/>
                <w:color w:val="auto"/>
                <w:kern w:val="0"/>
                <w:sz w:val="21"/>
                <w:szCs w:val="21"/>
                <w:lang w:val="en-US" w:eastAsia="zh-CN" w:bidi="ar-SA"/>
              </w:rPr>
              <w:t>补正后申请内容仍不明确</w:t>
            </w:r>
            <w:bookmarkEnd w:id="7"/>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163" w:leftChars="-51" w:right="0" w:firstLine="0" w:firstLineChars="0"/>
              <w:rPr>
                <w:rFonts w:hint="default"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0"/>
                <w:sz w:val="21"/>
                <w:szCs w:val="21"/>
                <w:lang w:val="en-US" w:eastAsia="zh-CN" w:bidi="ar-SA"/>
              </w:rPr>
              <w:t>（五）不予处理</w:t>
            </w: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1.</w:t>
            </w:r>
            <w:bookmarkStart w:id="8" w:name="_Hlk66975537"/>
            <w:r>
              <w:rPr>
                <w:rFonts w:hint="eastAsia" w:ascii="仿宋_GB2312" w:hAnsi="黑体" w:eastAsia="仿宋_GB2312" w:cs="Times New Roman"/>
                <w:color w:val="auto"/>
                <w:kern w:val="0"/>
                <w:sz w:val="21"/>
                <w:szCs w:val="21"/>
                <w:lang w:val="en-US" w:eastAsia="zh-CN" w:bidi="ar-SA"/>
              </w:rPr>
              <w:t>信访举报投诉类申请</w:t>
            </w:r>
            <w:bookmarkEnd w:id="8"/>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2.重复申请</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2"/>
                <w:sz w:val="21"/>
                <w:szCs w:val="21"/>
                <w:lang w:val="en-US" w:eastAsia="zh-CN" w:bidi="ar-SA"/>
              </w:rPr>
            </w:pPr>
            <w:r>
              <w:rPr>
                <w:rFonts w:hint="eastAsia" w:ascii="仿宋_GB2312" w:hAnsi="黑体" w:eastAsia="仿宋_GB2312" w:cs="Times New Roman"/>
                <w:color w:val="auto"/>
                <w:kern w:val="0"/>
                <w:sz w:val="21"/>
                <w:szCs w:val="21"/>
                <w:lang w:val="en-US" w:eastAsia="zh-CN" w:bidi="ar-SA"/>
              </w:rPr>
              <w:t>3.要求提供公开出版物</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200" w:lineRule="exact"/>
              <w:ind w:left="0" w:right="0" w:firstLine="0" w:firstLineChars="0"/>
              <w:rPr>
                <w:rFonts w:hint="default" w:ascii="仿宋_GB2312" w:hAnsi="黑体" w:eastAsia="仿宋_GB2312" w:cs="Times New Roman"/>
                <w:color w:val="auto"/>
                <w:kern w:val="2"/>
                <w:sz w:val="21"/>
                <w:szCs w:val="21"/>
                <w:lang w:val="en-US" w:eastAsia="zh-CN" w:bidi="ar-SA"/>
              </w:rPr>
            </w:pPr>
            <w:r>
              <w:rPr>
                <w:rFonts w:hint="eastAsia" w:ascii="仿宋_GB2312" w:hAnsi="黑体" w:eastAsia="仿宋_GB2312" w:cs="Times New Roman"/>
                <w:color w:val="auto"/>
                <w:kern w:val="0"/>
                <w:sz w:val="21"/>
                <w:szCs w:val="21"/>
                <w:lang w:val="en-US" w:eastAsia="zh-CN" w:bidi="ar-SA"/>
              </w:rPr>
              <w:t>4.无正当理由大量反复申请</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line="200" w:lineRule="exact"/>
              <w:ind w:left="0" w:right="0" w:firstLine="0" w:firstLineChars="0"/>
              <w:rPr>
                <w:rFonts w:hint="default" w:ascii="黑体" w:hAnsi="黑体" w:eastAsia="黑体" w:cs="Times New Roman"/>
                <w:color w:val="auto"/>
                <w:kern w:val="2"/>
                <w:sz w:val="21"/>
                <w:szCs w:val="21"/>
                <w:lang w:val="en-US" w:eastAsia="zh-CN" w:bidi="ar-SA"/>
              </w:rPr>
            </w:pPr>
          </w:p>
        </w:tc>
        <w:tc>
          <w:tcPr>
            <w:tcW w:w="2976" w:type="dxa"/>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黑体" w:eastAsia="仿宋_GB2312" w:cs="Times New Roman"/>
                <w:color w:val="auto"/>
                <w:kern w:val="0"/>
                <w:sz w:val="21"/>
                <w:szCs w:val="21"/>
                <w:lang w:val="en-US" w:eastAsia="zh-CN" w:bidi="ar-SA"/>
              </w:rPr>
              <w:t>5.要求行政机关确认或重新</w:t>
            </w:r>
          </w:p>
          <w:p>
            <w:pPr>
              <w:keepNext w:val="0"/>
              <w:keepLines w:val="0"/>
              <w:widowControl/>
              <w:suppressLineNumbers w:val="0"/>
              <w:suppressAutoHyphens/>
              <w:bidi w:val="0"/>
              <w:spacing w:before="0" w:beforeAutospacing="0" w:after="0" w:afterAutospacing="0" w:line="300" w:lineRule="exact"/>
              <w:ind w:left="0" w:right="0" w:firstLine="210" w:firstLineChars="100"/>
              <w:rPr>
                <w:rFonts w:hint="default" w:ascii="仿宋_GB2312" w:hAnsi="黑体" w:eastAsia="仿宋_GB2312" w:cs="Times New Roman"/>
                <w:color w:val="auto"/>
                <w:kern w:val="2"/>
                <w:sz w:val="21"/>
                <w:szCs w:val="21"/>
                <w:lang w:val="en-US" w:eastAsia="zh-CN" w:bidi="ar-SA"/>
              </w:rPr>
            </w:pPr>
            <w:r>
              <w:rPr>
                <w:rFonts w:hint="eastAsia" w:ascii="仿宋_GB2312" w:hAnsi="黑体" w:eastAsia="仿宋_GB2312" w:cs="Times New Roman"/>
                <w:color w:val="auto"/>
                <w:kern w:val="0"/>
                <w:sz w:val="21"/>
                <w:szCs w:val="21"/>
                <w:lang w:val="en-US" w:eastAsia="zh-CN" w:bidi="ar-SA"/>
              </w:rPr>
              <w:t>出具已获取信息</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restart"/>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黑体" w:hAnsi="黑体" w:eastAsia="黑体" w:cs="Times New Roman"/>
                <w:color w:val="auto"/>
                <w:kern w:val="0"/>
                <w:sz w:val="21"/>
                <w:szCs w:val="21"/>
                <w:lang w:val="en-US" w:eastAsia="zh-CN" w:bidi="ar-SA"/>
              </w:rPr>
            </w:pPr>
            <w:r>
              <w:rPr>
                <w:rFonts w:hint="eastAsia" w:ascii="黑体" w:hAnsi="黑体" w:eastAsia="黑体" w:cs="Times New Roman"/>
                <w:color w:val="auto"/>
                <w:kern w:val="0"/>
                <w:sz w:val="21"/>
                <w:szCs w:val="21"/>
                <w:lang w:val="en-US" w:eastAsia="zh-CN" w:bidi="ar-SA"/>
              </w:rPr>
              <w:t>（六）其他处理</w:t>
            </w:r>
          </w:p>
        </w:tc>
        <w:tc>
          <w:tcPr>
            <w:tcW w:w="2976" w:type="dxa"/>
            <w:noWrap w:val="0"/>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仿宋_GB2312" w:hAnsi="楷体" w:eastAsia="仿宋_GB2312" w:cs="Times New Roman"/>
                <w:color w:val="auto"/>
                <w:kern w:val="2"/>
                <w:sz w:val="21"/>
                <w:szCs w:val="24"/>
                <w:lang w:val="en-US" w:eastAsia="zh-CN" w:bidi="ar-SA"/>
              </w:rPr>
            </w:pPr>
            <w:r>
              <w:rPr>
                <w:rFonts w:hint="eastAsia" w:ascii="仿宋_GB2312" w:hAnsi="楷体" w:eastAsia="仿宋_GB2312" w:cs="Times New Roman"/>
                <w:color w:val="auto"/>
                <w:kern w:val="2"/>
                <w:sz w:val="21"/>
                <w:szCs w:val="24"/>
                <w:lang w:val="en-US" w:eastAsia="zh-CN" w:bidi="ar-SA"/>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黑体" w:hAnsi="黑体" w:eastAsia="黑体" w:cs="Times New Roman"/>
                <w:color w:val="auto"/>
                <w:kern w:val="0"/>
                <w:sz w:val="21"/>
                <w:szCs w:val="21"/>
                <w:lang w:val="en-US" w:eastAsia="zh-CN" w:bidi="ar-SA"/>
              </w:rPr>
            </w:pPr>
          </w:p>
        </w:tc>
        <w:tc>
          <w:tcPr>
            <w:tcW w:w="2976" w:type="dxa"/>
            <w:noWrap w:val="0"/>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楷体" w:eastAsia="仿宋_GB2312" w:cs="Times New Roman"/>
                <w:color w:val="auto"/>
                <w:kern w:val="2"/>
                <w:sz w:val="21"/>
                <w:szCs w:val="24"/>
                <w:lang w:val="en-US" w:eastAsia="zh-CN" w:bidi="ar-SA"/>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1701" w:type="dxa"/>
            <w:vMerge w:val="continue"/>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黑体" w:hAnsi="黑体" w:eastAsia="黑体" w:cs="Times New Roman"/>
                <w:color w:val="auto"/>
                <w:kern w:val="0"/>
                <w:sz w:val="21"/>
                <w:szCs w:val="21"/>
                <w:lang w:val="en-US" w:eastAsia="zh-CN" w:bidi="ar-SA"/>
              </w:rPr>
            </w:pPr>
          </w:p>
        </w:tc>
        <w:tc>
          <w:tcPr>
            <w:tcW w:w="2976" w:type="dxa"/>
            <w:noWrap w:val="0"/>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仿宋_GB2312" w:hAnsi="黑体" w:eastAsia="仿宋_GB2312" w:cs="Times New Roman"/>
                <w:color w:val="auto"/>
                <w:kern w:val="0"/>
                <w:sz w:val="21"/>
                <w:szCs w:val="21"/>
                <w:lang w:val="en-US" w:eastAsia="zh-CN" w:bidi="ar-SA"/>
              </w:rPr>
            </w:pPr>
            <w:r>
              <w:rPr>
                <w:rFonts w:hint="eastAsia" w:ascii="仿宋_GB2312" w:hAnsi="楷体" w:eastAsia="仿宋_GB2312" w:cs="Times New Roman"/>
                <w:color w:val="auto"/>
                <w:kern w:val="2"/>
                <w:sz w:val="21"/>
                <w:szCs w:val="24"/>
                <w:lang w:val="en-US" w:eastAsia="zh-CN" w:bidi="ar-SA"/>
              </w:rPr>
              <w:t>3.其他</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suppressLineNumbers w:val="0"/>
              <w:suppressAutoHyphens/>
              <w:bidi w:val="0"/>
              <w:spacing w:before="0" w:beforeAutospacing="0" w:after="0" w:afterAutospacing="0"/>
              <w:ind w:left="0" w:right="0" w:firstLine="0" w:firstLineChars="0"/>
              <w:rPr>
                <w:rFonts w:hint="default" w:ascii="黑体" w:hAnsi="黑体" w:eastAsia="黑体" w:cs="Times New Roman"/>
                <w:color w:val="auto"/>
                <w:kern w:val="2"/>
                <w:sz w:val="21"/>
                <w:szCs w:val="21"/>
                <w:lang w:val="en-US" w:eastAsia="zh-CN" w:bidi="ar-SA"/>
              </w:rPr>
            </w:pPr>
          </w:p>
        </w:tc>
        <w:tc>
          <w:tcPr>
            <w:tcW w:w="4677" w:type="dxa"/>
            <w:gridSpan w:val="2"/>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黑体" w:hAnsi="黑体" w:eastAsia="黑体" w:cs="Times New Roman"/>
                <w:color w:val="auto"/>
                <w:kern w:val="0"/>
                <w:sz w:val="21"/>
                <w:szCs w:val="21"/>
                <w:lang w:val="en-US" w:eastAsia="zh-CN" w:bidi="ar-SA"/>
              </w:rPr>
            </w:pPr>
            <w:r>
              <w:rPr>
                <w:rFonts w:hint="eastAsia" w:ascii="黑体" w:hAnsi="黑体" w:eastAsia="黑体" w:cs="Times New Roman"/>
                <w:color w:val="auto"/>
                <w:kern w:val="0"/>
                <w:sz w:val="21"/>
                <w:szCs w:val="21"/>
                <w:lang w:val="en-US" w:eastAsia="zh-CN" w:bidi="ar-SA"/>
              </w:rPr>
              <w:t>（七）总计</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hAnsi="Times New Roman" w:cs="Times New Roman"/>
                <w:color w:val="auto"/>
                <w:kern w:val="2"/>
                <w:sz w:val="21"/>
                <w:szCs w:val="21"/>
                <w:lang w:val="en-US" w:eastAsia="zh-CN" w:bidi="ar-SA"/>
              </w:rPr>
              <w:t>2</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hAnsi="Times New Roman" w:cs="Times New Roman"/>
                <w:color w:val="auto"/>
                <w:kern w:val="2"/>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widowControl/>
              <w:suppressLineNumbers w:val="0"/>
              <w:suppressAutoHyphens/>
              <w:bidi w:val="0"/>
              <w:spacing w:before="0" w:beforeAutospacing="0" w:after="0" w:afterAutospacing="0" w:line="300" w:lineRule="exact"/>
              <w:ind w:left="0" w:right="0" w:firstLine="0" w:firstLineChars="0"/>
              <w:rPr>
                <w:rFonts w:hint="default" w:ascii="黑体" w:hAnsi="黑体" w:eastAsia="黑体" w:cs="Times New Roman"/>
                <w:color w:val="auto"/>
                <w:kern w:val="0"/>
                <w:sz w:val="21"/>
                <w:szCs w:val="21"/>
                <w:lang w:val="en-US" w:eastAsia="zh-CN" w:bidi="ar-SA"/>
              </w:rPr>
            </w:pPr>
            <w:r>
              <w:rPr>
                <w:rFonts w:hint="eastAsia" w:ascii="黑体" w:hAnsi="黑体" w:eastAsia="黑体" w:cs="Times New Roman"/>
                <w:color w:val="auto"/>
                <w:kern w:val="0"/>
                <w:sz w:val="21"/>
                <w:szCs w:val="21"/>
                <w:lang w:val="en-US" w:eastAsia="zh-CN" w:bidi="ar-SA"/>
              </w:rPr>
              <w:t>四、结转下年度继续办理</w:t>
            </w:r>
          </w:p>
        </w:tc>
        <w:tc>
          <w:tcPr>
            <w:tcW w:w="747"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40"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20"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67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525" w:type="dxa"/>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c>
          <w:tcPr>
            <w:tcW w:w="701" w:type="dxa"/>
            <w:gridSpan w:val="2"/>
            <w:noWrap w:val="0"/>
            <w:tcMar>
              <w:left w:w="108" w:type="dxa"/>
              <w:right w:w="108" w:type="dxa"/>
            </w:tcMar>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仿宋_GB2312" w:hAnsi="Times New Roman" w:eastAsia="仿宋_GB2312" w:cs="Times New Roman"/>
                <w:color w:val="FF0000"/>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宋体" w:eastAsia="黑体" w:cs="黑体"/>
          <w:i w:val="0"/>
          <w:iCs w:val="0"/>
          <w:caps w:val="0"/>
          <w:color w:val="000000"/>
          <w:spacing w:val="0"/>
          <w:sz w:val="31"/>
          <w:szCs w:val="31"/>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27" w:leftChars="-71" w:right="-259" w:rightChars="-81"/>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227" w:leftChars="-71" w:right="-259" w:rightChars="-8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66" w:leftChars="-21" w:right="-202" w:rightChars="-63" w:hanging="1"/>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66" w:leftChars="-21" w:right="-202" w:rightChars="-63" w:hanging="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25" w:leftChars="-39" w:right="-147" w:rightChars="-46"/>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其他</w:t>
            </w:r>
          </w:p>
          <w:p>
            <w:pPr>
              <w:keepNext w:val="0"/>
              <w:keepLines w:val="0"/>
              <w:widowControl/>
              <w:suppressLineNumbers w:val="0"/>
              <w:spacing w:before="0" w:beforeAutospacing="0" w:after="0" w:afterAutospacing="0"/>
              <w:ind w:left="-125" w:leftChars="-39" w:right="-147" w:rightChars="-46"/>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79" w:leftChars="-56" w:right="-179" w:rightChars="-56"/>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尚未</w:t>
            </w:r>
          </w:p>
          <w:p>
            <w:pPr>
              <w:keepNext w:val="0"/>
              <w:keepLines w:val="0"/>
              <w:widowControl/>
              <w:suppressLineNumbers w:val="0"/>
              <w:spacing w:before="0" w:beforeAutospacing="0" w:after="0" w:afterAutospacing="0"/>
              <w:ind w:left="-179" w:leftChars="-56" w:right="-179" w:rightChars="-56"/>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总</w:t>
            </w:r>
          </w:p>
          <w:p>
            <w:pPr>
              <w:keepNext w:val="0"/>
              <w:keepLines w:val="0"/>
              <w:widowControl/>
              <w:suppressLineNumbers w:val="0"/>
              <w:spacing w:before="0" w:beforeAutospacing="0" w:after="0" w:afterAutospacing="0" w:line="320" w:lineRule="exact"/>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bookmarkStart w:id="9" w:name="_Hlk67039688"/>
            <w:r>
              <w:rPr>
                <w:rFonts w:hint="eastAsia" w:ascii="黑体" w:hAnsi="宋体" w:eastAsia="黑体" w:cs="黑体"/>
                <w:kern w:val="0"/>
                <w:sz w:val="20"/>
                <w:szCs w:val="20"/>
                <w:lang w:val="en-US" w:eastAsia="zh-CN" w:bidi="ar"/>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60" w:leftChars="-50" w:right="-192" w:rightChars="-6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160" w:leftChars="-50" w:right="-192" w:rightChars="-6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31" w:leftChars="-41" w:right="-134" w:rightChars="-42"/>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131" w:leftChars="-41" w:right="-134" w:rightChars="-42"/>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92" w:leftChars="-60" w:right="-208" w:rightChars="-65"/>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其他</w:t>
            </w:r>
          </w:p>
          <w:p>
            <w:pPr>
              <w:keepNext w:val="0"/>
              <w:keepLines w:val="0"/>
              <w:widowControl/>
              <w:suppressLineNumbers w:val="0"/>
              <w:spacing w:before="0" w:beforeAutospacing="0" w:after="0" w:afterAutospacing="0"/>
              <w:ind w:left="-192" w:leftChars="-60" w:right="-208" w:rightChars="-65"/>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49" w:leftChars="-78" w:right="-234" w:rightChars="-73"/>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尚未</w:t>
            </w:r>
          </w:p>
          <w:p>
            <w:pPr>
              <w:keepNext w:val="0"/>
              <w:keepLines w:val="0"/>
              <w:widowControl/>
              <w:suppressLineNumbers w:val="0"/>
              <w:spacing w:before="0" w:beforeAutospacing="0" w:after="0" w:afterAutospacing="0"/>
              <w:ind w:left="-249" w:leftChars="-78" w:right="-234" w:rightChars="-73"/>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50" w:leftChars="-47" w:right="-118" w:rightChars="-37"/>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150" w:leftChars="-47" w:right="-118" w:rightChars="-37"/>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08" w:leftChars="-65" w:right="-189" w:rightChars="-59"/>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208" w:leftChars="-65" w:right="-189" w:rightChars="-59"/>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65" w:leftChars="-83" w:right="-205" w:rightChars="-64" w:hanging="1"/>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其他</w:t>
            </w:r>
          </w:p>
          <w:p>
            <w:pPr>
              <w:keepNext w:val="0"/>
              <w:keepLines w:val="0"/>
              <w:widowControl/>
              <w:suppressLineNumbers w:val="0"/>
              <w:spacing w:before="0" w:beforeAutospacing="0" w:after="0" w:afterAutospacing="0"/>
              <w:ind w:left="-265" w:leftChars="-83" w:right="-205" w:rightChars="-64" w:hanging="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04" w:leftChars="-33" w:right="-160" w:rightChars="-50" w:hanging="2" w:hangingChars="1"/>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尚未</w:t>
            </w:r>
          </w:p>
          <w:p>
            <w:pPr>
              <w:keepNext w:val="0"/>
              <w:keepLines w:val="0"/>
              <w:widowControl/>
              <w:suppressLineNumbers w:val="0"/>
              <w:spacing w:before="0" w:beforeAutospacing="0" w:after="0" w:afterAutospacing="0"/>
              <w:ind w:left="-104" w:leftChars="-33" w:right="-160" w:rightChars="-50" w:hanging="2" w:hangingChars="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五、存在的主要问题及改进情况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（一）存在问题</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sans-serif" w:eastAsia="仿宋_GB2312" w:cs="仿宋_GB2312"/>
          <w:i w:val="0"/>
          <w:iCs w:val="0"/>
          <w:caps w:val="0"/>
          <w:color w:val="auto"/>
          <w:spacing w:val="0"/>
          <w:sz w:val="32"/>
          <w:szCs w:val="32"/>
          <w:highlight w:val="none"/>
          <w:lang w:eastAsia="zh-CN"/>
        </w:rPr>
      </w:pPr>
      <w:r>
        <w:rPr>
          <w:rFonts w:hint="eastAsia" w:ascii="仿宋_GB2312" w:hAnsi="sans-serif" w:eastAsia="仿宋_GB2312" w:cs="仿宋_GB2312"/>
          <w:i w:val="0"/>
          <w:iCs w:val="0"/>
          <w:caps w:val="0"/>
          <w:color w:val="auto"/>
          <w:spacing w:val="0"/>
          <w:sz w:val="32"/>
          <w:szCs w:val="32"/>
          <w:highlight w:val="none"/>
        </w:rPr>
        <w:t>当前政府信息公开工作仍存在以下薄弱环节：</w:t>
      </w:r>
      <w:r>
        <w:rPr>
          <w:rFonts w:hint="eastAsia" w:ascii="仿宋_GB2312" w:hAnsi="sans-serif" w:eastAsia="仿宋_GB2312" w:cs="仿宋_GB2312"/>
          <w:b/>
          <w:bCs/>
          <w:i w:val="0"/>
          <w:iCs w:val="0"/>
          <w:caps w:val="0"/>
          <w:color w:val="auto"/>
          <w:spacing w:val="0"/>
          <w:sz w:val="32"/>
          <w:szCs w:val="32"/>
          <w:highlight w:val="none"/>
        </w:rPr>
        <w:t>一是</w:t>
      </w:r>
      <w:r>
        <w:rPr>
          <w:rFonts w:hint="eastAsia" w:ascii="仿宋_GB2312" w:hAnsi="sans-serif" w:eastAsia="仿宋_GB2312" w:cs="仿宋_GB2312"/>
          <w:i w:val="0"/>
          <w:iCs w:val="0"/>
          <w:caps w:val="0"/>
          <w:color w:val="auto"/>
          <w:spacing w:val="0"/>
          <w:sz w:val="32"/>
          <w:szCs w:val="32"/>
          <w:highlight w:val="none"/>
          <w:lang w:eastAsia="zh-CN"/>
        </w:rPr>
        <w:t>主动公开内容的精准性和服务性有待增强，与公众实际需求的匹配度需</w:t>
      </w:r>
      <w:r>
        <w:rPr>
          <w:rFonts w:hint="eastAsia" w:hAnsi="sans-serif" w:cs="仿宋_GB2312"/>
          <w:i w:val="0"/>
          <w:iCs w:val="0"/>
          <w:caps w:val="0"/>
          <w:color w:val="auto"/>
          <w:spacing w:val="0"/>
          <w:sz w:val="32"/>
          <w:szCs w:val="32"/>
          <w:highlight w:val="none"/>
          <w:lang w:eastAsia="zh-CN"/>
        </w:rPr>
        <w:t>进一步</w:t>
      </w:r>
      <w:r>
        <w:rPr>
          <w:rFonts w:hint="eastAsia" w:ascii="仿宋_GB2312" w:hAnsi="sans-serif" w:eastAsia="仿宋_GB2312" w:cs="仿宋_GB2312"/>
          <w:i w:val="0"/>
          <w:iCs w:val="0"/>
          <w:caps w:val="0"/>
          <w:color w:val="auto"/>
          <w:spacing w:val="0"/>
          <w:sz w:val="32"/>
          <w:szCs w:val="32"/>
          <w:highlight w:val="none"/>
          <w:lang w:eastAsia="zh-CN"/>
        </w:rPr>
        <w:t>提高</w:t>
      </w:r>
      <w:r>
        <w:rPr>
          <w:rFonts w:hint="eastAsia" w:ascii="仿宋_GB2312" w:hAnsi="sans-serif" w:eastAsia="仿宋_GB2312" w:cs="仿宋_GB2312"/>
          <w:i w:val="0"/>
          <w:iCs w:val="0"/>
          <w:caps w:val="0"/>
          <w:color w:val="auto"/>
          <w:spacing w:val="0"/>
          <w:sz w:val="32"/>
          <w:szCs w:val="32"/>
          <w:highlight w:val="none"/>
        </w:rPr>
        <w:t>；</w:t>
      </w:r>
      <w:r>
        <w:rPr>
          <w:rFonts w:hint="eastAsia" w:ascii="仿宋_GB2312" w:hAnsi="sans-serif" w:eastAsia="仿宋_GB2312" w:cs="仿宋_GB2312"/>
          <w:b/>
          <w:bCs/>
          <w:i w:val="0"/>
          <w:iCs w:val="0"/>
          <w:caps w:val="0"/>
          <w:color w:val="auto"/>
          <w:spacing w:val="0"/>
          <w:sz w:val="32"/>
          <w:szCs w:val="32"/>
          <w:highlight w:val="none"/>
        </w:rPr>
        <w:t>二是</w:t>
      </w:r>
      <w:r>
        <w:rPr>
          <w:rFonts w:hint="eastAsia" w:ascii="仿宋_GB2312" w:hAnsi="sans-serif" w:eastAsia="仿宋_GB2312" w:cs="仿宋_GB2312"/>
          <w:i w:val="0"/>
          <w:iCs w:val="0"/>
          <w:caps w:val="0"/>
          <w:color w:val="auto"/>
          <w:spacing w:val="0"/>
          <w:sz w:val="32"/>
          <w:szCs w:val="32"/>
          <w:highlight w:val="none"/>
        </w:rPr>
        <w:t>部分工作人员对信息公开工作的认识深度和业务熟练度仍需提升；</w:t>
      </w:r>
      <w:r>
        <w:rPr>
          <w:rFonts w:hint="eastAsia" w:ascii="仿宋_GB2312" w:hAnsi="sans-serif" w:eastAsia="仿宋_GB2312" w:cs="仿宋_GB2312"/>
          <w:b/>
          <w:bCs/>
          <w:i w:val="0"/>
          <w:iCs w:val="0"/>
          <w:caps w:val="0"/>
          <w:color w:val="auto"/>
          <w:spacing w:val="0"/>
          <w:sz w:val="32"/>
          <w:szCs w:val="32"/>
          <w:highlight w:val="none"/>
        </w:rPr>
        <w:t>三是</w:t>
      </w:r>
      <w:r>
        <w:rPr>
          <w:rFonts w:hint="eastAsia" w:ascii="仿宋_GB2312" w:hAnsi="sans-serif" w:eastAsia="仿宋_GB2312" w:cs="仿宋_GB2312"/>
          <w:i w:val="0"/>
          <w:iCs w:val="0"/>
          <w:caps w:val="0"/>
          <w:color w:val="auto"/>
          <w:spacing w:val="0"/>
          <w:sz w:val="32"/>
          <w:szCs w:val="32"/>
          <w:highlight w:val="none"/>
        </w:rPr>
        <w:t>政策宣传解读</w:t>
      </w:r>
      <w:r>
        <w:rPr>
          <w:rFonts w:hint="eastAsia" w:hAnsi="sans-serif" w:cs="仿宋_GB2312"/>
          <w:i w:val="0"/>
          <w:iCs w:val="0"/>
          <w:caps w:val="0"/>
          <w:color w:val="auto"/>
          <w:spacing w:val="0"/>
          <w:sz w:val="32"/>
          <w:szCs w:val="32"/>
          <w:highlight w:val="none"/>
          <w:lang w:eastAsia="zh-CN"/>
        </w:rPr>
        <w:t>的</w:t>
      </w:r>
      <w:r>
        <w:rPr>
          <w:rFonts w:hint="eastAsia" w:ascii="仿宋_GB2312" w:hAnsi="sans-serif" w:eastAsia="仿宋_GB2312" w:cs="仿宋_GB2312"/>
          <w:i w:val="0"/>
          <w:iCs w:val="0"/>
          <w:caps w:val="0"/>
          <w:color w:val="auto"/>
          <w:spacing w:val="0"/>
          <w:sz w:val="32"/>
          <w:szCs w:val="32"/>
          <w:highlight w:val="none"/>
        </w:rPr>
        <w:t>形式较为传统单一</w:t>
      </w:r>
      <w:bookmarkStart w:id="10" w:name="_GoBack"/>
      <w:bookmarkEnd w:id="10"/>
      <w:r>
        <w:rPr>
          <w:rFonts w:hint="eastAsia" w:ascii="仿宋_GB2312" w:hAnsi="sans-serif" w:eastAsia="仿宋_GB2312" w:cs="仿宋_GB2312"/>
          <w:i w:val="0"/>
          <w:iCs w:val="0"/>
          <w:caps w:val="0"/>
          <w:color w:val="auto"/>
          <w:spacing w:val="0"/>
          <w:sz w:val="32"/>
          <w:szCs w:val="32"/>
          <w:highlight w:val="none"/>
        </w:rPr>
        <w:t>，未能充分运用各类新媒体技术进行多元化、生动化解读</w:t>
      </w:r>
      <w:r>
        <w:rPr>
          <w:rFonts w:hint="eastAsia" w:hAnsi="sans-serif" w:cs="仿宋_GB2312"/>
          <w:i w:val="0"/>
          <w:iCs w:val="0"/>
          <w:caps w:val="0"/>
          <w:color w:val="auto"/>
          <w:spacing w:val="0"/>
          <w:sz w:val="32"/>
          <w:szCs w:val="32"/>
          <w:highlight w:val="none"/>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hint="eastAsia" w:ascii="仿宋_GB2312" w:hAnsi="sans-serif" w:eastAsia="仿宋_GB2312" w:cs="仿宋_GB2312"/>
          <w:i w:val="0"/>
          <w:iCs w:val="0"/>
          <w:caps w:val="0"/>
          <w:color w:val="auto"/>
          <w:spacing w:val="0"/>
          <w:sz w:val="32"/>
          <w:szCs w:val="32"/>
          <w:highlight w:val="none"/>
        </w:rPr>
      </w:pPr>
      <w:r>
        <w:rPr>
          <w:rFonts w:hint="eastAsia" w:ascii="楷体_GB2312" w:hAnsi="sans-serif" w:eastAsia="楷体_GB2312" w:cs="楷体_GB2312"/>
          <w:i w:val="0"/>
          <w:iCs w:val="0"/>
          <w:caps w:val="0"/>
          <w:color w:val="auto"/>
          <w:spacing w:val="0"/>
          <w:sz w:val="32"/>
          <w:szCs w:val="32"/>
          <w:highlight w:val="none"/>
        </w:rPr>
        <w:t>（二）</w:t>
      </w:r>
      <w:r>
        <w:rPr>
          <w:rFonts w:hint="eastAsia" w:ascii="楷体_GB2312" w:hAnsi="sans-serif" w:eastAsia="楷体_GB2312" w:cs="楷体_GB2312"/>
          <w:i w:val="0"/>
          <w:iCs w:val="0"/>
          <w:caps w:val="0"/>
          <w:color w:val="auto"/>
          <w:spacing w:val="0"/>
          <w:sz w:val="32"/>
          <w:szCs w:val="32"/>
          <w:highlight w:val="none"/>
          <w:lang w:eastAsia="zh-CN"/>
        </w:rPr>
        <w:t>改进</w:t>
      </w:r>
      <w:r>
        <w:rPr>
          <w:rFonts w:hint="eastAsia" w:ascii="楷体_GB2312" w:hAnsi="sans-serif" w:eastAsia="楷体_GB2312" w:cs="楷体_GB2312"/>
          <w:i w:val="0"/>
          <w:iCs w:val="0"/>
          <w:caps w:val="0"/>
          <w:color w:val="auto"/>
          <w:spacing w:val="0"/>
          <w:sz w:val="32"/>
          <w:szCs w:val="32"/>
          <w:highlight w:val="none"/>
        </w:rPr>
        <w:t>措施</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2" w:firstLineChars="200"/>
        <w:textAlignment w:val="auto"/>
        <w:rPr>
          <w:rFonts w:hint="eastAsia" w:ascii="仿宋_GB2312" w:hAnsi="sans-serif" w:eastAsia="仿宋_GB2312" w:cs="仿宋_GB2312"/>
          <w:i w:val="0"/>
          <w:iCs w:val="0"/>
          <w:caps w:val="0"/>
          <w:color w:val="auto"/>
          <w:spacing w:val="0"/>
          <w:sz w:val="32"/>
          <w:szCs w:val="32"/>
          <w:highlight w:val="none"/>
          <w:lang w:eastAsia="zh-CN"/>
        </w:rPr>
      </w:pPr>
      <w:r>
        <w:rPr>
          <w:rFonts w:hint="eastAsia" w:ascii="仿宋_GB2312" w:hAnsi="sans-serif" w:eastAsia="仿宋_GB2312" w:cs="仿宋_GB2312"/>
          <w:b/>
          <w:bCs/>
          <w:i w:val="0"/>
          <w:iCs w:val="0"/>
          <w:caps w:val="0"/>
          <w:color w:val="auto"/>
          <w:spacing w:val="0"/>
          <w:sz w:val="32"/>
          <w:szCs w:val="32"/>
          <w:highlight w:val="none"/>
        </w:rPr>
        <w:t>一是</w:t>
      </w:r>
      <w:r>
        <w:rPr>
          <w:rFonts w:hint="eastAsia" w:ascii="仿宋_GB2312" w:hAnsi="sans-serif" w:eastAsia="仿宋_GB2312" w:cs="仿宋_GB2312"/>
          <w:i w:val="0"/>
          <w:iCs w:val="0"/>
          <w:caps w:val="0"/>
          <w:color w:val="auto"/>
          <w:spacing w:val="0"/>
          <w:sz w:val="32"/>
          <w:szCs w:val="32"/>
          <w:highlight w:val="none"/>
          <w:lang w:eastAsia="zh-CN"/>
        </w:rPr>
        <w:t>健全工作机制，围绕政府信息管理、</w:t>
      </w:r>
      <w:r>
        <w:rPr>
          <w:rFonts w:hint="eastAsia" w:hAnsi="sans-serif" w:cs="仿宋_GB2312"/>
          <w:i w:val="0"/>
          <w:iCs w:val="0"/>
          <w:caps w:val="0"/>
          <w:color w:val="auto"/>
          <w:spacing w:val="0"/>
          <w:sz w:val="32"/>
          <w:szCs w:val="32"/>
          <w:highlight w:val="none"/>
          <w:lang w:eastAsia="zh-CN"/>
        </w:rPr>
        <w:t>信息</w:t>
      </w:r>
      <w:r>
        <w:rPr>
          <w:rFonts w:hint="eastAsia" w:ascii="仿宋_GB2312" w:hAnsi="sans-serif" w:eastAsia="仿宋_GB2312" w:cs="仿宋_GB2312"/>
          <w:i w:val="0"/>
          <w:iCs w:val="0"/>
          <w:caps w:val="0"/>
          <w:color w:val="auto"/>
          <w:spacing w:val="0"/>
          <w:sz w:val="32"/>
          <w:szCs w:val="32"/>
          <w:highlight w:val="none"/>
          <w:lang w:eastAsia="zh-CN"/>
        </w:rPr>
        <w:t>发布、</w:t>
      </w:r>
      <w:r>
        <w:rPr>
          <w:rFonts w:hint="eastAsia" w:hAnsi="sans-serif" w:cs="仿宋_GB2312"/>
          <w:i w:val="0"/>
          <w:iCs w:val="0"/>
          <w:caps w:val="0"/>
          <w:color w:val="auto"/>
          <w:spacing w:val="0"/>
          <w:sz w:val="32"/>
          <w:szCs w:val="32"/>
          <w:highlight w:val="none"/>
          <w:lang w:eastAsia="zh-CN"/>
        </w:rPr>
        <w:t>政策</w:t>
      </w:r>
      <w:r>
        <w:rPr>
          <w:rFonts w:hint="eastAsia" w:ascii="仿宋_GB2312" w:hAnsi="sans-serif" w:eastAsia="仿宋_GB2312" w:cs="仿宋_GB2312"/>
          <w:i w:val="0"/>
          <w:iCs w:val="0"/>
          <w:caps w:val="0"/>
          <w:color w:val="auto"/>
          <w:spacing w:val="0"/>
          <w:sz w:val="32"/>
          <w:szCs w:val="32"/>
          <w:highlight w:val="none"/>
          <w:lang w:eastAsia="zh-CN"/>
        </w:rPr>
        <w:t>解读、依申请公开、公众参与等环节优化流程，全面提升公开工作规范化水平</w:t>
      </w:r>
      <w:r>
        <w:rPr>
          <w:rFonts w:hint="eastAsia" w:ascii="仿宋_GB2312" w:hAnsi="sans-serif" w:eastAsia="仿宋_GB2312" w:cs="仿宋_GB2312"/>
          <w:i w:val="0"/>
          <w:iCs w:val="0"/>
          <w:caps w:val="0"/>
          <w:color w:val="auto"/>
          <w:spacing w:val="0"/>
          <w:sz w:val="32"/>
          <w:szCs w:val="32"/>
          <w:highlight w:val="none"/>
        </w:rPr>
        <w:t>；</w:t>
      </w:r>
      <w:r>
        <w:rPr>
          <w:rFonts w:hint="eastAsia" w:ascii="仿宋_GB2312" w:hAnsi="sans-serif" w:eastAsia="仿宋_GB2312" w:cs="仿宋_GB2312"/>
          <w:b/>
          <w:bCs/>
          <w:i w:val="0"/>
          <w:iCs w:val="0"/>
          <w:caps w:val="0"/>
          <w:color w:val="auto"/>
          <w:spacing w:val="0"/>
          <w:sz w:val="32"/>
          <w:szCs w:val="32"/>
          <w:highlight w:val="none"/>
        </w:rPr>
        <w:t>二是</w:t>
      </w:r>
      <w:r>
        <w:rPr>
          <w:rFonts w:hint="eastAsia" w:ascii="仿宋_GB2312" w:hAnsi="sans-serif" w:eastAsia="仿宋_GB2312" w:cs="仿宋_GB2312"/>
          <w:i w:val="0"/>
          <w:iCs w:val="0"/>
          <w:caps w:val="0"/>
          <w:color w:val="auto"/>
          <w:spacing w:val="0"/>
          <w:sz w:val="32"/>
          <w:szCs w:val="32"/>
          <w:highlight w:val="none"/>
          <w:lang w:eastAsia="zh-CN"/>
        </w:rPr>
        <w:t>强化能力建设，通过专题培训、学习交流等形式，增强干部职工对《条例》的理解与落实，不断提升政务公开专业素养和工作效能</w:t>
      </w:r>
      <w:r>
        <w:rPr>
          <w:rFonts w:hint="eastAsia" w:ascii="仿宋_GB2312" w:hAnsi="sans-serif" w:eastAsia="仿宋_GB2312" w:cs="仿宋_GB2312"/>
          <w:i w:val="0"/>
          <w:iCs w:val="0"/>
          <w:caps w:val="0"/>
          <w:color w:val="auto"/>
          <w:spacing w:val="0"/>
          <w:sz w:val="32"/>
          <w:szCs w:val="32"/>
          <w:highlight w:val="none"/>
        </w:rPr>
        <w:t>；</w:t>
      </w:r>
      <w:r>
        <w:rPr>
          <w:rFonts w:hint="eastAsia" w:ascii="仿宋_GB2312" w:hAnsi="sans-serif" w:eastAsia="仿宋_GB2312" w:cs="仿宋_GB2312"/>
          <w:b/>
          <w:bCs/>
          <w:i w:val="0"/>
          <w:iCs w:val="0"/>
          <w:caps w:val="0"/>
          <w:color w:val="auto"/>
          <w:spacing w:val="0"/>
          <w:sz w:val="32"/>
          <w:szCs w:val="32"/>
          <w:highlight w:val="none"/>
        </w:rPr>
        <w:t>三是</w:t>
      </w:r>
      <w:r>
        <w:rPr>
          <w:rFonts w:hint="eastAsia" w:ascii="仿宋_GB2312" w:hAnsi="sans-serif" w:eastAsia="仿宋_GB2312" w:cs="仿宋_GB2312"/>
          <w:i w:val="0"/>
          <w:iCs w:val="0"/>
          <w:caps w:val="0"/>
          <w:color w:val="auto"/>
          <w:spacing w:val="0"/>
          <w:sz w:val="32"/>
          <w:szCs w:val="32"/>
          <w:highlight w:val="none"/>
          <w:lang w:eastAsia="zh-CN"/>
        </w:rPr>
        <w:t>聚焦社会关切、涉及公共利益的政策措施，</w:t>
      </w:r>
      <w:r>
        <w:rPr>
          <w:rFonts w:hint="eastAsia" w:hAnsi="sans-serif" w:cs="仿宋_GB2312"/>
          <w:i w:val="0"/>
          <w:iCs w:val="0"/>
          <w:caps w:val="0"/>
          <w:color w:val="auto"/>
          <w:spacing w:val="0"/>
          <w:sz w:val="32"/>
          <w:szCs w:val="32"/>
          <w:highlight w:val="none"/>
          <w:lang w:eastAsia="zh-CN"/>
        </w:rPr>
        <w:t>围绕重点领域工作</w:t>
      </w:r>
      <w:r>
        <w:rPr>
          <w:rFonts w:hint="eastAsia" w:ascii="仿宋_GB2312" w:hAnsi="sans-serif" w:eastAsia="仿宋_GB2312" w:cs="仿宋_GB2312"/>
          <w:i w:val="0"/>
          <w:iCs w:val="0"/>
          <w:caps w:val="0"/>
          <w:color w:val="auto"/>
          <w:spacing w:val="0"/>
          <w:sz w:val="32"/>
          <w:szCs w:val="32"/>
          <w:highlight w:val="none"/>
          <w:lang w:eastAsia="zh-CN"/>
        </w:rPr>
        <w:t>，持续深化工信领域信息公开内容质量</w:t>
      </w:r>
      <w:r>
        <w:rPr>
          <w:rFonts w:hint="eastAsia" w:hAnsi="sans-serif" w:cs="仿宋_GB2312"/>
          <w:i w:val="0"/>
          <w:iCs w:val="0"/>
          <w:caps w:val="0"/>
          <w:color w:val="auto"/>
          <w:spacing w:val="0"/>
          <w:sz w:val="32"/>
          <w:szCs w:val="32"/>
          <w:highlight w:val="no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六、其他需要报告的事项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1.收取信息处理费情况方面。</w:t>
      </w:r>
      <w:r>
        <w:rPr>
          <w:rFonts w:hint="eastAsia" w:ascii="Times New Roman" w:hAnsi="Times New Roman" w:cs="Times New Roman"/>
          <w:color w:val="auto"/>
          <w:kern w:val="2"/>
          <w:sz w:val="32"/>
          <w:szCs w:val="32"/>
          <w:highlight w:val="none"/>
          <w:lang w:val="en-US" w:eastAsia="zh-CN" w:bidi="ar-SA"/>
        </w:rPr>
        <w:t>2025</w:t>
      </w:r>
      <w:r>
        <w:rPr>
          <w:rFonts w:hint="eastAsia" w:ascii="Times New Roman" w:hAnsi="Times New Roman" w:eastAsia="仿宋_GB2312" w:cs="Times New Roman"/>
          <w:color w:val="auto"/>
          <w:kern w:val="2"/>
          <w:sz w:val="32"/>
          <w:szCs w:val="32"/>
          <w:highlight w:val="none"/>
          <w:lang w:val="en-US" w:eastAsia="zh-CN" w:bidi="ar-SA"/>
        </w:rPr>
        <w:t>年度，滕州市工业和信息化局未收取信息处理费。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2.落实上级年度政务公开工作要点情况。滕州市工业和信息化局</w:t>
      </w:r>
      <w:r>
        <w:rPr>
          <w:rFonts w:hint="eastAsia" w:ascii="Times New Roman" w:hAnsi="Times New Roman" w:cs="Times New Roman"/>
          <w:color w:val="auto"/>
          <w:kern w:val="2"/>
          <w:sz w:val="32"/>
          <w:szCs w:val="32"/>
          <w:highlight w:val="none"/>
          <w:lang w:val="en-US" w:eastAsia="zh-CN" w:bidi="ar-SA"/>
        </w:rPr>
        <w:t>严格</w:t>
      </w:r>
      <w:r>
        <w:rPr>
          <w:rFonts w:hint="eastAsia" w:ascii="Times New Roman" w:hAnsi="Times New Roman" w:eastAsia="仿宋_GB2312" w:cs="Times New Roman"/>
          <w:color w:val="auto"/>
          <w:kern w:val="2"/>
          <w:sz w:val="32"/>
          <w:szCs w:val="32"/>
          <w:highlight w:val="none"/>
          <w:lang w:val="en-US" w:eastAsia="zh-CN" w:bidi="ar-SA"/>
        </w:rPr>
        <w:t>对照《2025年山东省政务公开工作要点》</w:t>
      </w:r>
      <w:r>
        <w:rPr>
          <w:rFonts w:hint="eastAsia" w:ascii="Times New Roman" w:hAnsi="Times New Roman" w:cs="Times New Roman"/>
          <w:color w:val="auto"/>
          <w:kern w:val="2"/>
          <w:sz w:val="32"/>
          <w:szCs w:val="32"/>
          <w:highlight w:val="none"/>
          <w:lang w:val="en-US" w:eastAsia="zh-CN" w:bidi="ar-SA"/>
        </w:rPr>
        <w:t>等上级文件</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cs="Times New Roman"/>
          <w:color w:val="auto"/>
          <w:kern w:val="2"/>
          <w:sz w:val="32"/>
          <w:szCs w:val="32"/>
          <w:highlight w:val="none"/>
          <w:lang w:val="en-US" w:eastAsia="zh-CN" w:bidi="ar-SA"/>
        </w:rPr>
        <w:t>结合工信</w:t>
      </w:r>
      <w:r>
        <w:rPr>
          <w:rFonts w:hint="eastAsia" w:ascii="Times New Roman" w:hAnsi="Times New Roman" w:eastAsia="仿宋_GB2312" w:cs="Times New Roman"/>
          <w:color w:val="auto"/>
          <w:kern w:val="2"/>
          <w:sz w:val="32"/>
          <w:szCs w:val="32"/>
          <w:highlight w:val="none"/>
          <w:lang w:val="en-US" w:eastAsia="zh-CN" w:bidi="ar-SA"/>
        </w:rPr>
        <w:t>领域</w:t>
      </w:r>
      <w:r>
        <w:rPr>
          <w:rFonts w:hint="default" w:ascii="Times New Roman" w:hAnsi="Times New Roman" w:eastAsia="仿宋_GB2312" w:cs="Times New Roman"/>
          <w:color w:val="auto"/>
          <w:kern w:val="2"/>
          <w:sz w:val="32"/>
          <w:szCs w:val="32"/>
          <w:highlight w:val="none"/>
          <w:lang w:val="en-US" w:eastAsia="zh-CN" w:bidi="ar-SA"/>
        </w:rPr>
        <w:t>工作实际</w:t>
      </w:r>
      <w:r>
        <w:rPr>
          <w:rFonts w:hint="eastAsia"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细化任务分工，</w:t>
      </w:r>
      <w:r>
        <w:rPr>
          <w:rFonts w:hint="eastAsia" w:ascii="Times New Roman" w:hAnsi="Times New Roman" w:eastAsia="仿宋_GB2312" w:cs="Times New Roman"/>
          <w:color w:val="auto"/>
          <w:kern w:val="2"/>
          <w:sz w:val="32"/>
          <w:szCs w:val="32"/>
          <w:highlight w:val="none"/>
          <w:lang w:val="en-US" w:eastAsia="zh-CN" w:bidi="ar-SA"/>
        </w:rPr>
        <w:t>有力有序</w:t>
      </w:r>
      <w:r>
        <w:rPr>
          <w:rFonts w:hint="default" w:ascii="Times New Roman" w:hAnsi="Times New Roman" w:eastAsia="仿宋_GB2312" w:cs="Times New Roman"/>
          <w:color w:val="auto"/>
          <w:kern w:val="2"/>
          <w:sz w:val="32"/>
          <w:szCs w:val="32"/>
          <w:highlight w:val="none"/>
          <w:lang w:val="en-US" w:eastAsia="zh-CN" w:bidi="ar-SA"/>
        </w:rPr>
        <w:t>推动各项</w:t>
      </w:r>
      <w:r>
        <w:rPr>
          <w:rFonts w:hint="eastAsia" w:ascii="Times New Roman" w:hAnsi="Times New Roman" w:cs="Times New Roman"/>
          <w:color w:val="auto"/>
          <w:kern w:val="2"/>
          <w:sz w:val="32"/>
          <w:szCs w:val="32"/>
          <w:highlight w:val="none"/>
          <w:lang w:val="en-US" w:eastAsia="zh-CN" w:bidi="ar-SA"/>
        </w:rPr>
        <w:t>政府信息</w:t>
      </w:r>
      <w:r>
        <w:rPr>
          <w:rFonts w:hint="default" w:ascii="Times New Roman" w:hAnsi="Times New Roman" w:eastAsia="仿宋_GB2312" w:cs="Times New Roman"/>
          <w:color w:val="auto"/>
          <w:kern w:val="2"/>
          <w:sz w:val="32"/>
          <w:szCs w:val="32"/>
          <w:highlight w:val="none"/>
          <w:lang w:val="en-US" w:eastAsia="zh-CN" w:bidi="ar-SA"/>
        </w:rPr>
        <w:t>公开</w:t>
      </w:r>
      <w:r>
        <w:rPr>
          <w:rFonts w:hint="eastAsia" w:ascii="Times New Roman" w:hAnsi="Times New Roman" w:cs="Times New Roman"/>
          <w:color w:val="auto"/>
          <w:kern w:val="2"/>
          <w:sz w:val="32"/>
          <w:szCs w:val="32"/>
          <w:highlight w:val="none"/>
          <w:lang w:val="en-US" w:eastAsia="zh-CN" w:bidi="ar-SA"/>
        </w:rPr>
        <w:t>工作</w:t>
      </w:r>
      <w:r>
        <w:rPr>
          <w:rFonts w:hint="default" w:ascii="Times New Roman" w:hAnsi="Times New Roman" w:eastAsia="仿宋_GB2312" w:cs="Times New Roman"/>
          <w:color w:val="auto"/>
          <w:kern w:val="2"/>
          <w:sz w:val="32"/>
          <w:szCs w:val="32"/>
          <w:highlight w:val="none"/>
          <w:lang w:val="en-US" w:eastAsia="zh-CN" w:bidi="ar-SA"/>
        </w:rPr>
        <w:t>任务落实到位。</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color w:val="0000FF"/>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3.人大代表建议和政协提案办理情况方面。2025年，滕州市工业和信息化局办理枣庄政协提案6件、滕州人大建议8件、滕州政协提案27件，均已办结。</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4.开展政务公开创新方面。滕州市工业和信息化局采取线上线下相结合等方式，不断创新</w:t>
      </w:r>
      <w:r>
        <w:rPr>
          <w:rFonts w:hint="eastAsia" w:ascii="Times New Roman" w:hAnsi="Times New Roman" w:cs="Times New Roman"/>
          <w:color w:val="auto"/>
          <w:kern w:val="2"/>
          <w:sz w:val="32"/>
          <w:szCs w:val="32"/>
          <w:highlight w:val="none"/>
          <w:lang w:val="en-US" w:eastAsia="zh-CN" w:bidi="ar-SA"/>
        </w:rPr>
        <w:t>政府信息</w:t>
      </w:r>
      <w:r>
        <w:rPr>
          <w:rFonts w:hint="eastAsia" w:ascii="Times New Roman" w:hAnsi="Times New Roman" w:eastAsia="仿宋_GB2312" w:cs="Times New Roman"/>
          <w:color w:val="auto"/>
          <w:kern w:val="2"/>
          <w:sz w:val="32"/>
          <w:szCs w:val="32"/>
          <w:highlight w:val="none"/>
          <w:lang w:val="en-US" w:eastAsia="zh-CN" w:bidi="ar-SA"/>
        </w:rPr>
        <w:t>公开形式，保障信息公开工作规范、有序开展。</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5.本单位政府信息公开工作年度报告数据统计需要说明的事项：无。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6.其他有关文件专门要求通过政府信息公开工作年度报告予以报告的事项：无。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7.本报告的电子版可在“中国滕州网”（www.tengzhou.gov.cn）网站查询和下载。如对本报告有任何疑问，请与滕州市工业和信息化局综合法规科联系。（地址：山东省滕州市北辛中路政务中心0529房间，联系电话：0632</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5502160，电子邮箱：tzjxjzhk@163.com。)</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Y2MyMWZhNGY4OTcyOWQzYWM0YjhlMjAxM2RlODQifQ=="/>
  </w:docVars>
  <w:rsids>
    <w:rsidRoot w:val="00000000"/>
    <w:rsid w:val="00B5373B"/>
    <w:rsid w:val="02232ACA"/>
    <w:rsid w:val="0324475C"/>
    <w:rsid w:val="03A320AB"/>
    <w:rsid w:val="057B7A05"/>
    <w:rsid w:val="05CF793B"/>
    <w:rsid w:val="06490DA5"/>
    <w:rsid w:val="07E51502"/>
    <w:rsid w:val="0A5A5CE7"/>
    <w:rsid w:val="0C541CC6"/>
    <w:rsid w:val="0C810032"/>
    <w:rsid w:val="0DC45C7F"/>
    <w:rsid w:val="0EAD0922"/>
    <w:rsid w:val="0EBF3DF5"/>
    <w:rsid w:val="0ED4186F"/>
    <w:rsid w:val="0F977B31"/>
    <w:rsid w:val="11162173"/>
    <w:rsid w:val="11360C84"/>
    <w:rsid w:val="12A644BF"/>
    <w:rsid w:val="149B66DD"/>
    <w:rsid w:val="18721A3A"/>
    <w:rsid w:val="18874ECB"/>
    <w:rsid w:val="1B112B91"/>
    <w:rsid w:val="1D3846F6"/>
    <w:rsid w:val="1E0068A1"/>
    <w:rsid w:val="1ED41333"/>
    <w:rsid w:val="1EFA0DBC"/>
    <w:rsid w:val="206A4930"/>
    <w:rsid w:val="22617B2B"/>
    <w:rsid w:val="22794E74"/>
    <w:rsid w:val="228F28EA"/>
    <w:rsid w:val="24A50EE7"/>
    <w:rsid w:val="24F20F0E"/>
    <w:rsid w:val="256708C6"/>
    <w:rsid w:val="27851763"/>
    <w:rsid w:val="28956780"/>
    <w:rsid w:val="28A71BB2"/>
    <w:rsid w:val="28C606E7"/>
    <w:rsid w:val="2B3B360F"/>
    <w:rsid w:val="2EEA16D9"/>
    <w:rsid w:val="2F616747"/>
    <w:rsid w:val="2FDC1F48"/>
    <w:rsid w:val="31BB1031"/>
    <w:rsid w:val="32D714C8"/>
    <w:rsid w:val="32EB4869"/>
    <w:rsid w:val="3390372F"/>
    <w:rsid w:val="33AF4B9A"/>
    <w:rsid w:val="34FF56AD"/>
    <w:rsid w:val="350B21A2"/>
    <w:rsid w:val="35415CC5"/>
    <w:rsid w:val="35CB37E1"/>
    <w:rsid w:val="3614665A"/>
    <w:rsid w:val="36A74218"/>
    <w:rsid w:val="374E46CA"/>
    <w:rsid w:val="375C34D6"/>
    <w:rsid w:val="3783993D"/>
    <w:rsid w:val="37F4A032"/>
    <w:rsid w:val="39B90520"/>
    <w:rsid w:val="3A3714EF"/>
    <w:rsid w:val="3A5B630E"/>
    <w:rsid w:val="3A9F87BD"/>
    <w:rsid w:val="3AF92B9E"/>
    <w:rsid w:val="3D624A2B"/>
    <w:rsid w:val="3DD53A7C"/>
    <w:rsid w:val="3E164772"/>
    <w:rsid w:val="3EBB1D70"/>
    <w:rsid w:val="3EEF7756"/>
    <w:rsid w:val="3EF21DDE"/>
    <w:rsid w:val="3FD7401B"/>
    <w:rsid w:val="3FD84D4A"/>
    <w:rsid w:val="3FF9589B"/>
    <w:rsid w:val="3FFFDB23"/>
    <w:rsid w:val="42832E2D"/>
    <w:rsid w:val="42AC4C0A"/>
    <w:rsid w:val="477E64B7"/>
    <w:rsid w:val="4A1C2405"/>
    <w:rsid w:val="4AE40A60"/>
    <w:rsid w:val="4AEC1DD8"/>
    <w:rsid w:val="4BFC604B"/>
    <w:rsid w:val="4C080E93"/>
    <w:rsid w:val="4D7C3CFA"/>
    <w:rsid w:val="4DA50D3D"/>
    <w:rsid w:val="4DCC07AF"/>
    <w:rsid w:val="4FDFB13E"/>
    <w:rsid w:val="50E22C1F"/>
    <w:rsid w:val="536A616D"/>
    <w:rsid w:val="546926EB"/>
    <w:rsid w:val="54A13C33"/>
    <w:rsid w:val="56210428"/>
    <w:rsid w:val="568578F8"/>
    <w:rsid w:val="57A355B7"/>
    <w:rsid w:val="59087C19"/>
    <w:rsid w:val="592926F2"/>
    <w:rsid w:val="5C2313A4"/>
    <w:rsid w:val="5C891B7C"/>
    <w:rsid w:val="5EFD263A"/>
    <w:rsid w:val="60922013"/>
    <w:rsid w:val="60FA4DF7"/>
    <w:rsid w:val="60FC29B3"/>
    <w:rsid w:val="61C63D38"/>
    <w:rsid w:val="62137DCA"/>
    <w:rsid w:val="643575AD"/>
    <w:rsid w:val="66C33328"/>
    <w:rsid w:val="67F9A289"/>
    <w:rsid w:val="68A4312B"/>
    <w:rsid w:val="6A770F48"/>
    <w:rsid w:val="6BFD6344"/>
    <w:rsid w:val="6C7D4B2E"/>
    <w:rsid w:val="6DBFF9D3"/>
    <w:rsid w:val="6E6C09B6"/>
    <w:rsid w:val="6FF7488A"/>
    <w:rsid w:val="7055578D"/>
    <w:rsid w:val="71237BC5"/>
    <w:rsid w:val="717A163C"/>
    <w:rsid w:val="728D3603"/>
    <w:rsid w:val="72DC6200"/>
    <w:rsid w:val="7315161C"/>
    <w:rsid w:val="73CD7F8D"/>
    <w:rsid w:val="73FEB13A"/>
    <w:rsid w:val="74945D2F"/>
    <w:rsid w:val="74A52E74"/>
    <w:rsid w:val="76A35191"/>
    <w:rsid w:val="77E73886"/>
    <w:rsid w:val="77EF7135"/>
    <w:rsid w:val="77F7AD4C"/>
    <w:rsid w:val="79111D38"/>
    <w:rsid w:val="79DEB4B4"/>
    <w:rsid w:val="7B1D0A07"/>
    <w:rsid w:val="7B77042E"/>
    <w:rsid w:val="7BA6526A"/>
    <w:rsid w:val="7BFED361"/>
    <w:rsid w:val="7BFF5920"/>
    <w:rsid w:val="7D3B5AC2"/>
    <w:rsid w:val="7D6F1D83"/>
    <w:rsid w:val="7D9FF7A4"/>
    <w:rsid w:val="7DF75B4D"/>
    <w:rsid w:val="7ED76476"/>
    <w:rsid w:val="7F6820BF"/>
    <w:rsid w:val="7F7F8800"/>
    <w:rsid w:val="7FDFE550"/>
    <w:rsid w:val="7FFB0895"/>
    <w:rsid w:val="84F7DAD7"/>
    <w:rsid w:val="8BE622ED"/>
    <w:rsid w:val="8FCF0037"/>
    <w:rsid w:val="9BF986E6"/>
    <w:rsid w:val="AF5E48F0"/>
    <w:rsid w:val="B5F72C0F"/>
    <w:rsid w:val="B76F610A"/>
    <w:rsid w:val="BCFF077B"/>
    <w:rsid w:val="BFCFD347"/>
    <w:rsid w:val="BFFB927B"/>
    <w:rsid w:val="D2FBB728"/>
    <w:rsid w:val="D5ED8957"/>
    <w:rsid w:val="D74FEFA4"/>
    <w:rsid w:val="D7F7326F"/>
    <w:rsid w:val="DB7A5B08"/>
    <w:rsid w:val="DB8F4F45"/>
    <w:rsid w:val="DD5D16D3"/>
    <w:rsid w:val="DEFBE8B7"/>
    <w:rsid w:val="DF7E13C1"/>
    <w:rsid w:val="DFB6889B"/>
    <w:rsid w:val="DFFF290E"/>
    <w:rsid w:val="EAF9CAEA"/>
    <w:rsid w:val="EED6E5B7"/>
    <w:rsid w:val="EFD6992A"/>
    <w:rsid w:val="EFEE045E"/>
    <w:rsid w:val="EFFDBCA5"/>
    <w:rsid w:val="F756657F"/>
    <w:rsid w:val="F76BD17B"/>
    <w:rsid w:val="F7951AA9"/>
    <w:rsid w:val="F7A4AE7C"/>
    <w:rsid w:val="F7FED180"/>
    <w:rsid w:val="FBBE110B"/>
    <w:rsid w:val="FBFF6E72"/>
    <w:rsid w:val="FEB7D018"/>
    <w:rsid w:val="FF9310A7"/>
    <w:rsid w:val="FFF575E5"/>
    <w:rsid w:val="FFF5C0D7"/>
    <w:rsid w:val="FFF5DE41"/>
    <w:rsid w:val="FFF713FC"/>
    <w:rsid w:val="FFF74061"/>
    <w:rsid w:val="FFF9D430"/>
    <w:rsid w:val="FFFE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仿宋_GB2312" w:hAnsi="仿宋_GB2312" w:eastAsia="仿宋_GB2312" w:cstheme="minorBidi"/>
      <w:sz w:val="32"/>
      <w:szCs w:val="22"/>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eastAsia="宋体" w:asciiTheme="minorAscii" w:hAnsiTheme="minorAscii"/>
      <w:b/>
      <w:color w:val="1E386B" w:themeColor="accent1" w:themeShade="80"/>
      <w:kern w:val="44"/>
      <w:sz w:val="30"/>
      <w:szCs w:val="24"/>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400" w:lineRule="exact"/>
      <w:ind w:firstLine="301" w:firstLineChars="100"/>
      <w:jc w:val="left"/>
      <w:outlineLvl w:val="1"/>
    </w:pPr>
    <w:rPr>
      <w:rFonts w:ascii="Arial" w:hAnsi="Arial" w:eastAsia="宋体"/>
      <w:b/>
      <w:color w:val="1E386B" w:themeColor="accent1" w:themeShade="80"/>
      <w:sz w:val="28"/>
    </w:rPr>
  </w:style>
  <w:style w:type="paragraph" w:styleId="4">
    <w:name w:val="heading 3"/>
    <w:basedOn w:val="1"/>
    <w:next w:val="1"/>
    <w:semiHidden/>
    <w:unhideWhenUsed/>
    <w:qFormat/>
    <w:uiPriority w:val="0"/>
    <w:pPr>
      <w:keepNext/>
      <w:keepLines/>
      <w:spacing w:beforeLines="0" w:beforeAutospacing="0" w:afterLines="0" w:afterAutospacing="0" w:line="240" w:lineRule="auto"/>
      <w:jc w:val="left"/>
      <w:outlineLvl w:val="2"/>
    </w:pPr>
    <w:rPr>
      <w:rFonts w:asciiTheme="minorAscii" w:hAnsiTheme="minorAscii"/>
      <w:b/>
      <w:color w:val="238F86" w:themeColor="accent5" w:themeShade="BF"/>
      <w14:shadow w14:blurRad="60007" w14:dist="200025" w14:dir="15000000" w14:sx="100000" w14:sy="30000" w14:kx="-1800000" w14:ky="0" w14:algn="bl">
        <w14:srgbClr w14:val="000000">
          <w14:alpha w14:val="68000"/>
        </w14:srgbClr>
      </w14:shadow>
      <w14:textFill>
        <w14:gradFill>
          <w14:gsLst>
            <w14:gs w14:pos="0">
              <w14:srgbClr w14:val="FE4444"/>
            </w14:gs>
            <w14:gs w14:pos="100000">
              <w14:srgbClr w14:val="832B2B"/>
            </w14:gs>
          </w14:gsLst>
          <w14:lin w14:ang="5400000" w14:scaled="0"/>
        </w14:gradFill>
      </w14:textFill>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latin typeface="仿宋_GB2312" panose="02010609030101010101" charset="-122"/>
                <a:ea typeface="仿宋_GB2312" panose="02010609030101010101" charset="-122"/>
              </a:rPr>
              <a:t>政府信息主动公开</a:t>
            </a:r>
            <a:endParaRPr sz="1600" b="1">
              <a:latin typeface="仿宋_GB2312" panose="02010609030101010101" charset="-122"/>
              <a:ea typeface="仿宋_GB2312" panose="0201060903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政府信息主动公开</c:v>
                </c:pt>
              </c:strCache>
            </c:strRef>
          </c:tx>
          <c:spPr>
            <a:solidFill>
              <a:schemeClr val="accent1"/>
            </a:solidFill>
            <a:ln>
              <a:noFill/>
            </a:ln>
            <a:effectLst/>
          </c:spPr>
          <c:invertIfNegative val="0"/>
          <c:dLbls>
            <c:delete val="1"/>
          </c:dLbls>
          <c:cat>
            <c:strRef>
              <c:f>Sheet1!$A$2:$A$4</c:f>
              <c:strCache>
                <c:ptCount val="3"/>
                <c:pt idx="0">
                  <c:v>信息公开页面</c:v>
                </c:pt>
                <c:pt idx="1">
                  <c:v>“本市动态”栏目</c:v>
                </c:pt>
                <c:pt idx="2">
                  <c:v>微信公众号</c:v>
                </c:pt>
              </c:strCache>
            </c:strRef>
          </c:cat>
          <c:val>
            <c:numRef>
              <c:f>Sheet1!$B$2:$B$4</c:f>
              <c:numCache>
                <c:formatCode>General</c:formatCode>
                <c:ptCount val="3"/>
                <c:pt idx="0">
                  <c:v>97</c:v>
                </c:pt>
                <c:pt idx="1">
                  <c:v>94</c:v>
                </c:pt>
                <c:pt idx="2">
                  <c:v>339</c:v>
                </c:pt>
              </c:numCache>
            </c:numRef>
          </c:val>
        </c:ser>
        <c:dLbls>
          <c:showLegendKey val="0"/>
          <c:showVal val="0"/>
          <c:showCatName val="0"/>
          <c:showSerName val="0"/>
          <c:showPercent val="0"/>
          <c:showBubbleSize val="0"/>
        </c:dLbls>
        <c:gapWidth val="219"/>
        <c:overlap val="-27"/>
        <c:axId val="387750562"/>
        <c:axId val="244993985"/>
      </c:barChart>
      <c:catAx>
        <c:axId val="387750562"/>
        <c:scaling>
          <c:orientation val="minMax"/>
        </c:scaling>
        <c:delete val="0"/>
        <c:axPos val="b"/>
        <c:majorTickMark val="none"/>
        <c:minorTickMark val="none"/>
        <c:tickLblPos val="nextTo"/>
        <c:spPr>
          <a:noFill/>
          <a:ln w="15875" cap="flat" cmpd="sng" algn="ctr">
            <a:solidFill>
              <a:schemeClr val="accent1"/>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244993985"/>
        <c:crosses val="autoZero"/>
        <c:auto val="1"/>
        <c:lblAlgn val="ctr"/>
        <c:lblOffset val="100"/>
        <c:noMultiLvlLbl val="0"/>
      </c:catAx>
      <c:valAx>
        <c:axId val="2449939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7505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lumMod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2933</Words>
  <Characters>3064</Characters>
  <Lines>1</Lines>
  <Paragraphs>1</Paragraphs>
  <TotalTime>1</TotalTime>
  <ScaleCrop>false</ScaleCrop>
  <LinksUpToDate>false</LinksUpToDate>
  <CharactersWithSpaces>3067</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2023-02-18T08:27:00Z</dcterms:created>
  <dc:creator>Administrator</dc:creator>
  <cp:lastModifiedBy>User</cp:lastModifiedBy>
  <cp:lastPrinted>2026-01-09T17:38:00Z</cp:lastPrinted>
  <dcterms:modified xsi:type="dcterms:W3CDTF">2026-01-12T14:48:23Z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F2C30CFB3F444ABC9D9EBD4D036D6E6E</vt:lpwstr>
  </property>
</Properties>
</file>