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8735B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outlineLvl w:val="9"/>
        <w:rPr>
          <w:rFonts w:hint="eastAsia" w:ascii="方正小标宋简体" w:hAnsi="方正小标宋简体" w:eastAsia="方正小标宋简体" w:cs="方正小标宋简体"/>
          <w:b w:val="0"/>
          <w:bCs/>
          <w:i w:val="0"/>
          <w:caps w:val="0"/>
          <w:color w:val="333333"/>
          <w:spacing w:val="-17"/>
          <w:sz w:val="44"/>
          <w:szCs w:val="44"/>
          <w:shd w:val="clear" w:color="auto" w:fill="FFFFFF"/>
          <w:lang w:val="en-US" w:eastAsia="zh-CN" w:bidi="ar-SA"/>
        </w:rPr>
      </w:pPr>
      <w:r>
        <w:rPr>
          <w:rFonts w:hint="eastAsia" w:ascii="方正小标宋简体" w:hAnsi="方正小标宋简体" w:eastAsia="方正小标宋简体" w:cs="方正小标宋简体"/>
          <w:b w:val="0"/>
          <w:bCs/>
          <w:i w:val="0"/>
          <w:caps w:val="0"/>
          <w:color w:val="333333"/>
          <w:spacing w:val="-17"/>
          <w:sz w:val="44"/>
          <w:szCs w:val="44"/>
          <w:shd w:val="clear" w:color="auto" w:fill="FFFFFF"/>
          <w:lang w:val="en-US" w:eastAsia="zh-CN" w:bidi="ar-SA"/>
        </w:rPr>
        <w:t>滕州市姜屯镇人民政府</w:t>
      </w:r>
    </w:p>
    <w:p w14:paraId="24F7E77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outlineLvl w:val="9"/>
        <w:rPr>
          <w:rFonts w:hint="eastAsia" w:ascii="方正小标宋简体" w:hAnsi="方正小标宋简体" w:eastAsia="方正小标宋简体" w:cs="方正小标宋简体"/>
          <w:b w:val="0"/>
          <w:bCs/>
          <w:i w:val="0"/>
          <w:caps w:val="0"/>
          <w:color w:val="333333"/>
          <w:spacing w:val="-17"/>
          <w:sz w:val="44"/>
          <w:szCs w:val="44"/>
          <w:shd w:val="clear" w:color="auto" w:fill="FFFFFF"/>
          <w:lang w:val="en-US" w:eastAsia="zh-CN" w:bidi="ar-SA"/>
        </w:rPr>
      </w:pPr>
      <w:r>
        <w:rPr>
          <w:rFonts w:hint="eastAsia" w:ascii="方正小标宋简体" w:hAnsi="方正小标宋简体" w:eastAsia="方正小标宋简体" w:cs="方正小标宋简体"/>
          <w:b w:val="0"/>
          <w:bCs/>
          <w:i w:val="0"/>
          <w:caps w:val="0"/>
          <w:color w:val="333333"/>
          <w:spacing w:val="-17"/>
          <w:sz w:val="44"/>
          <w:szCs w:val="44"/>
          <w:shd w:val="clear" w:color="auto" w:fill="FFFFFF"/>
          <w:lang w:val="en-US" w:eastAsia="zh-CN" w:bidi="ar-SA"/>
        </w:rPr>
        <w:t>2025年政府信息公开工作年度报告</w:t>
      </w:r>
    </w:p>
    <w:p w14:paraId="3B3BA88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仿宋_GB2312" w:hAnsi="仿宋_GB2312" w:eastAsia="仿宋_GB2312" w:cs="仿宋_GB2312"/>
          <w:color w:val="000000"/>
          <w:sz w:val="32"/>
          <w:szCs w:val="32"/>
          <w:shd w:val="clear" w:color="auto" w:fill="FFFFFF"/>
          <w:lang w:bidi="ar-SA"/>
        </w:rPr>
      </w:pPr>
    </w:p>
    <w:p w14:paraId="3472B7C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方正小标宋简体" w:hAnsi="方正小标宋简体" w:eastAsia="方正小标宋简体" w:cs="方正小标宋简体"/>
          <w:b w:val="0"/>
          <w:bCs/>
          <w:i w:val="0"/>
          <w:caps w:val="0"/>
          <w:color w:val="333333"/>
          <w:spacing w:val="-17"/>
          <w:sz w:val="44"/>
          <w:szCs w:val="44"/>
          <w:shd w:val="clear" w:color="auto" w:fill="FFFFFF"/>
          <w:lang w:val="en-US" w:eastAsia="zh-CN" w:bidi="ar-SA"/>
        </w:rPr>
      </w:pPr>
      <w:r>
        <w:rPr>
          <w:rFonts w:hint="eastAsia" w:ascii="仿宋_GB2312" w:hAnsi="仿宋_GB2312" w:eastAsia="仿宋_GB2312" w:cs="仿宋_GB2312"/>
          <w:color w:val="000000"/>
          <w:sz w:val="32"/>
          <w:szCs w:val="32"/>
          <w:shd w:val="clear" w:color="auto" w:fill="FFFFFF"/>
          <w:lang w:bidi="ar-SA"/>
        </w:rPr>
        <w:t>根据《中华人民共和国政府信息公开条例》规定和省政府办公厅、枣庄市政府办公室、滕州市政府办公室《关于做好202</w:t>
      </w:r>
      <w:r>
        <w:rPr>
          <w:rFonts w:hint="eastAsia" w:ascii="仿宋_GB2312" w:hAnsi="仿宋_GB2312" w:eastAsia="仿宋_GB2312" w:cs="仿宋_GB2312"/>
          <w:color w:val="000000"/>
          <w:sz w:val="32"/>
          <w:szCs w:val="32"/>
          <w:shd w:val="clear" w:color="auto" w:fill="FFFFFF"/>
          <w:lang w:val="en-US" w:eastAsia="zh-CN" w:bidi="ar-SA"/>
        </w:rPr>
        <w:t>5</w:t>
      </w:r>
      <w:r>
        <w:rPr>
          <w:rFonts w:hint="eastAsia" w:ascii="仿宋_GB2312" w:hAnsi="仿宋_GB2312" w:eastAsia="仿宋_GB2312" w:cs="仿宋_GB2312"/>
          <w:color w:val="000000"/>
          <w:sz w:val="32"/>
          <w:szCs w:val="32"/>
          <w:shd w:val="clear" w:color="auto" w:fill="FFFFFF"/>
          <w:lang w:bidi="ar-SA"/>
        </w:rPr>
        <w:t>年政府信息公开工作年度报告编制发布工作的通知》要求和有关文件要求，结合姜屯镇人民政府202</w:t>
      </w:r>
      <w:r>
        <w:rPr>
          <w:rFonts w:hint="eastAsia" w:ascii="仿宋_GB2312" w:hAnsi="仿宋_GB2312" w:eastAsia="仿宋_GB2312" w:cs="仿宋_GB2312"/>
          <w:color w:val="000000"/>
          <w:sz w:val="32"/>
          <w:szCs w:val="32"/>
          <w:shd w:val="clear" w:color="auto" w:fill="FFFFFF"/>
          <w:lang w:val="en-US" w:eastAsia="zh-CN" w:bidi="ar-SA"/>
        </w:rPr>
        <w:t>5</w:t>
      </w:r>
      <w:r>
        <w:rPr>
          <w:rFonts w:hint="eastAsia" w:ascii="仿宋_GB2312" w:hAnsi="仿宋_GB2312" w:eastAsia="仿宋_GB2312" w:cs="仿宋_GB2312"/>
          <w:color w:val="000000"/>
          <w:sz w:val="32"/>
          <w:szCs w:val="32"/>
          <w:shd w:val="clear" w:color="auto" w:fill="FFFFFF"/>
          <w:lang w:bidi="ar-SA"/>
        </w:rPr>
        <w:t>年度信息公开工作实际，编制本报告。报告主要内容包括:主动公开政府信息情况、依申请公开政府信息情况、建议提案办理公开情况、政府信息管理情况、公开平台建设情况、监督保障情况、政府信息公开工作存在的主要问题及改进情况等。现向社会公开姜屯镇人民政府202</w:t>
      </w:r>
      <w:r>
        <w:rPr>
          <w:rFonts w:hint="eastAsia" w:ascii="仿宋_GB2312" w:hAnsi="仿宋_GB2312" w:eastAsia="仿宋_GB2312" w:cs="仿宋_GB2312"/>
          <w:color w:val="000000"/>
          <w:sz w:val="32"/>
          <w:szCs w:val="32"/>
          <w:shd w:val="clear" w:color="auto" w:fill="FFFFFF"/>
          <w:lang w:val="en-US" w:eastAsia="zh-CN" w:bidi="ar-SA"/>
        </w:rPr>
        <w:t>5</w:t>
      </w:r>
      <w:r>
        <w:rPr>
          <w:rFonts w:hint="eastAsia" w:ascii="仿宋_GB2312" w:hAnsi="仿宋_GB2312" w:eastAsia="仿宋_GB2312" w:cs="仿宋_GB2312"/>
          <w:color w:val="000000"/>
          <w:sz w:val="32"/>
          <w:szCs w:val="32"/>
          <w:shd w:val="clear" w:color="auto" w:fill="FFFFFF"/>
          <w:lang w:bidi="ar-SA"/>
        </w:rPr>
        <w:t>年政府信息公开工作年度报告。本报告所列数据的统计时限自202</w:t>
      </w:r>
      <w:r>
        <w:rPr>
          <w:rFonts w:hint="eastAsia" w:ascii="仿宋_GB2312" w:hAnsi="仿宋_GB2312" w:eastAsia="仿宋_GB2312" w:cs="仿宋_GB2312"/>
          <w:color w:val="000000"/>
          <w:sz w:val="32"/>
          <w:szCs w:val="32"/>
          <w:shd w:val="clear" w:color="auto" w:fill="FFFFFF"/>
          <w:lang w:val="en-US" w:eastAsia="zh-CN" w:bidi="ar-SA"/>
        </w:rPr>
        <w:t>5</w:t>
      </w:r>
      <w:r>
        <w:rPr>
          <w:rFonts w:hint="eastAsia" w:ascii="仿宋_GB2312" w:hAnsi="仿宋_GB2312" w:eastAsia="仿宋_GB2312" w:cs="仿宋_GB2312"/>
          <w:color w:val="000000"/>
          <w:sz w:val="32"/>
          <w:szCs w:val="32"/>
          <w:shd w:val="clear" w:color="auto" w:fill="FFFFFF"/>
          <w:lang w:bidi="ar-SA"/>
        </w:rPr>
        <w:t>年1月1日起至202</w:t>
      </w:r>
      <w:r>
        <w:rPr>
          <w:rFonts w:hint="eastAsia" w:ascii="仿宋_GB2312" w:hAnsi="仿宋_GB2312" w:eastAsia="仿宋_GB2312" w:cs="仿宋_GB2312"/>
          <w:color w:val="000000"/>
          <w:sz w:val="32"/>
          <w:szCs w:val="32"/>
          <w:shd w:val="clear" w:color="auto" w:fill="FFFFFF"/>
          <w:lang w:val="en-US" w:eastAsia="zh-CN" w:bidi="ar-SA"/>
        </w:rPr>
        <w:t>5</w:t>
      </w:r>
      <w:r>
        <w:rPr>
          <w:rFonts w:hint="eastAsia" w:ascii="仿宋_GB2312" w:hAnsi="仿宋_GB2312" w:eastAsia="仿宋_GB2312" w:cs="仿宋_GB2312"/>
          <w:color w:val="000000"/>
          <w:sz w:val="32"/>
          <w:szCs w:val="32"/>
          <w:shd w:val="clear" w:color="auto" w:fill="FFFFFF"/>
          <w:lang w:bidi="ar-SA"/>
        </w:rPr>
        <w:t>年12月31日止。</w:t>
      </w:r>
    </w:p>
    <w:p w14:paraId="224D1EE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黑体" w:hAnsi="黑体" w:eastAsia="黑体" w:cs="黑体"/>
          <w:b w:val="0"/>
          <w:bCs/>
          <w:i w:val="0"/>
          <w:iCs w:val="0"/>
          <w:caps w:val="0"/>
          <w:color w:val="000000"/>
          <w:spacing w:val="0"/>
          <w:sz w:val="32"/>
          <w:szCs w:val="32"/>
        </w:rPr>
      </w:pPr>
      <w:r>
        <w:rPr>
          <w:rStyle w:val="7"/>
          <w:rFonts w:hint="eastAsia" w:ascii="黑体" w:hAnsi="黑体" w:eastAsia="黑体" w:cs="黑体"/>
          <w:b w:val="0"/>
          <w:bCs/>
          <w:i w:val="0"/>
          <w:iCs w:val="0"/>
          <w:caps w:val="0"/>
          <w:color w:val="000000"/>
          <w:spacing w:val="0"/>
          <w:sz w:val="32"/>
          <w:szCs w:val="32"/>
          <w:shd w:val="clear" w:fill="FFFFFF"/>
        </w:rPr>
        <w:t>一、总体情况</w:t>
      </w:r>
      <w:bookmarkStart w:id="3" w:name="_GoBack"/>
      <w:bookmarkEnd w:id="3"/>
    </w:p>
    <w:p w14:paraId="5C95680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color w:val="000000"/>
          <w:sz w:val="32"/>
          <w:szCs w:val="32"/>
          <w:shd w:val="clear" w:color="auto" w:fill="FFFFFF"/>
          <w:lang w:bidi="ar-SA"/>
        </w:rPr>
      </w:pPr>
      <w:r>
        <w:rPr>
          <w:rFonts w:hint="eastAsia" w:ascii="仿宋_GB2312" w:hAnsi="仿宋_GB2312" w:eastAsia="仿宋_GB2312" w:cs="仿宋_GB2312"/>
          <w:color w:val="000000"/>
          <w:sz w:val="32"/>
          <w:szCs w:val="32"/>
          <w:shd w:val="clear" w:color="auto" w:fill="FFFFFF"/>
          <w:lang w:bidi="ar-SA"/>
        </w:rPr>
        <w:t>202</w:t>
      </w:r>
      <w:r>
        <w:rPr>
          <w:rFonts w:hint="eastAsia" w:ascii="仿宋_GB2312" w:hAnsi="仿宋_GB2312" w:eastAsia="仿宋_GB2312" w:cs="仿宋_GB2312"/>
          <w:color w:val="000000"/>
          <w:sz w:val="32"/>
          <w:szCs w:val="32"/>
          <w:shd w:val="clear" w:color="auto" w:fill="FFFFFF"/>
          <w:lang w:val="en-US" w:eastAsia="zh-CN" w:bidi="ar-SA"/>
        </w:rPr>
        <w:t>5</w:t>
      </w:r>
      <w:r>
        <w:rPr>
          <w:rFonts w:hint="eastAsia" w:ascii="仿宋_GB2312" w:hAnsi="仿宋_GB2312" w:eastAsia="仿宋_GB2312" w:cs="仿宋_GB2312"/>
          <w:color w:val="000000"/>
          <w:sz w:val="32"/>
          <w:szCs w:val="32"/>
          <w:shd w:val="clear" w:color="auto" w:fill="FFFFFF"/>
          <w:lang w:bidi="ar-SA"/>
        </w:rPr>
        <w:t>年以来，姜屯镇坚持以习近平新时代中国特色社会主义思想为指导，秉持“以人为本、服务群众”的工作思路，不断加强组织领导，明确责任分工，夯实工作基础，提升服务质量，优化政府信息公开及公民的依申请公开内容，提升政府工作透明度，保障公民知情权、监督权，另外，紧紧围绕上级关于全面深化政务公开的有关部署，准确把握新时代政务公开工作的职责定位和面临的新形势，细化分解任务，加大督导力度，坚持“以公开为常态、不公开为例外”原则，全面提升政务公开质量和实效，有效地保障了公民的知情权，努力打造法治政府、创新政府、廉洁政府和服务型政府。</w:t>
      </w:r>
    </w:p>
    <w:p w14:paraId="78A9B89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 w:lineRule="atLeast"/>
        <w:ind w:left="0" w:leftChars="0" w:right="0" w:rightChars="0" w:firstLine="0"/>
        <w:jc w:val="center"/>
        <w:textAlignment w:val="auto"/>
        <w:rPr>
          <w:rFonts w:hint="default" w:ascii="ÃƒÂ¥Ã‚Â¾Ã‚Â®ÃƒÂ¨Ã‚Â½Ã‚Â¯ÃƒÂ©Ã¢â" w:hAnsi="ÃƒÂ¥Ã‚Â¾Ã‚Â®ÃƒÂ¨Ã‚Â½Ã‚Â¯ÃƒÂ©Ã¢â" w:eastAsia="ÃƒÂ¥Ã‚Â¾Ã‚Â®ÃƒÂ¨Ã‚Â½Ã‚Â¯ÃƒÂ©Ã¢â" w:cs="ÃƒÂ¥Ã‚Â¾Ã‚Â®ÃƒÂ¨Ã‚Â½Ã‚Â¯ÃƒÂ©Ã¢â"/>
          <w:i w:val="0"/>
          <w:iCs w:val="0"/>
          <w:caps w:val="0"/>
          <w:color w:val="000000"/>
          <w:spacing w:val="0"/>
          <w:sz w:val="24"/>
          <w:szCs w:val="24"/>
          <w:shd w:val="clear" w:fill="FFFFFF"/>
        </w:rPr>
      </w:pPr>
      <w:r>
        <w:rPr>
          <w:rFonts w:hint="default" w:ascii="ÃƒÂ¥Ã‚Â¾Ã‚Â®ÃƒÂ¨Ã‚Â½Ã‚Â¯ÃƒÂ©Ã¢â" w:hAnsi="ÃƒÂ¥Ã‚Â¾Ã‚Â®ÃƒÂ¨Ã‚Â½Ã‚Â¯ÃƒÂ©Ã¢â" w:eastAsia="ÃƒÂ¥Ã‚Â¾Ã‚Â®ÃƒÂ¨Ã‚Â½Ã‚Â¯ÃƒÂ©Ã¢â" w:cs="ÃƒÂ¥Ã‚Â¾Ã‚Â®ÃƒÂ¨Ã‚Â½Ã‚Â¯ÃƒÂ©Ã¢â"/>
          <w:i w:val="0"/>
          <w:iCs w:val="0"/>
          <w:caps w:val="0"/>
          <w:color w:val="000000"/>
          <w:spacing w:val="0"/>
          <w:sz w:val="24"/>
          <w:szCs w:val="24"/>
          <w:shd w:val="clear" w:fill="FFFFFF"/>
        </w:rPr>
        <w:drawing>
          <wp:inline distT="0" distB="0" distL="114300" distR="114300">
            <wp:extent cx="5170805" cy="3115945"/>
            <wp:effectExtent l="0" t="0" r="10795" b="8255"/>
            <wp:docPr id="1" name="图片 1" descr="微信图片_202401221127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40122112713.jpg"/>
                    <pic:cNvPicPr>
                      <a:picLocks noChangeAspect="1"/>
                    </pic:cNvPicPr>
                  </pic:nvPicPr>
                  <pic:blipFill>
                    <a:blip r:embed="rId5"/>
                    <a:stretch>
                      <a:fillRect/>
                    </a:stretch>
                  </pic:blipFill>
                  <pic:spPr>
                    <a:xfrm>
                      <a:off x="0" y="0"/>
                      <a:ext cx="5170805" cy="3115945"/>
                    </a:xfrm>
                    <a:prstGeom prst="rect">
                      <a:avLst/>
                    </a:prstGeom>
                    <a:noFill/>
                    <a:ln w="9525">
                      <a:noFill/>
                    </a:ln>
                  </pic:spPr>
                </pic:pic>
              </a:graphicData>
            </a:graphic>
          </wp:inline>
        </w:drawing>
      </w:r>
    </w:p>
    <w:p w14:paraId="76FBBAC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 w:lineRule="atLeast"/>
        <w:ind w:left="0" w:leftChars="0" w:right="0" w:rightChars="0" w:firstLine="0"/>
        <w:jc w:val="center"/>
        <w:textAlignment w:val="auto"/>
        <w:rPr>
          <w:rFonts w:hint="default" w:ascii="ÃƒÂ¥Ã‚Â¾Ã‚Â®ÃƒÂ¨Ã‚Â½Ã‚Â¯ÃƒÂ©Ã¢â" w:hAnsi="ÃƒÂ¥Ã‚Â¾Ã‚Â®ÃƒÂ¨Ã‚Â½Ã‚Â¯ÃƒÂ©Ã¢â" w:eastAsia="ÃƒÂ¥Ã‚Â¾Ã‚Â®ÃƒÂ¨Ã‚Â½Ã‚Â¯ÃƒÂ©Ã¢â" w:cs="ÃƒÂ¥Ã‚Â¾Ã‚Â®ÃƒÂ¨Ã‚Â½Ã‚Â¯ÃƒÂ©Ã¢â"/>
          <w:i w:val="0"/>
          <w:iCs w:val="0"/>
          <w:caps w:val="0"/>
          <w:color w:val="000000"/>
          <w:spacing w:val="0"/>
          <w:sz w:val="24"/>
          <w:szCs w:val="24"/>
        </w:rPr>
      </w:pPr>
      <w:r>
        <w:rPr>
          <w:rFonts w:hint="eastAsia" w:ascii="ÃƒÂ¥Ã‚Â¾Ã‚Â®ÃƒÂ¨Ã‚Â½Ã‚Â¯ÃƒÂ©Ã¢â" w:hAnsi="ÃƒÂ¥Ã‚Â¾Ã‚Â®ÃƒÂ¨Ã‚Â½Ã‚Â¯ÃƒÂ©Ã¢â" w:eastAsia="宋体" w:cs="ÃƒÂ¥Ã‚Â¾Ã‚Â®ÃƒÂ¨Ã‚Â½Ã‚Â¯ÃƒÂ©Ã¢â"/>
          <w:i w:val="0"/>
          <w:iCs w:val="0"/>
          <w:caps w:val="0"/>
          <w:color w:val="000000"/>
          <w:spacing w:val="0"/>
          <w:sz w:val="24"/>
          <w:szCs w:val="24"/>
          <w:shd w:val="clear" w:fill="FFFFFF"/>
          <w:lang w:eastAsia="zh-CN"/>
        </w:rPr>
        <w:drawing>
          <wp:inline distT="0" distB="0" distL="114300" distR="114300">
            <wp:extent cx="5160645" cy="2863850"/>
            <wp:effectExtent l="0" t="0" r="1905" b="12700"/>
            <wp:docPr id="3" name="图片 3" descr="eef63ef890fcec9055e4e94223d9989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ef63ef890fcec9055e4e94223d9989f"/>
                    <pic:cNvPicPr>
                      <a:picLocks noChangeAspect="1"/>
                    </pic:cNvPicPr>
                  </pic:nvPicPr>
                  <pic:blipFill>
                    <a:blip r:embed="rId6"/>
                    <a:stretch>
                      <a:fillRect/>
                    </a:stretch>
                  </pic:blipFill>
                  <pic:spPr>
                    <a:xfrm>
                      <a:off x="0" y="0"/>
                      <a:ext cx="5160645" cy="2863850"/>
                    </a:xfrm>
                    <a:prstGeom prst="rect">
                      <a:avLst/>
                    </a:prstGeom>
                  </pic:spPr>
                </pic:pic>
              </a:graphicData>
            </a:graphic>
          </wp:inline>
        </w:drawing>
      </w:r>
    </w:p>
    <w:p w14:paraId="6A701EF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楷体" w:hAnsi="楷体" w:eastAsia="楷体" w:cs="楷体"/>
          <w:color w:val="000000"/>
          <w:sz w:val="32"/>
          <w:szCs w:val="32"/>
          <w:shd w:val="clear" w:color="auto" w:fill="FFFFFF"/>
          <w:lang w:bidi="ar-SA"/>
        </w:rPr>
      </w:pPr>
      <w:r>
        <w:rPr>
          <w:rFonts w:hint="eastAsia" w:ascii="楷体" w:hAnsi="楷体" w:eastAsia="楷体" w:cs="楷体"/>
          <w:color w:val="000000"/>
          <w:sz w:val="32"/>
          <w:szCs w:val="32"/>
          <w:shd w:val="clear" w:color="auto" w:fill="FFFFFF"/>
          <w:lang w:bidi="ar-SA"/>
        </w:rPr>
        <w:t>（一）政府信息主动公开情况</w:t>
      </w:r>
    </w:p>
    <w:p w14:paraId="7D877E5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color w:val="000000"/>
          <w:sz w:val="32"/>
          <w:szCs w:val="32"/>
          <w:shd w:val="clear" w:color="auto" w:fill="FFFFFF"/>
          <w:lang w:bidi="ar-SA"/>
        </w:rPr>
      </w:pPr>
      <w:bookmarkStart w:id="0" w:name="OLE_LINK1"/>
      <w:bookmarkEnd w:id="0"/>
      <w:r>
        <w:rPr>
          <w:rFonts w:hint="eastAsia" w:ascii="仿宋_GB2312" w:hAnsi="仿宋_GB2312" w:eastAsia="仿宋_GB2312" w:cs="仿宋_GB2312"/>
          <w:color w:val="000000"/>
          <w:sz w:val="32"/>
          <w:szCs w:val="32"/>
          <w:shd w:val="clear" w:color="auto" w:fill="FFFFFF"/>
          <w:lang w:bidi="ar-SA"/>
        </w:rPr>
        <w:t>姜屯镇通过滕州市</w:t>
      </w:r>
      <w:r>
        <w:rPr>
          <w:rFonts w:hint="eastAsia" w:ascii="仿宋_GB2312" w:hAnsi="仿宋_GB2312" w:eastAsia="仿宋_GB2312" w:cs="仿宋_GB2312"/>
          <w:color w:val="000000"/>
          <w:sz w:val="32"/>
          <w:szCs w:val="32"/>
          <w:shd w:val="clear" w:color="auto" w:fill="FFFFFF"/>
          <w:lang w:val="en-US" w:eastAsia="zh-CN" w:bidi="ar-SA"/>
        </w:rPr>
        <w:t>政府信息公开页面</w:t>
      </w:r>
      <w:r>
        <w:rPr>
          <w:rFonts w:hint="eastAsia" w:ascii="仿宋_GB2312" w:hAnsi="仿宋_GB2312" w:eastAsia="仿宋_GB2312" w:cs="仿宋_GB2312"/>
          <w:color w:val="000000"/>
          <w:sz w:val="32"/>
          <w:szCs w:val="32"/>
          <w:shd w:val="clear" w:color="auto" w:fill="FFFFFF"/>
          <w:lang w:bidi="ar-SA"/>
        </w:rPr>
        <w:t>、</w:t>
      </w:r>
      <w:r>
        <w:rPr>
          <w:rFonts w:hint="eastAsia" w:ascii="仿宋_GB2312" w:hAnsi="仿宋_GB2312" w:eastAsia="仿宋_GB2312" w:cs="仿宋_GB2312"/>
          <w:color w:val="000000"/>
          <w:sz w:val="32"/>
          <w:szCs w:val="32"/>
          <w:shd w:val="clear" w:color="auto" w:fill="FFFFFF"/>
          <w:lang w:eastAsia="zh-CN" w:bidi="ar-SA"/>
        </w:rPr>
        <w:t>滕州市人民政府网站</w:t>
      </w:r>
      <w:r>
        <w:rPr>
          <w:rFonts w:hint="eastAsia" w:ascii="仿宋_GB2312" w:hAnsi="仿宋_GB2312" w:eastAsia="仿宋_GB2312" w:cs="仿宋_GB2312"/>
          <w:color w:val="000000"/>
          <w:sz w:val="32"/>
          <w:szCs w:val="32"/>
          <w:shd w:val="clear" w:color="auto" w:fill="FFFFFF"/>
          <w:lang w:bidi="ar-SA"/>
        </w:rPr>
        <w:t>等多种途径，及时准确地公开政府信息，共累计更新发布政务信息</w:t>
      </w:r>
      <w:r>
        <w:rPr>
          <w:rFonts w:hint="eastAsia" w:ascii="仿宋_GB2312" w:hAnsi="仿宋_GB2312" w:eastAsia="仿宋_GB2312" w:cs="仿宋_GB2312"/>
          <w:color w:val="000000"/>
          <w:sz w:val="32"/>
          <w:szCs w:val="32"/>
          <w:shd w:val="clear" w:color="auto" w:fill="FFFFFF"/>
          <w:lang w:val="en-US" w:eastAsia="zh-CN" w:bidi="ar-SA"/>
        </w:rPr>
        <w:t>448</w:t>
      </w:r>
      <w:r>
        <w:rPr>
          <w:rFonts w:hint="eastAsia" w:ascii="仿宋_GB2312" w:hAnsi="仿宋_GB2312" w:eastAsia="仿宋_GB2312" w:cs="仿宋_GB2312"/>
          <w:color w:val="000000"/>
          <w:sz w:val="32"/>
          <w:szCs w:val="32"/>
          <w:shd w:val="clear" w:color="auto" w:fill="FFFFFF"/>
          <w:lang w:bidi="ar-SA"/>
        </w:rPr>
        <w:t>余篇，</w:t>
      </w:r>
      <w:r>
        <w:rPr>
          <w:rFonts w:hint="eastAsia" w:ascii="仿宋_GB2312" w:hAnsi="仿宋_GB2312" w:eastAsia="仿宋_GB2312" w:cs="仿宋_GB2312"/>
          <w:color w:val="000000"/>
          <w:sz w:val="32"/>
          <w:szCs w:val="32"/>
          <w:shd w:val="clear" w:color="auto" w:fill="FFFFFF"/>
          <w:lang w:eastAsia="zh-CN" w:bidi="ar-SA"/>
        </w:rPr>
        <w:t>滕州市人民政府网站</w:t>
      </w:r>
      <w:r>
        <w:rPr>
          <w:rFonts w:hint="eastAsia" w:ascii="仿宋_GB2312" w:hAnsi="仿宋_GB2312" w:eastAsia="仿宋_GB2312" w:cs="仿宋_GB2312"/>
          <w:color w:val="000000"/>
          <w:sz w:val="32"/>
          <w:szCs w:val="32"/>
          <w:shd w:val="clear" w:color="auto" w:fill="FFFFFF"/>
          <w:lang w:val="en-US" w:eastAsia="zh-CN" w:bidi="ar-SA"/>
        </w:rPr>
        <w:t>415</w:t>
      </w:r>
      <w:r>
        <w:rPr>
          <w:rFonts w:hint="eastAsia" w:ascii="仿宋_GB2312" w:hAnsi="仿宋_GB2312" w:eastAsia="仿宋_GB2312" w:cs="仿宋_GB2312"/>
          <w:color w:val="000000"/>
          <w:sz w:val="32"/>
          <w:szCs w:val="32"/>
          <w:shd w:val="clear" w:color="auto" w:fill="FFFFFF"/>
          <w:lang w:bidi="ar-SA"/>
        </w:rPr>
        <w:t>篇。其中，通知公告</w:t>
      </w:r>
      <w:r>
        <w:rPr>
          <w:rFonts w:hint="eastAsia" w:ascii="仿宋_GB2312" w:hAnsi="仿宋_GB2312" w:eastAsia="仿宋_GB2312" w:cs="仿宋_GB2312"/>
          <w:color w:val="000000"/>
          <w:sz w:val="32"/>
          <w:szCs w:val="32"/>
          <w:shd w:val="clear" w:color="auto" w:fill="FFFFFF"/>
          <w:lang w:val="en-US" w:eastAsia="zh-CN" w:bidi="ar-SA"/>
        </w:rPr>
        <w:t>101</w:t>
      </w:r>
      <w:r>
        <w:rPr>
          <w:rFonts w:hint="eastAsia" w:ascii="仿宋_GB2312" w:hAnsi="仿宋_GB2312" w:eastAsia="仿宋_GB2312" w:cs="仿宋_GB2312"/>
          <w:color w:val="000000"/>
          <w:sz w:val="32"/>
          <w:szCs w:val="32"/>
          <w:shd w:val="clear" w:color="auto" w:fill="FFFFFF"/>
          <w:lang w:bidi="ar-SA"/>
        </w:rPr>
        <w:t>条，规划计划</w:t>
      </w:r>
      <w:r>
        <w:rPr>
          <w:rFonts w:hint="eastAsia" w:ascii="仿宋_GB2312" w:hAnsi="仿宋_GB2312" w:eastAsia="仿宋_GB2312" w:cs="仿宋_GB2312"/>
          <w:color w:val="000000"/>
          <w:sz w:val="32"/>
          <w:szCs w:val="32"/>
          <w:shd w:val="clear" w:color="auto" w:fill="FFFFFF"/>
          <w:lang w:val="en-US" w:eastAsia="zh-CN" w:bidi="ar-SA"/>
        </w:rPr>
        <w:t>3</w:t>
      </w:r>
      <w:r>
        <w:rPr>
          <w:rFonts w:hint="eastAsia" w:ascii="仿宋_GB2312" w:hAnsi="仿宋_GB2312" w:eastAsia="仿宋_GB2312" w:cs="仿宋_GB2312"/>
          <w:color w:val="000000"/>
          <w:sz w:val="32"/>
          <w:szCs w:val="32"/>
          <w:shd w:val="clear" w:color="auto" w:fill="FFFFFF"/>
          <w:lang w:bidi="ar-SA"/>
        </w:rPr>
        <w:t>条，组织管理</w:t>
      </w:r>
      <w:r>
        <w:rPr>
          <w:rFonts w:hint="eastAsia" w:ascii="仿宋_GB2312" w:hAnsi="仿宋_GB2312" w:eastAsia="仿宋_GB2312" w:cs="仿宋_GB2312"/>
          <w:color w:val="000000"/>
          <w:sz w:val="32"/>
          <w:szCs w:val="32"/>
          <w:shd w:val="clear" w:color="auto" w:fill="FFFFFF"/>
          <w:lang w:val="en-US" w:eastAsia="zh-CN" w:bidi="ar-SA"/>
        </w:rPr>
        <w:t>7</w:t>
      </w:r>
      <w:r>
        <w:rPr>
          <w:rFonts w:hint="eastAsia" w:ascii="仿宋_GB2312" w:hAnsi="仿宋_GB2312" w:eastAsia="仿宋_GB2312" w:cs="仿宋_GB2312"/>
          <w:color w:val="000000"/>
          <w:sz w:val="32"/>
          <w:szCs w:val="32"/>
          <w:shd w:val="clear" w:color="auto" w:fill="FFFFFF"/>
          <w:lang w:bidi="ar-SA"/>
        </w:rPr>
        <w:t>条，公开基本目录</w:t>
      </w:r>
      <w:r>
        <w:rPr>
          <w:rFonts w:hint="eastAsia" w:ascii="仿宋_GB2312" w:hAnsi="仿宋_GB2312" w:eastAsia="仿宋_GB2312" w:cs="仿宋_GB2312"/>
          <w:color w:val="000000"/>
          <w:sz w:val="32"/>
          <w:szCs w:val="32"/>
          <w:shd w:val="clear" w:color="auto" w:fill="FFFFFF"/>
          <w:lang w:val="en-US" w:eastAsia="zh-CN" w:bidi="ar-SA"/>
        </w:rPr>
        <w:t>9</w:t>
      </w:r>
      <w:r>
        <w:rPr>
          <w:rFonts w:hint="eastAsia" w:ascii="仿宋_GB2312" w:hAnsi="仿宋_GB2312" w:eastAsia="仿宋_GB2312" w:cs="仿宋_GB2312"/>
          <w:color w:val="000000"/>
          <w:sz w:val="32"/>
          <w:szCs w:val="32"/>
          <w:shd w:val="clear" w:color="auto" w:fill="FFFFFF"/>
          <w:lang w:bidi="ar-SA"/>
        </w:rPr>
        <w:t>条。</w:t>
      </w:r>
    </w:p>
    <w:p w14:paraId="4699C16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color w:val="000000"/>
          <w:sz w:val="32"/>
          <w:szCs w:val="32"/>
          <w:shd w:val="clear" w:color="auto" w:fill="FFFFFF"/>
          <w:lang w:bidi="ar-SA"/>
        </w:rPr>
      </w:pPr>
      <w:r>
        <w:rPr>
          <w:rFonts w:hint="eastAsia" w:ascii="仿宋_GB2312" w:hAnsi="仿宋_GB2312" w:eastAsia="仿宋_GB2312" w:cs="仿宋_GB2312"/>
          <w:color w:val="000000"/>
          <w:sz w:val="32"/>
          <w:szCs w:val="32"/>
          <w:shd w:val="clear" w:color="auto" w:fill="FFFFFF"/>
          <w:lang w:eastAsia="zh-CN" w:bidi="ar-SA"/>
        </w:rPr>
        <w:drawing>
          <wp:anchor distT="0" distB="0" distL="114300" distR="114300" simplePos="0" relativeHeight="251659264" behindDoc="0" locked="0" layoutInCell="1" allowOverlap="1">
            <wp:simplePos x="0" y="0"/>
            <wp:positionH relativeFrom="column">
              <wp:posOffset>-114300</wp:posOffset>
            </wp:positionH>
            <wp:positionV relativeFrom="paragraph">
              <wp:posOffset>195580</wp:posOffset>
            </wp:positionV>
            <wp:extent cx="5266055" cy="3521710"/>
            <wp:effectExtent l="0" t="0" r="10795" b="2540"/>
            <wp:wrapNone/>
            <wp:docPr id="7" name="图片 7" descr="b71379f059184499306ed6fdf4738c0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b71379f059184499306ed6fdf4738c0e"/>
                    <pic:cNvPicPr>
                      <a:picLocks noChangeAspect="1"/>
                    </pic:cNvPicPr>
                  </pic:nvPicPr>
                  <pic:blipFill>
                    <a:blip r:embed="rId7"/>
                    <a:stretch>
                      <a:fillRect/>
                    </a:stretch>
                  </pic:blipFill>
                  <pic:spPr>
                    <a:xfrm>
                      <a:off x="0" y="0"/>
                      <a:ext cx="5266055" cy="3521710"/>
                    </a:xfrm>
                    <a:prstGeom prst="rect">
                      <a:avLst/>
                    </a:prstGeom>
                  </pic:spPr>
                </pic:pic>
              </a:graphicData>
            </a:graphic>
          </wp:anchor>
        </w:drawing>
      </w:r>
    </w:p>
    <w:p w14:paraId="4EE9DBA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center"/>
        <w:textAlignment w:val="auto"/>
        <w:rPr>
          <w:rFonts w:hint="eastAsia" w:ascii="仿宋_GB2312" w:hAnsi="仿宋_GB2312" w:eastAsia="仿宋_GB2312" w:cs="仿宋_GB2312"/>
          <w:color w:val="000000"/>
          <w:sz w:val="32"/>
          <w:szCs w:val="32"/>
          <w:shd w:val="clear" w:color="auto" w:fill="FFFFFF"/>
          <w:lang w:bidi="ar-SA"/>
        </w:rPr>
      </w:pPr>
    </w:p>
    <w:p w14:paraId="497ED86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center"/>
        <w:textAlignment w:val="auto"/>
        <w:rPr>
          <w:rFonts w:hint="eastAsia" w:ascii="仿宋_GB2312" w:hAnsi="仿宋_GB2312" w:eastAsia="仿宋_GB2312" w:cs="仿宋_GB2312"/>
          <w:color w:val="000000"/>
          <w:sz w:val="32"/>
          <w:szCs w:val="32"/>
          <w:shd w:val="clear" w:color="auto" w:fill="FFFFFF"/>
          <w:lang w:bidi="ar-SA"/>
        </w:rPr>
      </w:pPr>
    </w:p>
    <w:p w14:paraId="53FE994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center"/>
        <w:textAlignment w:val="auto"/>
        <w:rPr>
          <w:rFonts w:hint="eastAsia" w:ascii="仿宋_GB2312" w:hAnsi="仿宋_GB2312" w:eastAsia="仿宋_GB2312" w:cs="仿宋_GB2312"/>
          <w:color w:val="000000"/>
          <w:sz w:val="32"/>
          <w:szCs w:val="32"/>
          <w:shd w:val="clear" w:color="auto" w:fill="FFFFFF"/>
          <w:lang w:bidi="ar-SA"/>
        </w:rPr>
      </w:pPr>
    </w:p>
    <w:p w14:paraId="6DB2F19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center"/>
        <w:textAlignment w:val="auto"/>
        <w:rPr>
          <w:rFonts w:hint="eastAsia" w:ascii="仿宋_GB2312" w:hAnsi="仿宋_GB2312" w:eastAsia="仿宋_GB2312" w:cs="仿宋_GB2312"/>
          <w:color w:val="000000"/>
          <w:sz w:val="32"/>
          <w:szCs w:val="32"/>
          <w:shd w:val="clear" w:color="auto" w:fill="FFFFFF"/>
          <w:lang w:eastAsia="zh-CN" w:bidi="ar-SA"/>
        </w:rPr>
      </w:pPr>
    </w:p>
    <w:p w14:paraId="3E2A2E5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color w:val="000000"/>
          <w:sz w:val="32"/>
          <w:szCs w:val="32"/>
          <w:shd w:val="clear" w:color="auto" w:fill="FFFFFF"/>
          <w:lang w:bidi="ar-SA"/>
        </w:rPr>
      </w:pPr>
    </w:p>
    <w:p w14:paraId="51B296D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color w:val="000000"/>
          <w:sz w:val="32"/>
          <w:szCs w:val="32"/>
          <w:shd w:val="clear" w:color="auto" w:fill="FFFFFF"/>
          <w:lang w:bidi="ar-SA"/>
        </w:rPr>
      </w:pPr>
    </w:p>
    <w:p w14:paraId="4073C53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color w:val="000000"/>
          <w:sz w:val="32"/>
          <w:szCs w:val="32"/>
          <w:shd w:val="clear" w:color="auto" w:fill="FFFFFF"/>
          <w:lang w:bidi="ar-SA"/>
        </w:rPr>
      </w:pPr>
    </w:p>
    <w:p w14:paraId="5A0A97F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color w:val="000000"/>
          <w:sz w:val="32"/>
          <w:szCs w:val="32"/>
          <w:shd w:val="clear" w:color="auto" w:fill="FFFFFF"/>
          <w:lang w:bidi="ar-SA"/>
        </w:rPr>
      </w:pPr>
    </w:p>
    <w:p w14:paraId="747F4B7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color w:val="000000"/>
          <w:sz w:val="32"/>
          <w:szCs w:val="32"/>
          <w:shd w:val="clear" w:color="auto" w:fill="FFFFFF"/>
          <w:lang w:bidi="ar-SA"/>
        </w:rPr>
      </w:pPr>
    </w:p>
    <w:p w14:paraId="5C9668F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 w:lineRule="atLeast"/>
        <w:ind w:left="0" w:leftChars="0" w:right="0" w:rightChars="0" w:firstLine="0"/>
        <w:jc w:val="both"/>
        <w:textAlignment w:val="auto"/>
        <w:rPr>
          <w:rFonts w:hint="eastAsia" w:ascii="微软雅黑" w:hAnsi="微软雅黑" w:eastAsia="微软雅黑" w:cs="微软雅黑"/>
          <w:i w:val="0"/>
          <w:iCs w:val="0"/>
          <w:caps w:val="0"/>
          <w:color w:val="000000"/>
          <w:spacing w:val="0"/>
          <w:sz w:val="24"/>
          <w:szCs w:val="24"/>
          <w:lang w:eastAsia="zh-CN"/>
        </w:rPr>
      </w:pPr>
    </w:p>
    <w:p w14:paraId="4B53897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color w:val="000000"/>
          <w:sz w:val="32"/>
          <w:szCs w:val="32"/>
          <w:shd w:val="clear" w:color="auto" w:fill="FFFFFF"/>
          <w:lang w:bidi="ar-SA"/>
        </w:rPr>
      </w:pPr>
      <w:r>
        <w:rPr>
          <w:rFonts w:hint="eastAsia" w:ascii="仿宋_GB2312" w:hAnsi="仿宋_GB2312" w:eastAsia="仿宋_GB2312" w:cs="仿宋_GB2312"/>
          <w:color w:val="000000"/>
          <w:sz w:val="32"/>
          <w:szCs w:val="32"/>
          <w:shd w:val="clear" w:color="auto" w:fill="FFFFFF"/>
          <w:lang w:bidi="ar-SA"/>
        </w:rPr>
        <w:t>一是聚焦重点领域，抓实信息公开。2025年，围绕乡村振兴、惠农补贴、安全生产、人居环境整治等群众关心关注的重点工作，主动公开信息，切实保障群众的知情权和监督权。</w:t>
      </w:r>
    </w:p>
    <w:p w14:paraId="7DEA395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color w:val="000000"/>
          <w:sz w:val="32"/>
          <w:szCs w:val="32"/>
          <w:shd w:val="clear" w:color="auto" w:fill="FFFFFF"/>
          <w:lang w:bidi="ar-SA"/>
        </w:rPr>
      </w:pPr>
      <w:r>
        <w:rPr>
          <w:rFonts w:hint="eastAsia" w:ascii="仿宋_GB2312" w:hAnsi="仿宋_GB2312" w:eastAsia="仿宋_GB2312" w:cs="仿宋_GB2312"/>
          <w:color w:val="000000"/>
          <w:sz w:val="32"/>
          <w:szCs w:val="32"/>
          <w:shd w:val="clear" w:color="auto" w:fill="FFFFFF"/>
          <w:lang w:bidi="ar-SA"/>
        </w:rPr>
        <w:t>二是强化政策解读，用心回应民生诉求。一方面，吃透各项政策的出台背景、核心举措和惠民导向，结合乡镇实际和群众需求开展精准解读，推动政策解读工作标准化、规范化；另一方面，拓宽解读渠道、创新解读形式，除依托乡镇政务公开栏、政府官网外，充分用好镇村广播、村民代表大会、田间地头宣讲等“接地气”的方式，把生涩的政策术语转化为通俗易懂的“家常话”，确保政策精神家喻户晓、落地见效，为群众提供高效便捷的信息公开服务。</w:t>
      </w:r>
    </w:p>
    <w:p w14:paraId="4E46F24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楷体" w:hAnsi="楷体" w:eastAsia="楷体" w:cs="楷体"/>
          <w:color w:val="000000"/>
          <w:sz w:val="32"/>
          <w:szCs w:val="32"/>
          <w:shd w:val="clear" w:color="auto" w:fill="FFFFFF"/>
          <w:lang w:bidi="ar-SA"/>
        </w:rPr>
      </w:pPr>
      <w:r>
        <w:rPr>
          <w:rFonts w:hint="eastAsia" w:ascii="楷体" w:hAnsi="楷体" w:eastAsia="楷体" w:cs="楷体"/>
          <w:color w:val="000000"/>
          <w:sz w:val="32"/>
          <w:szCs w:val="32"/>
          <w:shd w:val="clear" w:color="auto" w:fill="FFFFFF"/>
          <w:lang w:bidi="ar-SA"/>
        </w:rPr>
        <w:t>(二)收到和处理政府信息公开申请情况</w:t>
      </w:r>
    </w:p>
    <w:p w14:paraId="1C3172C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color w:val="000000"/>
          <w:sz w:val="32"/>
          <w:szCs w:val="32"/>
          <w:shd w:val="clear" w:color="auto" w:fill="FFFFFF"/>
          <w:lang w:bidi="ar-SA"/>
        </w:rPr>
      </w:pPr>
      <w:r>
        <w:rPr>
          <w:rFonts w:hint="eastAsia" w:ascii="仿宋_GB2312" w:hAnsi="仿宋_GB2312" w:eastAsia="仿宋_GB2312" w:cs="仿宋_GB2312"/>
          <w:color w:val="000000"/>
          <w:sz w:val="32"/>
          <w:szCs w:val="32"/>
          <w:shd w:val="clear" w:color="auto" w:fill="FFFFFF"/>
          <w:lang w:bidi="ar-SA"/>
        </w:rPr>
        <w:t>202</w:t>
      </w:r>
      <w:r>
        <w:rPr>
          <w:rFonts w:hint="eastAsia" w:ascii="仿宋_GB2312" w:hAnsi="仿宋_GB2312" w:eastAsia="仿宋_GB2312" w:cs="仿宋_GB2312"/>
          <w:color w:val="000000"/>
          <w:sz w:val="32"/>
          <w:szCs w:val="32"/>
          <w:shd w:val="clear" w:color="auto" w:fill="FFFFFF"/>
          <w:lang w:val="en-US" w:eastAsia="zh-CN" w:bidi="ar-SA"/>
        </w:rPr>
        <w:t>5</w:t>
      </w:r>
      <w:r>
        <w:rPr>
          <w:rFonts w:hint="eastAsia" w:ascii="仿宋_GB2312" w:hAnsi="仿宋_GB2312" w:eastAsia="仿宋_GB2312" w:cs="仿宋_GB2312"/>
          <w:color w:val="000000"/>
          <w:sz w:val="32"/>
          <w:szCs w:val="32"/>
          <w:shd w:val="clear" w:color="auto" w:fill="FFFFFF"/>
          <w:lang w:bidi="ar-SA"/>
        </w:rPr>
        <w:t>年以来，坚持“归口办理、依法有据、严谨规范、慎重稳妥”的原则，完善受理、审查、处理、答复以及保存备查等各环节流程,保证依申请公开流程科学、程序合法、答复规范，示范指引，真正提升效能、服务于民。</w:t>
      </w:r>
    </w:p>
    <w:p w14:paraId="132644D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hAnsi="仿宋_GB2312" w:eastAsia="仿宋_GB2312" w:cs="仿宋_GB2312"/>
          <w:color w:val="000000"/>
          <w:sz w:val="32"/>
          <w:szCs w:val="32"/>
          <w:shd w:val="clear" w:color="auto" w:fill="FFFFFF"/>
          <w:lang w:val="en-US" w:eastAsia="zh-CN" w:bidi="ar-SA"/>
        </w:rPr>
      </w:pPr>
      <w:r>
        <w:rPr>
          <w:rFonts w:hint="eastAsia" w:ascii="仿宋_GB2312" w:hAnsi="仿宋_GB2312" w:eastAsia="仿宋_GB2312" w:cs="仿宋_GB2312"/>
          <w:color w:val="000000"/>
          <w:sz w:val="32"/>
          <w:szCs w:val="32"/>
          <w:shd w:val="clear" w:color="auto" w:fill="FFFFFF"/>
          <w:lang w:val="en-US" w:eastAsia="zh-CN" w:bidi="ar-SA"/>
        </w:rPr>
        <w:t>2025年，滕州市姜屯镇收到和处理政府信息公开依申请事项3件。</w:t>
      </w:r>
      <w:r>
        <w:rPr>
          <w:rFonts w:hint="eastAsia" w:ascii="仿宋_GB2312" w:hAnsi="仿宋_GB2312" w:eastAsia="仿宋_GB2312" w:cs="仿宋_GB2312"/>
          <w:color w:val="000000"/>
          <w:kern w:val="0"/>
          <w:sz w:val="32"/>
          <w:szCs w:val="32"/>
          <w:shd w:val="clear" w:color="auto" w:fill="FFFFFF"/>
          <w:lang w:val="en-US" w:eastAsia="zh-CN" w:bidi="ar-SA"/>
        </w:rPr>
        <w:t>申请人为自然人</w:t>
      </w:r>
      <w:r>
        <w:rPr>
          <w:rFonts w:hint="eastAsia" w:ascii="仿宋_GB2312" w:hAnsi="仿宋_GB2312" w:eastAsia="仿宋_GB2312" w:cs="仿宋_GB2312"/>
          <w:color w:val="000000"/>
          <w:sz w:val="32"/>
          <w:szCs w:val="32"/>
          <w:shd w:val="clear" w:color="auto" w:fill="FFFFFF"/>
          <w:lang w:val="en-US" w:eastAsia="zh-CN" w:bidi="ar-SA"/>
        </w:rPr>
        <w:t>，其中，予以公开1件，部分公开2件，</w:t>
      </w:r>
      <w:r>
        <w:rPr>
          <w:rFonts w:hint="eastAsia" w:ascii="仿宋_GB2312" w:hAnsi="仿宋_GB2312" w:eastAsia="仿宋_GB2312" w:cs="仿宋_GB2312"/>
          <w:color w:val="000000"/>
          <w:sz w:val="32"/>
          <w:szCs w:val="32"/>
          <w:shd w:val="clear" w:color="auto" w:fill="FFFFFF"/>
          <w:lang w:val="en-US" w:eastAsia="zh-CN" w:bidi="ar-SA"/>
        </w:rPr>
        <w:t>与上年相比数量有所</w:t>
      </w:r>
      <w:r>
        <w:rPr>
          <w:rFonts w:hint="eastAsia" w:ascii="仿宋_GB2312" w:hAnsi="仿宋_GB2312" w:eastAsia="仿宋_GB2312" w:cs="仿宋_GB2312"/>
          <w:color w:val="000000"/>
          <w:kern w:val="0"/>
          <w:sz w:val="32"/>
          <w:szCs w:val="32"/>
          <w:shd w:val="clear" w:color="auto" w:fill="FFFFFF"/>
          <w:lang w:val="en-US" w:eastAsia="zh-CN" w:bidi="ar-SA"/>
        </w:rPr>
        <w:t>上升。</w:t>
      </w:r>
      <w:r>
        <w:rPr>
          <w:rFonts w:hint="eastAsia" w:ascii="仿宋_GB2312" w:hAnsi="仿宋_GB2312" w:eastAsia="仿宋_GB2312" w:cs="仿宋_GB2312"/>
          <w:color w:val="000000"/>
          <w:sz w:val="32"/>
          <w:szCs w:val="32"/>
          <w:shd w:val="clear" w:color="auto" w:fill="FFFFFF"/>
          <w:lang w:val="en-US" w:eastAsia="zh-CN" w:bidi="ar-SA"/>
        </w:rPr>
        <w:t>没有因政府信息公开产生的行政复议和行政诉讼。</w:t>
      </w:r>
    </w:p>
    <w:p w14:paraId="4BC2101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楷体" w:hAnsi="楷体" w:eastAsia="楷体" w:cs="楷体"/>
          <w:color w:val="000000"/>
          <w:sz w:val="32"/>
          <w:szCs w:val="32"/>
          <w:shd w:val="clear" w:color="auto" w:fill="FFFFFF"/>
          <w:lang w:bidi="ar-SA"/>
        </w:rPr>
      </w:pPr>
      <w:r>
        <w:rPr>
          <w:rFonts w:hint="eastAsia" w:ascii="楷体" w:hAnsi="楷体" w:eastAsia="楷体" w:cs="楷体"/>
          <w:color w:val="000000"/>
          <w:sz w:val="32"/>
          <w:szCs w:val="32"/>
          <w:shd w:val="clear" w:color="auto" w:fill="FFFFFF"/>
          <w:lang w:bidi="ar-SA"/>
        </w:rPr>
        <w:t>(三)政府信息管理情况</w:t>
      </w:r>
    </w:p>
    <w:p w14:paraId="446BBA61">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color w:val="000000"/>
          <w:sz w:val="32"/>
          <w:szCs w:val="32"/>
          <w:shd w:val="clear" w:color="auto" w:fill="FFFFFF"/>
          <w:lang w:bidi="ar-SA"/>
        </w:rPr>
      </w:pPr>
      <w:r>
        <w:rPr>
          <w:rFonts w:hint="eastAsia" w:ascii="仿宋_GB2312" w:hAnsi="仿宋_GB2312" w:eastAsia="仿宋_GB2312" w:cs="仿宋_GB2312"/>
          <w:color w:val="000000"/>
          <w:sz w:val="32"/>
          <w:szCs w:val="32"/>
          <w:shd w:val="clear" w:color="auto" w:fill="FFFFFF"/>
          <w:lang w:bidi="ar-SA"/>
        </w:rPr>
        <w:t>2025年以来，姜屯镇始终坚持以规范为核心，扎实推进政府信息公开管理工作，着力筑牢信息公开“安全线”“规范线”。健全完善信息公开全流程管理体系，重点强化信息审核把关，建立“部门初审、分管领导复审、专人终审”的三级审查机制，对拟公开信息的真实性、准确性、安全性进行全面核验，坚决杜绝涉密信息、不实信息外泄。同时，明确信息公开时限要求与日常维护责任，常态化开展公开平台栏目巡查，及时补全完善相关信息，确保公开栏目规范有序、无空白遗漏，以严密的制度建设和精细化管理，切实保障政府信息公开工作依规有序、安全可控。</w:t>
      </w:r>
    </w:p>
    <w:p w14:paraId="5D321451">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楷体" w:hAnsi="楷体" w:eastAsia="楷体" w:cs="楷体"/>
          <w:color w:val="000000"/>
          <w:sz w:val="32"/>
          <w:szCs w:val="32"/>
          <w:shd w:val="clear" w:color="auto" w:fill="FFFFFF"/>
          <w:lang w:bidi="ar-SA"/>
        </w:rPr>
      </w:pPr>
      <w:r>
        <w:rPr>
          <w:rFonts w:hint="eastAsia" w:ascii="楷体" w:hAnsi="楷体" w:eastAsia="楷体" w:cs="楷体"/>
          <w:color w:val="000000"/>
          <w:sz w:val="32"/>
          <w:szCs w:val="32"/>
          <w:shd w:val="clear" w:color="auto" w:fill="FFFFFF"/>
          <w:lang w:eastAsia="zh-CN" w:bidi="ar-SA"/>
        </w:rPr>
        <w:t>（四）</w:t>
      </w:r>
      <w:r>
        <w:rPr>
          <w:rFonts w:hint="eastAsia" w:ascii="楷体" w:hAnsi="楷体" w:eastAsia="楷体" w:cs="楷体"/>
          <w:color w:val="000000"/>
          <w:sz w:val="32"/>
          <w:szCs w:val="32"/>
          <w:shd w:val="clear" w:color="auto" w:fill="FFFFFF"/>
          <w:lang w:bidi="ar-SA"/>
        </w:rPr>
        <w:t>公开平台建设情况</w:t>
      </w:r>
    </w:p>
    <w:p w14:paraId="16C119B7">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color w:val="000000"/>
          <w:sz w:val="32"/>
          <w:szCs w:val="32"/>
          <w:shd w:val="clear" w:color="auto" w:fill="FFFFFF"/>
          <w:lang w:bidi="ar-SA"/>
        </w:rPr>
      </w:pPr>
      <w:r>
        <w:rPr>
          <w:rFonts w:hint="eastAsia" w:ascii="仿宋_GB2312" w:hAnsi="仿宋_GB2312" w:eastAsia="仿宋_GB2312" w:cs="仿宋_GB2312"/>
          <w:color w:val="000000"/>
          <w:sz w:val="32"/>
          <w:szCs w:val="32"/>
          <w:shd w:val="clear" w:color="auto" w:fill="FFFFFF"/>
          <w:lang w:bidi="ar-SA"/>
        </w:rPr>
        <w:t>202</w:t>
      </w:r>
      <w:r>
        <w:rPr>
          <w:rFonts w:hint="eastAsia" w:ascii="仿宋_GB2312" w:hAnsi="仿宋_GB2312" w:eastAsia="仿宋_GB2312" w:cs="仿宋_GB2312"/>
          <w:color w:val="000000"/>
          <w:sz w:val="32"/>
          <w:szCs w:val="32"/>
          <w:shd w:val="clear" w:color="auto" w:fill="FFFFFF"/>
          <w:lang w:val="en-US" w:eastAsia="zh-CN" w:bidi="ar-SA"/>
        </w:rPr>
        <w:t>5</w:t>
      </w:r>
      <w:r>
        <w:rPr>
          <w:rFonts w:hint="eastAsia" w:ascii="仿宋_GB2312" w:hAnsi="仿宋_GB2312" w:eastAsia="仿宋_GB2312" w:cs="仿宋_GB2312"/>
          <w:color w:val="000000"/>
          <w:sz w:val="32"/>
          <w:szCs w:val="32"/>
          <w:shd w:val="clear" w:color="auto" w:fill="FFFFFF"/>
          <w:lang w:bidi="ar-SA"/>
        </w:rPr>
        <w:t>年，我镇对政务公开网站各栏目进行全面核查，确保信息上传及时、避免出现空白栏目，扎实做好信息上传维护工作。同时，以姜屯镇人民政府门户网站为第一平台，完善了镇政务信息公开栏，通过</w:t>
      </w:r>
      <w:r>
        <w:rPr>
          <w:rFonts w:hint="eastAsia" w:ascii="仿宋_GB2312" w:hAnsi="仿宋_GB2312" w:eastAsia="仿宋_GB2312" w:cs="仿宋_GB2312"/>
          <w:color w:val="000000"/>
          <w:sz w:val="32"/>
          <w:szCs w:val="32"/>
          <w:shd w:val="clear" w:color="auto" w:fill="FFFFFF"/>
          <w:lang w:eastAsia="zh-CN" w:bidi="ar-SA"/>
        </w:rPr>
        <w:t>微信、</w:t>
      </w:r>
      <w:r>
        <w:rPr>
          <w:rFonts w:hint="eastAsia" w:ascii="仿宋_GB2312" w:hAnsi="仿宋_GB2312" w:eastAsia="仿宋_GB2312" w:cs="仿宋_GB2312"/>
          <w:color w:val="000000"/>
          <w:sz w:val="32"/>
          <w:szCs w:val="32"/>
          <w:shd w:val="clear" w:color="auto" w:fill="FFFFFF"/>
          <w:lang w:bidi="ar-SA"/>
        </w:rPr>
        <w:t>今日头条等公众号及时收集社情民意，及时回答并解决公众关心的热点、难点、焦点问题，增强了公众对政府的信任度。在工作执行上,能够认真落实各项部署，较好地完成了信息公开办交办的工作任务。</w:t>
      </w:r>
    </w:p>
    <w:p w14:paraId="599DEDDD">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楷体" w:hAnsi="楷体" w:eastAsia="楷体" w:cs="楷体"/>
          <w:color w:val="000000"/>
          <w:sz w:val="32"/>
          <w:szCs w:val="32"/>
          <w:shd w:val="clear" w:color="auto" w:fill="FFFFFF"/>
          <w:lang w:eastAsia="zh-CN" w:bidi="ar-SA"/>
        </w:rPr>
      </w:pPr>
      <w:r>
        <w:rPr>
          <w:rFonts w:hint="eastAsia" w:ascii="楷体" w:hAnsi="楷体" w:eastAsia="楷体" w:cs="楷体"/>
          <w:color w:val="000000"/>
          <w:sz w:val="32"/>
          <w:szCs w:val="32"/>
          <w:shd w:val="clear" w:color="auto" w:fill="FFFFFF"/>
          <w:lang w:eastAsia="zh-CN" w:bidi="ar-SA"/>
        </w:rPr>
        <w:t>（五）监督保障情况</w:t>
      </w:r>
    </w:p>
    <w:p w14:paraId="1825FE3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color w:val="000000"/>
          <w:sz w:val="32"/>
          <w:szCs w:val="32"/>
          <w:shd w:val="clear" w:color="auto" w:fill="FFFFFF"/>
          <w:lang w:bidi="ar-SA"/>
        </w:rPr>
      </w:pPr>
      <w:r>
        <w:rPr>
          <w:rFonts w:hint="eastAsia" w:ascii="仿宋_GB2312" w:hAnsi="仿宋_GB2312" w:eastAsia="仿宋_GB2312" w:cs="仿宋_GB2312"/>
          <w:color w:val="000000"/>
          <w:sz w:val="32"/>
          <w:szCs w:val="32"/>
          <w:shd w:val="clear" w:color="auto" w:fill="FFFFFF"/>
          <w:lang w:bidi="ar-SA"/>
        </w:rPr>
        <w:t>2025年以来，</w:t>
      </w:r>
      <w:r>
        <w:rPr>
          <w:rFonts w:hint="eastAsia" w:ascii="仿宋_GB2312" w:hAnsi="仿宋_GB2312" w:eastAsia="仿宋_GB2312" w:cs="仿宋_GB2312"/>
          <w:color w:val="000000"/>
          <w:sz w:val="32"/>
          <w:szCs w:val="32"/>
          <w:shd w:val="clear" w:color="auto" w:fill="FFFFFF"/>
          <w:lang w:eastAsia="zh-CN" w:bidi="ar-SA"/>
        </w:rPr>
        <w:t>姜屯镇</w:t>
      </w:r>
      <w:r>
        <w:rPr>
          <w:rFonts w:hint="eastAsia" w:ascii="仿宋_GB2312" w:hAnsi="仿宋_GB2312" w:eastAsia="仿宋_GB2312" w:cs="仿宋_GB2312"/>
          <w:color w:val="000000"/>
          <w:sz w:val="32"/>
          <w:szCs w:val="32"/>
          <w:shd w:val="clear" w:color="auto" w:fill="FFFFFF"/>
          <w:lang w:bidi="ar-SA"/>
        </w:rPr>
        <w:t>为加强对政府信息公开工作的领导，明确政务公开信息发布员，切实履行本镇政府信息公开的指导协调和督促检查职责。下设办公室，由镇宣传科负责推进、指导、协调、监督全镇政府信息公开工作，积极与上级对接，形成了上下联动、覆盖面广的信息公开网络体系，保证工作的顺利开展。</w:t>
      </w:r>
    </w:p>
    <w:p w14:paraId="7E8FDD26">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color w:val="000000"/>
          <w:sz w:val="32"/>
          <w:szCs w:val="32"/>
          <w:shd w:val="clear" w:color="auto" w:fill="FFFFFF"/>
          <w:lang w:bidi="ar-SA"/>
        </w:rPr>
      </w:pPr>
      <w:r>
        <w:rPr>
          <w:rFonts w:hint="eastAsia" w:ascii="仿宋_GB2312" w:hAnsi="仿宋_GB2312" w:eastAsia="仿宋_GB2312" w:cs="仿宋_GB2312"/>
          <w:color w:val="000000"/>
          <w:sz w:val="32"/>
          <w:szCs w:val="32"/>
          <w:shd w:val="clear" w:color="auto" w:fill="FFFFFF"/>
          <w:lang w:bidi="ar-SA"/>
        </w:rPr>
        <w:t>202</w:t>
      </w:r>
      <w:r>
        <w:rPr>
          <w:rFonts w:hint="eastAsia" w:ascii="仿宋_GB2312" w:hAnsi="仿宋_GB2312" w:eastAsia="仿宋_GB2312" w:cs="仿宋_GB2312"/>
          <w:color w:val="000000"/>
          <w:sz w:val="32"/>
          <w:szCs w:val="32"/>
          <w:shd w:val="clear" w:color="auto" w:fill="FFFFFF"/>
          <w:lang w:val="en-US" w:eastAsia="zh-CN" w:bidi="ar-SA"/>
        </w:rPr>
        <w:t>5</w:t>
      </w:r>
      <w:r>
        <w:rPr>
          <w:rFonts w:hint="eastAsia" w:ascii="仿宋_GB2312" w:hAnsi="仿宋_GB2312" w:eastAsia="仿宋_GB2312" w:cs="仿宋_GB2312"/>
          <w:color w:val="000000"/>
          <w:sz w:val="32"/>
          <w:szCs w:val="32"/>
          <w:shd w:val="clear" w:color="auto" w:fill="FFFFFF"/>
          <w:lang w:bidi="ar-SA"/>
        </w:rPr>
        <w:t>年，</w:t>
      </w:r>
      <w:r>
        <w:rPr>
          <w:rFonts w:hint="eastAsia" w:ascii="仿宋_GB2312" w:hAnsi="仿宋_GB2312" w:eastAsia="仿宋_GB2312" w:cs="仿宋_GB2312"/>
          <w:color w:val="000000"/>
          <w:sz w:val="32"/>
          <w:szCs w:val="32"/>
          <w:shd w:val="clear" w:color="auto" w:fill="FFFFFF"/>
          <w:lang w:val="en-US" w:eastAsia="zh-CN" w:bidi="ar-SA"/>
        </w:rPr>
        <w:t>本单位</w:t>
      </w:r>
      <w:r>
        <w:rPr>
          <w:rFonts w:hint="eastAsia" w:ascii="仿宋_GB2312" w:hAnsi="仿宋_GB2312" w:eastAsia="仿宋_GB2312" w:cs="仿宋_GB2312"/>
          <w:color w:val="000000"/>
          <w:sz w:val="32"/>
          <w:szCs w:val="32"/>
          <w:shd w:val="clear" w:color="auto" w:fill="FFFFFF"/>
          <w:lang w:bidi="ar-SA"/>
        </w:rPr>
        <w:t>未发生因信息公开审查不当或保密审查机构未履行保密审查职责而引起的失泄密情况。202</w:t>
      </w:r>
      <w:r>
        <w:rPr>
          <w:rFonts w:hint="eastAsia" w:ascii="仿宋_GB2312" w:hAnsi="仿宋_GB2312" w:eastAsia="仿宋_GB2312" w:cs="仿宋_GB2312"/>
          <w:color w:val="000000"/>
          <w:sz w:val="32"/>
          <w:szCs w:val="32"/>
          <w:shd w:val="clear" w:color="auto" w:fill="FFFFFF"/>
          <w:lang w:val="en-US" w:eastAsia="zh-CN" w:bidi="ar-SA"/>
        </w:rPr>
        <w:t>5</w:t>
      </w:r>
      <w:r>
        <w:rPr>
          <w:rFonts w:hint="eastAsia" w:ascii="仿宋_GB2312" w:hAnsi="仿宋_GB2312" w:eastAsia="仿宋_GB2312" w:cs="仿宋_GB2312"/>
          <w:color w:val="000000"/>
          <w:sz w:val="32"/>
          <w:szCs w:val="32"/>
          <w:shd w:val="clear" w:color="auto" w:fill="FFFFFF"/>
          <w:lang w:bidi="ar-SA"/>
        </w:rPr>
        <w:t>年度未进行社会评议，未发生责任追究情况。</w:t>
      </w:r>
    </w:p>
    <w:p w14:paraId="29AB05DF">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 w:lineRule="atLeast"/>
        <w:ind w:left="0" w:leftChars="0" w:right="0" w:rightChars="0" w:firstLine="420"/>
        <w:jc w:val="both"/>
        <w:textAlignment w:val="auto"/>
        <w:rPr>
          <w:rStyle w:val="7"/>
          <w:rFonts w:hint="eastAsia" w:ascii="黑体" w:hAnsi="黑体" w:eastAsia="黑体" w:cs="黑体"/>
          <w:b w:val="0"/>
          <w:bCs/>
          <w:i w:val="0"/>
          <w:iCs w:val="0"/>
          <w:caps w:val="0"/>
          <w:color w:val="000000"/>
          <w:spacing w:val="0"/>
          <w:sz w:val="32"/>
          <w:szCs w:val="32"/>
          <w:shd w:val="clear" w:fill="FFFFFF"/>
        </w:rPr>
      </w:pPr>
      <w:r>
        <w:rPr>
          <w:rStyle w:val="7"/>
          <w:rFonts w:hint="eastAsia" w:ascii="黑体" w:hAnsi="黑体" w:eastAsia="黑体" w:cs="黑体"/>
          <w:b w:val="0"/>
          <w:bCs/>
          <w:i w:val="0"/>
          <w:iCs w:val="0"/>
          <w:caps w:val="0"/>
          <w:color w:val="000000"/>
          <w:spacing w:val="0"/>
          <w:sz w:val="32"/>
          <w:szCs w:val="32"/>
          <w:shd w:val="clear" w:fill="FFFFFF"/>
        </w:rPr>
        <w:t>主动公开政府信息情况</w:t>
      </w:r>
    </w:p>
    <w:tbl>
      <w:tblPr>
        <w:tblStyle w:val="5"/>
        <w:tblW w:w="86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332"/>
        <w:gridCol w:w="2435"/>
        <w:gridCol w:w="2435"/>
        <w:gridCol w:w="2435"/>
      </w:tblGrid>
      <w:tr w14:paraId="195FA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8637" w:type="dxa"/>
            <w:gridSpan w:val="4"/>
            <w:tcBorders>
              <w:top w:val="single" w:color="auto" w:sz="8" w:space="0"/>
              <w:left w:val="single" w:color="auto" w:sz="8" w:space="0"/>
              <w:bottom w:val="single" w:color="auto" w:sz="8" w:space="0"/>
              <w:right w:val="single" w:color="auto" w:sz="8" w:space="0"/>
            </w:tcBorders>
            <w:shd w:val="clear" w:color="auto" w:fill="C6D9F1"/>
            <w:noWrap w:val="0"/>
            <w:tcMar>
              <w:top w:w="0" w:type="dxa"/>
              <w:left w:w="57" w:type="dxa"/>
              <w:bottom w:w="0" w:type="dxa"/>
              <w:right w:w="57" w:type="dxa"/>
            </w:tcMar>
            <w:vAlign w:val="center"/>
          </w:tcPr>
          <w:p w14:paraId="6EA293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ind w:left="0" w:leftChars="0" w:right="0" w:rightChars="0"/>
              <w:jc w:val="center"/>
              <w:textAlignment w:val="auto"/>
            </w:pPr>
            <w:r>
              <w:rPr>
                <w:rFonts w:hint="eastAsia" w:ascii="宋体" w:hAnsi="宋体" w:eastAsia="宋体" w:cs="宋体"/>
                <w:color w:val="000000"/>
                <w:kern w:val="0"/>
                <w:sz w:val="20"/>
                <w:szCs w:val="20"/>
                <w:lang w:val="en-US" w:eastAsia="zh-CN" w:bidi="ar"/>
              </w:rPr>
              <w:t>第二十条第（一）项</w:t>
            </w:r>
          </w:p>
        </w:tc>
      </w:tr>
      <w:tr w14:paraId="6D1E3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1332"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0B72E6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ind w:left="0" w:leftChars="0" w:right="0" w:rightChars="0"/>
              <w:jc w:val="center"/>
              <w:textAlignment w:val="auto"/>
            </w:pPr>
            <w:r>
              <w:rPr>
                <w:rFonts w:hint="eastAsia" w:ascii="宋体" w:hAnsi="宋体" w:eastAsia="宋体" w:cs="宋体"/>
                <w:color w:val="000000"/>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noWrap w:val="0"/>
            <w:tcMar>
              <w:top w:w="0" w:type="dxa"/>
              <w:left w:w="57" w:type="dxa"/>
              <w:bottom w:w="0" w:type="dxa"/>
              <w:right w:w="57" w:type="dxa"/>
            </w:tcMar>
            <w:vAlign w:val="center"/>
          </w:tcPr>
          <w:p w14:paraId="60A055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ind w:left="0" w:leftChars="0" w:right="0" w:rightChars="0"/>
              <w:jc w:val="center"/>
              <w:textAlignment w:val="auto"/>
            </w:pPr>
            <w:r>
              <w:rPr>
                <w:rFonts w:hint="eastAsia" w:ascii="宋体" w:hAnsi="宋体" w:eastAsia="宋体" w:cs="宋体"/>
                <w:color w:val="000000"/>
                <w:kern w:val="0"/>
                <w:sz w:val="20"/>
                <w:szCs w:val="20"/>
                <w:lang w:val="en-US" w:eastAsia="zh-CN" w:bidi="ar"/>
              </w:rPr>
              <w:t>本年</w:t>
            </w:r>
            <w:r>
              <w:rPr>
                <w:rFonts w:hint="eastAsia" w:ascii="宋体" w:hAnsi="宋体" w:eastAsia="宋体" w:cs="宋体"/>
                <w:color w:val="auto"/>
                <w:kern w:val="0"/>
                <w:sz w:val="20"/>
                <w:szCs w:val="20"/>
                <w:lang w:val="en-US" w:eastAsia="zh-CN" w:bidi="ar"/>
              </w:rPr>
              <w:t>制发件数</w:t>
            </w:r>
          </w:p>
        </w:tc>
        <w:tc>
          <w:tcPr>
            <w:tcW w:w="2435" w:type="dxa"/>
            <w:tcBorders>
              <w:top w:val="single" w:color="auto" w:sz="8" w:space="0"/>
              <w:left w:val="nil"/>
              <w:bottom w:val="single" w:color="auto" w:sz="8" w:space="0"/>
              <w:right w:val="single" w:color="auto" w:sz="8" w:space="0"/>
            </w:tcBorders>
            <w:noWrap w:val="0"/>
            <w:tcMar>
              <w:top w:w="0" w:type="dxa"/>
              <w:left w:w="57" w:type="dxa"/>
              <w:bottom w:w="0" w:type="dxa"/>
              <w:right w:w="57" w:type="dxa"/>
            </w:tcMar>
            <w:vAlign w:val="center"/>
          </w:tcPr>
          <w:p w14:paraId="395B51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ind w:left="0" w:leftChars="0" w:right="0" w:rightChars="0"/>
              <w:jc w:val="center"/>
              <w:textAlignment w:val="auto"/>
            </w:pPr>
            <w:r>
              <w:rPr>
                <w:rFonts w:hint="eastAsia" w:ascii="宋体" w:hAnsi="宋体" w:eastAsia="宋体" w:cs="宋体"/>
                <w:color w:val="000000"/>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noWrap w:val="0"/>
            <w:tcMar>
              <w:top w:w="0" w:type="dxa"/>
              <w:left w:w="57" w:type="dxa"/>
              <w:bottom w:w="0" w:type="dxa"/>
              <w:right w:w="57" w:type="dxa"/>
            </w:tcMar>
            <w:vAlign w:val="center"/>
          </w:tcPr>
          <w:p w14:paraId="2BDA66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ind w:left="0" w:leftChars="0" w:right="0" w:rightChars="0"/>
              <w:jc w:val="center"/>
              <w:textAlignment w:val="auto"/>
            </w:pPr>
            <w:r>
              <w:rPr>
                <w:rFonts w:hint="eastAsia" w:ascii="宋体" w:hAnsi="宋体" w:eastAsia="宋体" w:cs="宋体"/>
                <w:color w:val="000000"/>
                <w:kern w:val="0"/>
                <w:sz w:val="20"/>
                <w:szCs w:val="20"/>
                <w:lang w:val="en-US" w:eastAsia="zh-CN" w:bidi="ar"/>
              </w:rPr>
              <w:t>现行有效件</w:t>
            </w:r>
            <w:r>
              <w:rPr>
                <w:rFonts w:hint="eastAsia" w:ascii="宋体" w:hAnsi="宋体" w:eastAsia="宋体" w:cs="宋体"/>
                <w:color w:val="auto"/>
                <w:kern w:val="0"/>
                <w:sz w:val="20"/>
                <w:szCs w:val="20"/>
                <w:lang w:val="en-US" w:eastAsia="zh-CN" w:bidi="ar"/>
              </w:rPr>
              <w:t>数</w:t>
            </w:r>
          </w:p>
        </w:tc>
      </w:tr>
      <w:tr w14:paraId="7691E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1332"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45A58C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ind w:left="0" w:leftChars="0" w:right="0" w:rightChars="0"/>
              <w:jc w:val="left"/>
              <w:textAlignment w:val="auto"/>
            </w:pPr>
            <w:r>
              <w:rPr>
                <w:rFonts w:hint="eastAsia" w:ascii="宋体" w:hAnsi="宋体" w:eastAsia="宋体" w:cs="宋体"/>
                <w:color w:val="000000"/>
                <w:kern w:val="0"/>
                <w:sz w:val="20"/>
                <w:szCs w:val="20"/>
                <w:lang w:val="en-US" w:eastAsia="zh-CN" w:bidi="ar"/>
              </w:rPr>
              <w:t>规章</w:t>
            </w:r>
          </w:p>
        </w:tc>
        <w:tc>
          <w:tcPr>
            <w:tcW w:w="2435"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4673D6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ind w:left="0" w:leftChars="0" w:right="0" w:rightChars="0"/>
              <w:jc w:val="center"/>
              <w:textAlignment w:val="auto"/>
              <w:rPr>
                <w:rFonts w:hint="default"/>
                <w:lang w:val="en-US"/>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04B6A76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ind w:left="0" w:leftChars="0" w:right="0" w:rightChars="0"/>
              <w:jc w:val="center"/>
              <w:textAlignment w:val="auto"/>
              <w:rPr>
                <w:rFonts w:hint="default"/>
                <w:lang w:val="en-US"/>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2FD787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ind w:left="0" w:leftChars="0" w:right="0" w:rightChars="0"/>
              <w:jc w:val="center"/>
              <w:textAlignment w:val="auto"/>
              <w:rPr>
                <w:rFonts w:hint="eastAsia" w:ascii="宋体" w:eastAsia="宋体"/>
                <w:sz w:val="24"/>
                <w:szCs w:val="24"/>
                <w:lang w:val="en-US" w:eastAsia="zh-CN"/>
              </w:rPr>
            </w:pPr>
            <w:r>
              <w:rPr>
                <w:rFonts w:hint="eastAsia" w:ascii="宋体" w:hAnsi="宋体" w:cs="宋体"/>
                <w:color w:val="000000"/>
                <w:kern w:val="0"/>
                <w:sz w:val="20"/>
                <w:szCs w:val="20"/>
                <w:lang w:val="en-US" w:eastAsia="zh-CN" w:bidi="ar"/>
              </w:rPr>
              <w:t>0</w:t>
            </w:r>
          </w:p>
        </w:tc>
      </w:tr>
      <w:tr w14:paraId="3B7CB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1332"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217EE4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ind w:left="0" w:leftChars="0" w:right="0" w:rightChars="0"/>
              <w:jc w:val="left"/>
              <w:textAlignment w:val="auto"/>
            </w:pPr>
            <w:r>
              <w:rPr>
                <w:rFonts w:hint="eastAsia" w:ascii="宋体" w:hAnsi="宋体" w:eastAsia="宋体" w:cs="宋体"/>
                <w:color w:val="000000"/>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1528B2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ind w:left="0" w:leftChars="0" w:right="0" w:rightChars="0"/>
              <w:jc w:val="center"/>
              <w:textAlignment w:val="auto"/>
              <w:rPr>
                <w:rFonts w:hint="default"/>
                <w:lang w:val="en-US"/>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6CF975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ind w:left="0" w:leftChars="0" w:right="0" w:rightChars="0"/>
              <w:jc w:val="center"/>
              <w:textAlignment w:val="auto"/>
              <w:rPr>
                <w:rFonts w:hint="default"/>
                <w:lang w:val="en-US"/>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421874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ind w:left="0" w:leftChars="0" w:right="0" w:rightChars="0"/>
              <w:jc w:val="center"/>
              <w:textAlignment w:val="auto"/>
              <w:rPr>
                <w:rFonts w:hint="eastAsia" w:ascii="宋体" w:eastAsia="宋体"/>
                <w:sz w:val="24"/>
                <w:szCs w:val="24"/>
                <w:lang w:val="en-US" w:eastAsia="zh-CN"/>
              </w:rPr>
            </w:pPr>
            <w:r>
              <w:rPr>
                <w:rFonts w:hint="eastAsia" w:ascii="宋体" w:hAnsi="宋体" w:cs="宋体"/>
                <w:color w:val="000000"/>
                <w:kern w:val="0"/>
                <w:sz w:val="20"/>
                <w:szCs w:val="20"/>
                <w:lang w:val="en-US" w:eastAsia="zh-CN" w:bidi="ar"/>
              </w:rPr>
              <w:t>0</w:t>
            </w:r>
          </w:p>
        </w:tc>
      </w:tr>
      <w:tr w14:paraId="4AD13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8637" w:type="dxa"/>
            <w:gridSpan w:val="4"/>
            <w:tcBorders>
              <w:top w:val="nil"/>
              <w:left w:val="single" w:color="auto" w:sz="8" w:space="0"/>
              <w:bottom w:val="single" w:color="auto" w:sz="8" w:space="0"/>
              <w:right w:val="single" w:color="auto" w:sz="8" w:space="0"/>
            </w:tcBorders>
            <w:shd w:val="clear" w:color="auto" w:fill="C6D9F1"/>
            <w:noWrap w:val="0"/>
            <w:tcMar>
              <w:top w:w="0" w:type="dxa"/>
              <w:left w:w="57" w:type="dxa"/>
              <w:bottom w:w="0" w:type="dxa"/>
              <w:right w:w="57" w:type="dxa"/>
            </w:tcMar>
            <w:vAlign w:val="center"/>
          </w:tcPr>
          <w:p w14:paraId="4D8C70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ind w:left="0" w:leftChars="0" w:right="0" w:rightChars="0"/>
              <w:jc w:val="center"/>
              <w:textAlignment w:val="auto"/>
            </w:pPr>
            <w:r>
              <w:rPr>
                <w:rFonts w:hint="eastAsia" w:ascii="宋体" w:hAnsi="宋体" w:eastAsia="宋体" w:cs="宋体"/>
                <w:color w:val="000000"/>
                <w:kern w:val="0"/>
                <w:sz w:val="20"/>
                <w:szCs w:val="20"/>
                <w:lang w:val="en-US" w:eastAsia="zh-CN" w:bidi="ar"/>
              </w:rPr>
              <w:t>第二十条第（五）项</w:t>
            </w:r>
          </w:p>
        </w:tc>
      </w:tr>
      <w:tr w14:paraId="59D2B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1332"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51C899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ind w:left="0" w:leftChars="0" w:right="0" w:rightChars="0"/>
              <w:jc w:val="center"/>
              <w:textAlignment w:val="auto"/>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0E85E1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ind w:left="0" w:leftChars="0" w:right="0" w:rightChars="0"/>
              <w:jc w:val="center"/>
              <w:textAlignment w:val="auto"/>
            </w:pPr>
            <w:r>
              <w:rPr>
                <w:rFonts w:hint="eastAsia" w:ascii="宋体" w:hAnsi="宋体" w:eastAsia="宋体" w:cs="宋体"/>
                <w:color w:val="000000"/>
                <w:kern w:val="0"/>
                <w:sz w:val="20"/>
                <w:szCs w:val="20"/>
                <w:lang w:val="en-US" w:eastAsia="zh-CN" w:bidi="ar"/>
              </w:rPr>
              <w:t>本年处理决定数量</w:t>
            </w:r>
          </w:p>
        </w:tc>
      </w:tr>
      <w:tr w14:paraId="650B1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1332"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565004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ind w:left="0" w:leftChars="0" w:right="0" w:rightChars="0"/>
              <w:jc w:val="left"/>
              <w:textAlignment w:val="auto"/>
            </w:pPr>
            <w:r>
              <w:rPr>
                <w:rFonts w:hint="eastAsia" w:ascii="宋体" w:hAnsi="宋体" w:eastAsia="宋体" w:cs="宋体"/>
                <w:color w:val="000000"/>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0BE0CD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ind w:left="0" w:leftChars="0" w:right="0" w:rightChars="0"/>
              <w:jc w:val="center"/>
              <w:textAlignment w:val="auto"/>
              <w:rPr>
                <w:rFonts w:hint="default" w:ascii="宋体" w:eastAsia="宋体"/>
                <w:sz w:val="24"/>
                <w:szCs w:val="24"/>
                <w:lang w:val="en-US" w:eastAsia="zh-CN"/>
              </w:rPr>
            </w:pPr>
            <w:r>
              <w:rPr>
                <w:rFonts w:hint="eastAsia" w:ascii="宋体" w:hAnsi="宋体" w:cs="宋体"/>
                <w:color w:val="000000"/>
                <w:kern w:val="0"/>
                <w:sz w:val="20"/>
                <w:szCs w:val="20"/>
                <w:lang w:val="en-US" w:eastAsia="zh-CN" w:bidi="ar"/>
              </w:rPr>
              <w:t>0</w:t>
            </w:r>
          </w:p>
        </w:tc>
      </w:tr>
      <w:tr w14:paraId="0A6F0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8637" w:type="dxa"/>
            <w:gridSpan w:val="4"/>
            <w:tcBorders>
              <w:top w:val="nil"/>
              <w:left w:val="single" w:color="auto" w:sz="8" w:space="0"/>
              <w:bottom w:val="single" w:color="auto" w:sz="8" w:space="0"/>
              <w:right w:val="single" w:color="auto" w:sz="8" w:space="0"/>
            </w:tcBorders>
            <w:shd w:val="clear" w:color="auto" w:fill="C6D9F1"/>
            <w:noWrap w:val="0"/>
            <w:tcMar>
              <w:top w:w="0" w:type="dxa"/>
              <w:left w:w="57" w:type="dxa"/>
              <w:bottom w:w="0" w:type="dxa"/>
              <w:right w:w="57" w:type="dxa"/>
            </w:tcMar>
            <w:vAlign w:val="center"/>
          </w:tcPr>
          <w:p w14:paraId="6222E0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ind w:left="0" w:leftChars="0" w:right="0" w:rightChars="0"/>
              <w:jc w:val="center"/>
              <w:textAlignment w:val="auto"/>
            </w:pPr>
            <w:r>
              <w:rPr>
                <w:rFonts w:hint="eastAsia" w:ascii="宋体" w:hAnsi="宋体" w:eastAsia="宋体" w:cs="宋体"/>
                <w:color w:val="000000"/>
                <w:kern w:val="0"/>
                <w:sz w:val="20"/>
                <w:szCs w:val="20"/>
                <w:lang w:val="en-US" w:eastAsia="zh-CN" w:bidi="ar"/>
              </w:rPr>
              <w:t>第二十条第（六）项</w:t>
            </w:r>
          </w:p>
        </w:tc>
      </w:tr>
      <w:tr w14:paraId="44F40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1332"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6F64DF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ind w:left="0" w:leftChars="0" w:right="0" w:rightChars="0" w:firstLine="0"/>
              <w:jc w:val="center"/>
              <w:textAlignment w:val="auto"/>
            </w:pPr>
            <w:r>
              <w:rPr>
                <w:rFonts w:hint="eastAsia" w:ascii="宋体" w:hAnsi="宋体" w:eastAsia="宋体" w:cs="宋体"/>
                <w:color w:val="000000"/>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noWrap w:val="0"/>
            <w:tcMar>
              <w:top w:w="0" w:type="dxa"/>
              <w:left w:w="57" w:type="dxa"/>
              <w:bottom w:w="0" w:type="dxa"/>
              <w:right w:w="57" w:type="dxa"/>
            </w:tcMar>
            <w:vAlign w:val="center"/>
          </w:tcPr>
          <w:p w14:paraId="69A69C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ind w:left="0" w:leftChars="0" w:right="0" w:rightChars="0" w:firstLine="0"/>
              <w:jc w:val="center"/>
              <w:textAlignment w:val="auto"/>
            </w:pPr>
            <w:r>
              <w:rPr>
                <w:rFonts w:hint="eastAsia" w:ascii="宋体" w:hAnsi="宋体" w:eastAsia="宋体" w:cs="宋体"/>
                <w:color w:val="000000"/>
                <w:kern w:val="0"/>
                <w:sz w:val="20"/>
                <w:szCs w:val="20"/>
                <w:lang w:val="en-US" w:eastAsia="zh-CN" w:bidi="ar"/>
              </w:rPr>
              <w:t>本年处理决定数量</w:t>
            </w:r>
          </w:p>
        </w:tc>
      </w:tr>
      <w:tr w14:paraId="5A0A2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1332"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08C339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ind w:left="0" w:leftChars="0" w:right="0" w:rightChars="0"/>
              <w:jc w:val="left"/>
              <w:textAlignment w:val="auto"/>
            </w:pPr>
            <w:r>
              <w:rPr>
                <w:rFonts w:hint="eastAsia" w:ascii="宋体" w:hAnsi="宋体" w:eastAsia="宋体" w:cs="宋体"/>
                <w:color w:val="000000"/>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2F936F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ind w:left="0" w:leftChars="0" w:right="0" w:rightChars="0"/>
              <w:jc w:val="center"/>
              <w:textAlignment w:val="auto"/>
              <w:rPr>
                <w:rFonts w:hint="eastAsia" w:eastAsiaTheme="minorEastAsia"/>
                <w:lang w:val="en-US" w:eastAsia="zh-CN"/>
              </w:rPr>
            </w:pPr>
            <w:r>
              <w:rPr>
                <w:rFonts w:hint="eastAsia" w:ascii="宋体" w:hAnsi="宋体" w:cs="宋体"/>
                <w:color w:val="000000"/>
                <w:kern w:val="0"/>
                <w:sz w:val="20"/>
                <w:szCs w:val="20"/>
                <w:lang w:val="en-US" w:eastAsia="zh-CN" w:bidi="ar"/>
              </w:rPr>
              <w:t>0</w:t>
            </w:r>
          </w:p>
        </w:tc>
      </w:tr>
      <w:tr w14:paraId="25AB6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1332"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60804C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ind w:left="0" w:leftChars="0" w:right="0" w:rightChars="0"/>
              <w:jc w:val="left"/>
              <w:textAlignment w:val="auto"/>
            </w:pPr>
            <w:r>
              <w:rPr>
                <w:rFonts w:hint="eastAsia" w:ascii="宋体" w:hAnsi="宋体" w:eastAsia="宋体" w:cs="宋体"/>
                <w:color w:val="000000"/>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66A332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ind w:left="0" w:leftChars="0" w:right="0" w:rightChars="0"/>
              <w:jc w:val="center"/>
              <w:textAlignment w:val="auto"/>
              <w:rPr>
                <w:rFonts w:hint="eastAsia" w:eastAsiaTheme="minorEastAsia"/>
                <w:lang w:val="en-US" w:eastAsia="zh-CN"/>
              </w:rPr>
            </w:pPr>
            <w:r>
              <w:rPr>
                <w:rFonts w:hint="eastAsia" w:ascii="宋体" w:hAnsi="宋体" w:cs="宋体"/>
                <w:color w:val="000000"/>
                <w:kern w:val="0"/>
                <w:sz w:val="20"/>
                <w:szCs w:val="20"/>
                <w:lang w:val="en-US" w:eastAsia="zh-CN" w:bidi="ar"/>
              </w:rPr>
              <w:t>0</w:t>
            </w:r>
          </w:p>
        </w:tc>
      </w:tr>
      <w:tr w14:paraId="18294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8637" w:type="dxa"/>
            <w:gridSpan w:val="4"/>
            <w:tcBorders>
              <w:top w:val="nil"/>
              <w:left w:val="single" w:color="auto" w:sz="8" w:space="0"/>
              <w:bottom w:val="single" w:color="auto" w:sz="8" w:space="0"/>
              <w:right w:val="single" w:color="auto" w:sz="8" w:space="0"/>
            </w:tcBorders>
            <w:shd w:val="clear" w:color="auto" w:fill="C6D9F1"/>
            <w:noWrap w:val="0"/>
            <w:tcMar>
              <w:top w:w="0" w:type="dxa"/>
              <w:left w:w="57" w:type="dxa"/>
              <w:bottom w:w="0" w:type="dxa"/>
              <w:right w:w="57" w:type="dxa"/>
            </w:tcMar>
            <w:vAlign w:val="center"/>
          </w:tcPr>
          <w:p w14:paraId="454185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ind w:left="0" w:leftChars="0" w:right="0" w:rightChars="0"/>
              <w:jc w:val="center"/>
              <w:textAlignment w:val="auto"/>
            </w:pPr>
            <w:r>
              <w:rPr>
                <w:rFonts w:hint="eastAsia" w:ascii="宋体" w:hAnsi="宋体" w:eastAsia="宋体" w:cs="宋体"/>
                <w:color w:val="000000"/>
                <w:kern w:val="0"/>
                <w:sz w:val="20"/>
                <w:szCs w:val="20"/>
                <w:lang w:val="en-US" w:eastAsia="zh-CN" w:bidi="ar"/>
              </w:rPr>
              <w:t>第二十条第（八）项</w:t>
            </w:r>
          </w:p>
        </w:tc>
      </w:tr>
      <w:tr w14:paraId="3655F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1332"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1DD82C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ind w:left="0" w:leftChars="0" w:right="0" w:rightChars="0"/>
              <w:jc w:val="center"/>
              <w:textAlignment w:val="auto"/>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noWrap w:val="0"/>
            <w:tcMar>
              <w:top w:w="0" w:type="dxa"/>
              <w:left w:w="57" w:type="dxa"/>
              <w:bottom w:w="0" w:type="dxa"/>
              <w:right w:w="57" w:type="dxa"/>
            </w:tcMar>
            <w:vAlign w:val="center"/>
          </w:tcPr>
          <w:p w14:paraId="228569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ind w:left="0" w:leftChars="0" w:right="0" w:rightChars="0"/>
              <w:jc w:val="center"/>
              <w:textAlignment w:val="auto"/>
            </w:pPr>
            <w:r>
              <w:rPr>
                <w:rFonts w:hint="eastAsia" w:ascii="宋体" w:hAnsi="宋体" w:eastAsia="宋体" w:cs="宋体"/>
                <w:color w:val="000000"/>
                <w:kern w:val="0"/>
                <w:sz w:val="20"/>
                <w:szCs w:val="20"/>
                <w:lang w:val="en-US" w:eastAsia="zh-CN" w:bidi="ar"/>
              </w:rPr>
              <w:t>本年收费金额（单位：万元）</w:t>
            </w:r>
          </w:p>
        </w:tc>
      </w:tr>
      <w:tr w14:paraId="4FB2B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1332"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4685AC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ind w:left="0" w:leftChars="0" w:right="0" w:rightChars="0"/>
              <w:jc w:val="left"/>
              <w:textAlignment w:val="auto"/>
            </w:pPr>
            <w:r>
              <w:rPr>
                <w:rFonts w:hint="eastAsia" w:ascii="宋体" w:hAnsi="宋体" w:eastAsia="宋体" w:cs="宋体"/>
                <w:color w:val="000000"/>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noWrap w:val="0"/>
            <w:tcMar>
              <w:top w:w="0" w:type="dxa"/>
              <w:left w:w="57" w:type="dxa"/>
              <w:bottom w:w="0" w:type="dxa"/>
              <w:right w:w="57" w:type="dxa"/>
            </w:tcMar>
            <w:vAlign w:val="center"/>
          </w:tcPr>
          <w:p w14:paraId="5E601A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ind w:left="0" w:leftChars="0" w:right="0" w:rightChars="0"/>
              <w:jc w:val="center"/>
              <w:textAlignment w:val="auto"/>
              <w:rPr>
                <w:rFonts w:hint="eastAsia" w:ascii="宋体" w:eastAsiaTheme="minorEastAsia"/>
                <w:sz w:val="24"/>
                <w:szCs w:val="24"/>
                <w:lang w:val="en-US" w:eastAsia="zh-CN"/>
              </w:rPr>
            </w:pPr>
            <w:r>
              <w:rPr>
                <w:rFonts w:hint="eastAsia" w:ascii="宋体" w:hAnsi="宋体" w:cs="宋体"/>
                <w:color w:val="000000"/>
                <w:kern w:val="0"/>
                <w:sz w:val="20"/>
                <w:szCs w:val="20"/>
                <w:lang w:val="en-US" w:eastAsia="zh-CN" w:bidi="ar"/>
              </w:rPr>
              <w:t>0</w:t>
            </w:r>
          </w:p>
        </w:tc>
      </w:tr>
    </w:tbl>
    <w:p w14:paraId="2DF337A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 w:lineRule="atLeast"/>
        <w:ind w:left="0" w:leftChars="0" w:right="0" w:rightChars="0" w:firstLine="320" w:firstLineChars="100"/>
        <w:jc w:val="both"/>
        <w:textAlignment w:val="auto"/>
        <w:rPr>
          <w:rStyle w:val="7"/>
          <w:rFonts w:hint="eastAsia" w:ascii="黑体" w:hAnsi="黑体" w:eastAsia="黑体" w:cs="黑体"/>
          <w:b w:val="0"/>
          <w:bCs/>
          <w:i w:val="0"/>
          <w:iCs w:val="0"/>
          <w:caps w:val="0"/>
          <w:color w:val="000000"/>
          <w:spacing w:val="0"/>
          <w:sz w:val="32"/>
          <w:szCs w:val="32"/>
          <w:shd w:val="clear" w:fill="FFFFFF"/>
        </w:rPr>
      </w:pPr>
      <w:r>
        <w:rPr>
          <w:rStyle w:val="7"/>
          <w:rFonts w:hint="default" w:ascii="黑体" w:hAnsi="黑体" w:eastAsia="黑体" w:cs="黑体"/>
          <w:b w:val="0"/>
          <w:bCs/>
          <w:i w:val="0"/>
          <w:iCs w:val="0"/>
          <w:caps w:val="0"/>
          <w:color w:val="000000"/>
          <w:spacing w:val="0"/>
          <w:sz w:val="32"/>
          <w:szCs w:val="32"/>
          <w:shd w:val="clear" w:fill="FFFFFF"/>
        </w:rPr>
        <w:t>三、收到和处理政府信息公开申请情况</w:t>
      </w:r>
    </w:p>
    <w:tbl>
      <w:tblPr>
        <w:tblStyle w:val="5"/>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30"/>
        <w:gridCol w:w="1399"/>
        <w:gridCol w:w="2396"/>
        <w:gridCol w:w="687"/>
        <w:gridCol w:w="4"/>
        <w:gridCol w:w="494"/>
        <w:gridCol w:w="4"/>
        <w:gridCol w:w="494"/>
        <w:gridCol w:w="657"/>
        <w:gridCol w:w="618"/>
        <w:gridCol w:w="485"/>
        <w:gridCol w:w="648"/>
      </w:tblGrid>
      <w:tr w14:paraId="63D9750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20" w:hRule="atLeast"/>
          <w:jc w:val="center"/>
        </w:trPr>
        <w:tc>
          <w:tcPr>
            <w:tcW w:w="4425" w:type="dxa"/>
            <w:gridSpan w:val="3"/>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EE1D6EB">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ascii="楷体_GB2312" w:hAnsi="黑体" w:eastAsia="楷体_GB2312"/>
                <w:kern w:val="0"/>
                <w:szCs w:val="21"/>
              </w:rPr>
            </w:pPr>
            <w:r>
              <w:rPr>
                <w:rFonts w:hint="eastAsia" w:ascii="楷体_GB2312" w:hAnsi="黑体" w:eastAsia="楷体_GB2312"/>
                <w:kern w:val="0"/>
                <w:szCs w:val="21"/>
              </w:rPr>
              <w:t>（本列数据的勾稽关系为：第一项加第二项之和，</w:t>
            </w:r>
          </w:p>
          <w:p w14:paraId="0CA87428">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Calibri" w:hAnsi="Calibri" w:cs="Calibri"/>
                <w:sz w:val="21"/>
                <w:szCs w:val="21"/>
              </w:rPr>
            </w:pPr>
            <w:r>
              <w:rPr>
                <w:rFonts w:hint="eastAsia" w:ascii="楷体_GB2312" w:hAnsi="黑体" w:eastAsia="楷体_GB2312"/>
                <w:kern w:val="0"/>
                <w:szCs w:val="21"/>
              </w:rPr>
              <w:t>等于第三项加第四项之和）</w:t>
            </w:r>
          </w:p>
        </w:tc>
        <w:tc>
          <w:tcPr>
            <w:tcW w:w="4091" w:type="dxa"/>
            <w:gridSpan w:val="9"/>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2279C37">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default" w:ascii="Calibri" w:hAnsi="Calibri" w:cs="Calibri"/>
                <w:sz w:val="21"/>
                <w:szCs w:val="21"/>
              </w:rPr>
            </w:pPr>
            <w:r>
              <w:rPr>
                <w:rFonts w:hint="eastAsia" w:ascii="黑体" w:hAnsi="黑体" w:eastAsia="黑体"/>
                <w:kern w:val="0"/>
                <w:szCs w:val="21"/>
              </w:rPr>
              <w:t>申请人情况</w:t>
            </w:r>
          </w:p>
        </w:tc>
      </w:tr>
      <w:tr w14:paraId="5876C06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20" w:hRule="atLeast"/>
          <w:jc w:val="center"/>
        </w:trPr>
        <w:tc>
          <w:tcPr>
            <w:tcW w:w="4425" w:type="dxa"/>
            <w:gridSpan w:val="3"/>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3F24BC3">
            <w:pPr>
              <w:keepNext w:val="0"/>
              <w:keepLines w:val="0"/>
              <w:pageBreakBefore w:val="0"/>
              <w:kinsoku/>
              <w:wordWrap/>
              <w:overflowPunct/>
              <w:topLinePunct w:val="0"/>
              <w:autoSpaceDE/>
              <w:autoSpaceDN/>
              <w:bidi w:val="0"/>
              <w:adjustRightInd/>
              <w:snapToGrid/>
              <w:ind w:left="0" w:leftChars="0" w:right="0" w:rightChars="0"/>
              <w:jc w:val="center"/>
              <w:textAlignment w:val="auto"/>
              <w:rPr>
                <w:rFonts w:hint="eastAsia" w:ascii="宋体"/>
                <w:sz w:val="24"/>
                <w:szCs w:val="24"/>
              </w:rPr>
            </w:pPr>
          </w:p>
        </w:tc>
        <w:tc>
          <w:tcPr>
            <w:tcW w:w="687"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BD43A39">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Calibri" w:hAnsi="Calibri" w:cs="Calibri"/>
                <w:sz w:val="21"/>
                <w:szCs w:val="21"/>
              </w:rPr>
            </w:pPr>
            <w:r>
              <w:rPr>
                <w:rFonts w:hint="eastAsia" w:ascii="黑体" w:hAnsi="黑体" w:eastAsia="黑体"/>
                <w:kern w:val="0"/>
                <w:szCs w:val="21"/>
              </w:rPr>
              <w:t>自然人</w:t>
            </w:r>
          </w:p>
        </w:tc>
        <w:tc>
          <w:tcPr>
            <w:tcW w:w="2756" w:type="dxa"/>
            <w:gridSpan w:val="7"/>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1A86FF1">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default" w:ascii="Calibri" w:hAnsi="Calibri" w:cs="Calibri"/>
                <w:sz w:val="21"/>
                <w:szCs w:val="21"/>
              </w:rPr>
            </w:pPr>
            <w:r>
              <w:rPr>
                <w:rFonts w:hint="eastAsia" w:ascii="黑体" w:hAnsi="黑体" w:eastAsia="黑体"/>
                <w:kern w:val="0"/>
                <w:szCs w:val="21"/>
              </w:rPr>
              <w:t>法人或其他组织</w:t>
            </w:r>
          </w:p>
        </w:tc>
        <w:tc>
          <w:tcPr>
            <w:tcW w:w="648"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133928B">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hint="default" w:ascii="Calibri" w:hAnsi="Calibri" w:cs="Calibri"/>
                <w:sz w:val="21"/>
                <w:szCs w:val="21"/>
              </w:rPr>
            </w:pPr>
            <w:r>
              <w:rPr>
                <w:rFonts w:hint="eastAsia" w:ascii="黑体" w:hAnsi="黑体" w:eastAsia="黑体"/>
                <w:kern w:val="0"/>
                <w:szCs w:val="21"/>
              </w:rPr>
              <w:t>总计</w:t>
            </w:r>
          </w:p>
        </w:tc>
      </w:tr>
      <w:tr w14:paraId="698BC09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15" w:hRule="atLeast"/>
          <w:jc w:val="center"/>
        </w:trPr>
        <w:tc>
          <w:tcPr>
            <w:tcW w:w="4425" w:type="dxa"/>
            <w:gridSpan w:val="3"/>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A63CF8E">
            <w:pPr>
              <w:keepNext w:val="0"/>
              <w:keepLines w:val="0"/>
              <w:pageBreakBefore w:val="0"/>
              <w:kinsoku/>
              <w:wordWrap/>
              <w:overflowPunct/>
              <w:topLinePunct w:val="0"/>
              <w:autoSpaceDE/>
              <w:autoSpaceDN/>
              <w:bidi w:val="0"/>
              <w:adjustRightInd/>
              <w:snapToGrid/>
              <w:ind w:left="0" w:leftChars="0" w:right="0" w:rightChars="0"/>
              <w:jc w:val="center"/>
              <w:textAlignment w:val="auto"/>
              <w:rPr>
                <w:rFonts w:hint="eastAsia" w:ascii="宋体"/>
                <w:sz w:val="24"/>
                <w:szCs w:val="24"/>
              </w:rPr>
            </w:pPr>
          </w:p>
        </w:tc>
        <w:tc>
          <w:tcPr>
            <w:tcW w:w="687"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0D564F8">
            <w:pPr>
              <w:keepNext w:val="0"/>
              <w:keepLines w:val="0"/>
              <w:pageBreakBefore w:val="0"/>
              <w:kinsoku/>
              <w:wordWrap/>
              <w:overflowPunct/>
              <w:topLinePunct w:val="0"/>
              <w:autoSpaceDE/>
              <w:autoSpaceDN/>
              <w:bidi w:val="0"/>
              <w:adjustRightInd/>
              <w:snapToGrid/>
              <w:ind w:left="0" w:leftChars="0" w:right="0" w:rightChars="0"/>
              <w:jc w:val="center"/>
              <w:textAlignment w:val="auto"/>
              <w:rPr>
                <w:rFonts w:hint="eastAsia" w:ascii="宋体"/>
                <w:sz w:val="24"/>
                <w:szCs w:val="24"/>
              </w:rPr>
            </w:pPr>
          </w:p>
        </w:tc>
        <w:tc>
          <w:tcPr>
            <w:tcW w:w="498"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AC2B769">
            <w:pPr>
              <w:keepNext w:val="0"/>
              <w:keepLines w:val="0"/>
              <w:pageBreakBefore w:val="0"/>
              <w:widowControl/>
              <w:kinsoku/>
              <w:wordWrap/>
              <w:overflowPunct/>
              <w:topLinePunct w:val="0"/>
              <w:autoSpaceDE/>
              <w:autoSpaceDN/>
              <w:bidi w:val="0"/>
              <w:adjustRightInd/>
              <w:snapToGrid/>
              <w:spacing w:line="320" w:lineRule="exact"/>
              <w:ind w:left="0" w:leftChars="0" w:right="0" w:rightChars="0" w:hanging="1" w:firstLineChars="0"/>
              <w:jc w:val="center"/>
              <w:textAlignment w:val="auto"/>
              <w:rPr>
                <w:rFonts w:hint="default" w:ascii="Calibri" w:hAnsi="Calibri" w:cs="Calibri"/>
                <w:sz w:val="21"/>
                <w:szCs w:val="21"/>
              </w:rPr>
            </w:pPr>
            <w:r>
              <w:rPr>
                <w:rFonts w:hint="eastAsia" w:ascii="黑体" w:hAnsi="黑体" w:eastAsia="黑体"/>
                <w:kern w:val="0"/>
                <w:szCs w:val="21"/>
              </w:rPr>
              <w:t>商业企业</w:t>
            </w:r>
          </w:p>
        </w:tc>
        <w:tc>
          <w:tcPr>
            <w:tcW w:w="498"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0CC2F99">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default" w:ascii="Calibri" w:hAnsi="Calibri" w:cs="Calibri"/>
                <w:sz w:val="21"/>
                <w:szCs w:val="21"/>
              </w:rPr>
            </w:pPr>
            <w:r>
              <w:rPr>
                <w:rFonts w:hint="eastAsia" w:ascii="黑体" w:hAnsi="黑体" w:eastAsia="黑体"/>
                <w:kern w:val="0"/>
                <w:szCs w:val="21"/>
              </w:rPr>
              <w:t>科研机构</w:t>
            </w:r>
          </w:p>
        </w:tc>
        <w:tc>
          <w:tcPr>
            <w:tcW w:w="65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488A5B3">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hint="default" w:ascii="Calibri" w:hAnsi="Calibri" w:cs="Calibri"/>
                <w:sz w:val="21"/>
                <w:szCs w:val="21"/>
              </w:rPr>
            </w:pPr>
            <w:r>
              <w:rPr>
                <w:rFonts w:hint="eastAsia" w:ascii="黑体" w:hAnsi="黑体" w:eastAsia="黑体"/>
                <w:kern w:val="0"/>
                <w:szCs w:val="21"/>
              </w:rPr>
              <w:t>社会公益组织</w:t>
            </w:r>
          </w:p>
        </w:tc>
        <w:tc>
          <w:tcPr>
            <w:tcW w:w="618"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2686239">
            <w:pPr>
              <w:keepNext w:val="0"/>
              <w:keepLines w:val="0"/>
              <w:pageBreakBefore w:val="0"/>
              <w:widowControl/>
              <w:kinsoku/>
              <w:wordWrap/>
              <w:overflowPunct/>
              <w:topLinePunct w:val="0"/>
              <w:autoSpaceDE/>
              <w:autoSpaceDN/>
              <w:bidi w:val="0"/>
              <w:adjustRightInd/>
              <w:snapToGrid/>
              <w:spacing w:line="320" w:lineRule="exact"/>
              <w:ind w:left="0" w:leftChars="0" w:right="0" w:rightChars="0" w:hanging="1" w:firstLineChars="0"/>
              <w:jc w:val="center"/>
              <w:textAlignment w:val="auto"/>
              <w:rPr>
                <w:rFonts w:hint="default" w:ascii="Calibri" w:hAnsi="Calibri" w:cs="Calibri"/>
                <w:sz w:val="21"/>
                <w:szCs w:val="21"/>
              </w:rPr>
            </w:pPr>
            <w:r>
              <w:rPr>
                <w:rFonts w:hint="eastAsia" w:ascii="黑体" w:hAnsi="黑体" w:eastAsia="黑体"/>
                <w:kern w:val="0"/>
                <w:szCs w:val="21"/>
              </w:rPr>
              <w:t>法律服务机构</w:t>
            </w:r>
          </w:p>
        </w:tc>
        <w:tc>
          <w:tcPr>
            <w:tcW w:w="48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C9652BE">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center"/>
              <w:textAlignment w:val="auto"/>
              <w:rPr>
                <w:rFonts w:hint="eastAsia" w:ascii="宋体"/>
                <w:sz w:val="24"/>
                <w:szCs w:val="24"/>
              </w:rPr>
            </w:pPr>
            <w:r>
              <w:rPr>
                <w:rFonts w:hint="eastAsia" w:ascii="黑体" w:hAnsi="黑体" w:eastAsia="黑体"/>
                <w:kern w:val="0"/>
                <w:szCs w:val="21"/>
              </w:rPr>
              <w:t>其他</w:t>
            </w:r>
          </w:p>
        </w:tc>
        <w:tc>
          <w:tcPr>
            <w:tcW w:w="648"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E353EFE">
            <w:pPr>
              <w:keepNext w:val="0"/>
              <w:keepLines w:val="0"/>
              <w:pageBreakBefore w:val="0"/>
              <w:kinsoku/>
              <w:wordWrap/>
              <w:overflowPunct/>
              <w:topLinePunct w:val="0"/>
              <w:autoSpaceDE/>
              <w:autoSpaceDN/>
              <w:bidi w:val="0"/>
              <w:adjustRightInd/>
              <w:snapToGrid/>
              <w:ind w:left="0" w:leftChars="0" w:right="0" w:rightChars="0"/>
              <w:jc w:val="center"/>
              <w:textAlignment w:val="auto"/>
            </w:pPr>
          </w:p>
        </w:tc>
      </w:tr>
      <w:tr w14:paraId="46A7BE1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5" w:hRule="atLeast"/>
          <w:jc w:val="center"/>
        </w:trPr>
        <w:tc>
          <w:tcPr>
            <w:tcW w:w="4425" w:type="dxa"/>
            <w:gridSpan w:val="3"/>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4321394">
            <w:pPr>
              <w:keepNext w:val="0"/>
              <w:keepLines w:val="0"/>
              <w:pageBreakBefore w:val="0"/>
              <w:widowControl/>
              <w:kinsoku/>
              <w:wordWrap/>
              <w:overflowPunct/>
              <w:topLinePunct w:val="0"/>
              <w:autoSpaceDE/>
              <w:autoSpaceDN/>
              <w:bidi w:val="0"/>
              <w:adjustRightInd/>
              <w:snapToGrid/>
              <w:ind w:left="0" w:leftChars="0" w:right="0" w:rightChars="0"/>
              <w:textAlignment w:val="auto"/>
              <w:rPr>
                <w:rFonts w:hint="default" w:ascii="Calibri" w:hAnsi="Calibri" w:cs="Calibri"/>
                <w:sz w:val="21"/>
                <w:szCs w:val="21"/>
              </w:rPr>
            </w:pPr>
            <w:r>
              <w:rPr>
                <w:rFonts w:hint="eastAsia" w:ascii="黑体" w:hAnsi="黑体" w:eastAsia="黑体"/>
                <w:kern w:val="0"/>
                <w:szCs w:val="21"/>
              </w:rPr>
              <w:t>一、本年新收政府信息公开申请数量</w:t>
            </w:r>
          </w:p>
        </w:tc>
        <w:tc>
          <w:tcPr>
            <w:tcW w:w="68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1B86FE5">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3</w:t>
            </w:r>
          </w:p>
        </w:tc>
        <w:tc>
          <w:tcPr>
            <w:tcW w:w="498"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167628C">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498"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E90EDA5">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65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5D6BF6D">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618"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9CB250E">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48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C95DB57">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648"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25DBB22">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3</w:t>
            </w:r>
          </w:p>
        </w:tc>
      </w:tr>
      <w:tr w14:paraId="737DB3C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5" w:hRule="atLeast"/>
          <w:jc w:val="center"/>
        </w:trPr>
        <w:tc>
          <w:tcPr>
            <w:tcW w:w="4425" w:type="dxa"/>
            <w:gridSpan w:val="3"/>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DBC9462">
            <w:pPr>
              <w:keepNext w:val="0"/>
              <w:keepLines w:val="0"/>
              <w:pageBreakBefore w:val="0"/>
              <w:widowControl/>
              <w:kinsoku/>
              <w:wordWrap/>
              <w:overflowPunct/>
              <w:topLinePunct w:val="0"/>
              <w:autoSpaceDE/>
              <w:autoSpaceDN/>
              <w:bidi w:val="0"/>
              <w:adjustRightInd/>
              <w:snapToGrid/>
              <w:ind w:left="0" w:leftChars="0" w:right="0" w:rightChars="0"/>
              <w:textAlignment w:val="auto"/>
              <w:rPr>
                <w:rFonts w:hint="default" w:ascii="Calibri" w:hAnsi="Calibri" w:cs="Calibri"/>
                <w:sz w:val="21"/>
                <w:szCs w:val="21"/>
              </w:rPr>
            </w:pPr>
            <w:r>
              <w:rPr>
                <w:rFonts w:hint="eastAsia" w:ascii="黑体" w:hAnsi="黑体" w:eastAsia="黑体"/>
                <w:kern w:val="0"/>
                <w:szCs w:val="21"/>
              </w:rPr>
              <w:t>二、上年结转政府信息公开申请数量</w:t>
            </w:r>
          </w:p>
        </w:tc>
        <w:tc>
          <w:tcPr>
            <w:tcW w:w="68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8D40D8A">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498"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45671EC">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498"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7BC5A21">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65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BF471E5">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618"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019B86F">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48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77D2561">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648"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9A98262">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14:paraId="792FC22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630"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CEB61FF">
            <w:pPr>
              <w:keepNext w:val="0"/>
              <w:keepLines w:val="0"/>
              <w:pageBreakBefore w:val="0"/>
              <w:widowControl/>
              <w:kinsoku/>
              <w:wordWrap/>
              <w:overflowPunct/>
              <w:topLinePunct w:val="0"/>
              <w:autoSpaceDE/>
              <w:autoSpaceDN/>
              <w:bidi w:val="0"/>
              <w:adjustRightInd/>
              <w:snapToGrid/>
              <w:ind w:left="0" w:leftChars="0" w:right="0" w:rightChars="0"/>
              <w:textAlignment w:val="auto"/>
              <w:rPr>
                <w:rFonts w:hint="default" w:ascii="Calibri" w:hAnsi="Calibri" w:cs="Calibri"/>
                <w:sz w:val="21"/>
                <w:szCs w:val="21"/>
              </w:rPr>
            </w:pPr>
            <w:r>
              <w:rPr>
                <w:rFonts w:hint="eastAsia" w:ascii="黑体" w:hAnsi="黑体" w:eastAsia="黑体"/>
                <w:kern w:val="0"/>
                <w:szCs w:val="21"/>
              </w:rPr>
              <w:t>三、本年度办理结果</w:t>
            </w:r>
          </w:p>
        </w:tc>
        <w:tc>
          <w:tcPr>
            <w:tcW w:w="3795"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278DC8B">
            <w:pPr>
              <w:keepNext w:val="0"/>
              <w:keepLines w:val="0"/>
              <w:pageBreakBefore w:val="0"/>
              <w:widowControl/>
              <w:kinsoku/>
              <w:wordWrap/>
              <w:overflowPunct/>
              <w:topLinePunct w:val="0"/>
              <w:autoSpaceDE/>
              <w:autoSpaceDN/>
              <w:bidi w:val="0"/>
              <w:adjustRightInd/>
              <w:snapToGrid/>
              <w:ind w:left="0" w:leftChars="0" w:right="0" w:rightChars="0"/>
              <w:textAlignment w:val="auto"/>
              <w:rPr>
                <w:rFonts w:hint="default" w:ascii="Calibri" w:hAnsi="Calibri" w:cs="Calibri"/>
                <w:sz w:val="21"/>
                <w:szCs w:val="21"/>
              </w:rPr>
            </w:pPr>
            <w:r>
              <w:rPr>
                <w:rFonts w:hint="eastAsia" w:ascii="黑体" w:hAnsi="黑体" w:eastAsia="黑体"/>
                <w:kern w:val="0"/>
                <w:szCs w:val="21"/>
              </w:rPr>
              <w:t>（一）予以公开</w:t>
            </w:r>
          </w:p>
        </w:tc>
        <w:tc>
          <w:tcPr>
            <w:tcW w:w="691"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15C9B87">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1</w:t>
            </w:r>
          </w:p>
        </w:tc>
        <w:tc>
          <w:tcPr>
            <w:tcW w:w="498"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AECACF5">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494"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5D6F9CB">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65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F1EC6A5">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618"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4AE7EA4">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48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7C63C4F">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648"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758768F">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1</w:t>
            </w:r>
          </w:p>
        </w:tc>
      </w:tr>
      <w:tr w14:paraId="3B710D6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63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E7B3C41">
            <w:pPr>
              <w:keepNext w:val="0"/>
              <w:keepLines w:val="0"/>
              <w:pageBreakBefore w:val="0"/>
              <w:kinsoku/>
              <w:wordWrap/>
              <w:overflowPunct/>
              <w:topLinePunct w:val="0"/>
              <w:autoSpaceDE/>
              <w:autoSpaceDN/>
              <w:bidi w:val="0"/>
              <w:adjustRightInd/>
              <w:snapToGrid/>
              <w:ind w:left="0" w:leftChars="0" w:right="0" w:rightChars="0"/>
              <w:textAlignment w:val="auto"/>
              <w:rPr>
                <w:rFonts w:hint="eastAsia" w:ascii="宋体"/>
                <w:sz w:val="24"/>
                <w:szCs w:val="24"/>
              </w:rPr>
            </w:pPr>
          </w:p>
        </w:tc>
        <w:tc>
          <w:tcPr>
            <w:tcW w:w="3795"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35C7367">
            <w:pPr>
              <w:keepNext w:val="0"/>
              <w:keepLines w:val="0"/>
              <w:pageBreakBefore w:val="0"/>
              <w:widowControl/>
              <w:kinsoku/>
              <w:wordWrap/>
              <w:overflowPunct/>
              <w:topLinePunct w:val="0"/>
              <w:autoSpaceDE/>
              <w:autoSpaceDN/>
              <w:bidi w:val="0"/>
              <w:adjustRightInd/>
              <w:snapToGrid/>
              <w:ind w:left="0" w:leftChars="0" w:right="0" w:rightChars="0"/>
              <w:textAlignment w:val="auto"/>
              <w:rPr>
                <w:rFonts w:hint="default" w:ascii="Calibri" w:hAnsi="Calibri" w:cs="Calibri"/>
                <w:sz w:val="21"/>
                <w:szCs w:val="21"/>
              </w:rPr>
            </w:pPr>
            <w:r>
              <w:rPr>
                <w:rFonts w:hint="eastAsia" w:ascii="黑体" w:hAnsi="黑体" w:eastAsia="黑体"/>
                <w:kern w:val="0"/>
                <w:szCs w:val="21"/>
              </w:rPr>
              <w:t>（二）部分公开（</w:t>
            </w:r>
            <w:bookmarkStart w:id="1" w:name="_Hlk66973981"/>
            <w:r>
              <w:rPr>
                <w:rFonts w:hint="eastAsia" w:ascii="黑体" w:hAnsi="黑体" w:eastAsia="黑体"/>
                <w:kern w:val="0"/>
                <w:szCs w:val="21"/>
              </w:rPr>
              <w:t>区分处理的，只计这一情形，不计其他情形</w:t>
            </w:r>
            <w:bookmarkEnd w:id="1"/>
            <w:r>
              <w:rPr>
                <w:rFonts w:hint="eastAsia" w:ascii="黑体" w:hAnsi="黑体" w:eastAsia="黑体"/>
                <w:kern w:val="0"/>
                <w:szCs w:val="21"/>
              </w:rPr>
              <w:t>）</w:t>
            </w:r>
          </w:p>
        </w:tc>
        <w:tc>
          <w:tcPr>
            <w:tcW w:w="691"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85390AE">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2</w:t>
            </w:r>
          </w:p>
        </w:tc>
        <w:tc>
          <w:tcPr>
            <w:tcW w:w="498"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C8B4A12">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494"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93A0CB3">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65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01A96CC">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618"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7FB8C5E">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48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DB7461E">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648"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3E039BF">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2</w:t>
            </w:r>
          </w:p>
        </w:tc>
      </w:tr>
      <w:tr w14:paraId="7FBD5BD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50" w:hRule="atLeast"/>
          <w:jc w:val="center"/>
        </w:trPr>
        <w:tc>
          <w:tcPr>
            <w:tcW w:w="63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078327A">
            <w:pPr>
              <w:keepNext w:val="0"/>
              <w:keepLines w:val="0"/>
              <w:pageBreakBefore w:val="0"/>
              <w:kinsoku/>
              <w:wordWrap/>
              <w:overflowPunct/>
              <w:topLinePunct w:val="0"/>
              <w:autoSpaceDE/>
              <w:autoSpaceDN/>
              <w:bidi w:val="0"/>
              <w:adjustRightInd/>
              <w:snapToGrid/>
              <w:ind w:left="0" w:leftChars="0" w:right="0" w:rightChars="0"/>
              <w:textAlignment w:val="auto"/>
              <w:rPr>
                <w:rFonts w:hint="eastAsia" w:ascii="宋体"/>
                <w:sz w:val="24"/>
                <w:szCs w:val="24"/>
              </w:rPr>
            </w:pPr>
          </w:p>
        </w:tc>
        <w:tc>
          <w:tcPr>
            <w:tcW w:w="1399"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78495F3">
            <w:pPr>
              <w:keepNext w:val="0"/>
              <w:keepLines w:val="0"/>
              <w:pageBreakBefore w:val="0"/>
              <w:widowControl/>
              <w:kinsoku/>
              <w:wordWrap/>
              <w:overflowPunct/>
              <w:topLinePunct w:val="0"/>
              <w:autoSpaceDE/>
              <w:autoSpaceDN/>
              <w:bidi w:val="0"/>
              <w:adjustRightInd/>
              <w:snapToGrid/>
              <w:spacing w:line="200" w:lineRule="exact"/>
              <w:ind w:left="0" w:leftChars="0" w:right="0" w:rightChars="0"/>
              <w:textAlignment w:val="auto"/>
              <w:rPr>
                <w:rFonts w:hint="default" w:ascii="Calibri" w:hAnsi="Calibri" w:cs="Calibri"/>
                <w:sz w:val="21"/>
                <w:szCs w:val="21"/>
              </w:rPr>
            </w:pPr>
            <w:r>
              <w:rPr>
                <w:rFonts w:hint="eastAsia" w:ascii="黑体" w:hAnsi="黑体" w:eastAsia="黑体"/>
                <w:kern w:val="0"/>
                <w:szCs w:val="21"/>
              </w:rPr>
              <w:t>（三）不予公开</w:t>
            </w:r>
          </w:p>
        </w:tc>
        <w:tc>
          <w:tcPr>
            <w:tcW w:w="2396"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C0EA69E">
            <w:pPr>
              <w:keepNext w:val="0"/>
              <w:keepLines w:val="0"/>
              <w:pageBreakBefore w:val="0"/>
              <w:widowControl/>
              <w:kinsoku/>
              <w:wordWrap/>
              <w:overflowPunct/>
              <w:topLinePunct w:val="0"/>
              <w:autoSpaceDE/>
              <w:autoSpaceDN/>
              <w:bidi w:val="0"/>
              <w:adjustRightInd/>
              <w:snapToGrid/>
              <w:spacing w:line="200" w:lineRule="exact"/>
              <w:ind w:left="0" w:leftChars="0" w:right="0" w:rightChars="0"/>
              <w:textAlignment w:val="auto"/>
              <w:rPr>
                <w:rFonts w:hint="default" w:ascii="Calibri" w:hAnsi="Calibri" w:cs="Calibri"/>
                <w:sz w:val="21"/>
                <w:szCs w:val="21"/>
              </w:rPr>
            </w:pPr>
            <w:r>
              <w:rPr>
                <w:rFonts w:hint="eastAsia" w:ascii="仿宋_GB2312" w:hAnsi="黑体" w:eastAsia="仿宋_GB2312"/>
                <w:kern w:val="0"/>
                <w:szCs w:val="21"/>
              </w:rPr>
              <w:t>1.属于国家秘密</w:t>
            </w:r>
          </w:p>
        </w:tc>
        <w:tc>
          <w:tcPr>
            <w:tcW w:w="68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8FF5A06">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498"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48F76B6">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498"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66F4875">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65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797ED33">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618"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62E9F2D">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48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77A1D02">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648"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50F8401">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14:paraId="6F7C37A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50" w:hRule="atLeast"/>
          <w:jc w:val="center"/>
        </w:trPr>
        <w:tc>
          <w:tcPr>
            <w:tcW w:w="63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6F8F9B7">
            <w:pPr>
              <w:keepNext w:val="0"/>
              <w:keepLines w:val="0"/>
              <w:pageBreakBefore w:val="0"/>
              <w:kinsoku/>
              <w:wordWrap/>
              <w:overflowPunct/>
              <w:topLinePunct w:val="0"/>
              <w:autoSpaceDE/>
              <w:autoSpaceDN/>
              <w:bidi w:val="0"/>
              <w:adjustRightInd/>
              <w:snapToGrid/>
              <w:ind w:left="0" w:leftChars="0" w:right="0" w:rightChars="0"/>
              <w:textAlignment w:val="auto"/>
              <w:rPr>
                <w:rFonts w:hint="eastAsia" w:ascii="宋体"/>
                <w:sz w:val="24"/>
                <w:szCs w:val="24"/>
              </w:rPr>
            </w:pPr>
          </w:p>
        </w:tc>
        <w:tc>
          <w:tcPr>
            <w:tcW w:w="1399"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C65CDFE">
            <w:pPr>
              <w:keepNext w:val="0"/>
              <w:keepLines w:val="0"/>
              <w:pageBreakBefore w:val="0"/>
              <w:kinsoku/>
              <w:wordWrap/>
              <w:overflowPunct/>
              <w:topLinePunct w:val="0"/>
              <w:autoSpaceDE/>
              <w:autoSpaceDN/>
              <w:bidi w:val="0"/>
              <w:adjustRightInd/>
              <w:snapToGrid/>
              <w:spacing w:line="200" w:lineRule="exact"/>
              <w:ind w:left="0" w:leftChars="0" w:right="0" w:rightChars="0"/>
              <w:textAlignment w:val="auto"/>
              <w:rPr>
                <w:rFonts w:hint="eastAsia" w:ascii="宋体"/>
                <w:sz w:val="24"/>
                <w:szCs w:val="24"/>
              </w:rPr>
            </w:pPr>
          </w:p>
        </w:tc>
        <w:tc>
          <w:tcPr>
            <w:tcW w:w="2396"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3CDE0AD">
            <w:pPr>
              <w:keepNext w:val="0"/>
              <w:keepLines w:val="0"/>
              <w:pageBreakBefore w:val="0"/>
              <w:widowControl/>
              <w:kinsoku/>
              <w:wordWrap/>
              <w:overflowPunct/>
              <w:topLinePunct w:val="0"/>
              <w:autoSpaceDE/>
              <w:autoSpaceDN/>
              <w:bidi w:val="0"/>
              <w:adjustRightInd/>
              <w:snapToGrid/>
              <w:spacing w:line="200" w:lineRule="exact"/>
              <w:ind w:left="0" w:leftChars="0" w:right="0" w:rightChars="0"/>
              <w:textAlignment w:val="auto"/>
              <w:rPr>
                <w:rFonts w:hint="default" w:ascii="Calibri" w:hAnsi="Calibri" w:cs="Calibri"/>
                <w:sz w:val="21"/>
                <w:szCs w:val="21"/>
              </w:rPr>
            </w:pPr>
            <w:r>
              <w:rPr>
                <w:rFonts w:hint="eastAsia" w:ascii="仿宋_GB2312" w:hAnsi="黑体" w:eastAsia="仿宋_GB2312"/>
                <w:kern w:val="0"/>
                <w:szCs w:val="21"/>
              </w:rPr>
              <w:t>2.其他法律行政法规禁止公开</w:t>
            </w:r>
          </w:p>
        </w:tc>
        <w:tc>
          <w:tcPr>
            <w:tcW w:w="68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3BEB276">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498"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81B834C">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498"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663790F">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65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E7990E1">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618"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BEDDDC1">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48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08200F4">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648"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C279CB6">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pPr>
            <w:r>
              <w:rPr>
                <w:rFonts w:hint="eastAsia" w:ascii="仿宋_GB2312" w:hAnsi="Times New Roman" w:eastAsia="仿宋_GB2312"/>
                <w:szCs w:val="21"/>
                <w:lang w:val="en-US" w:eastAsia="zh-CN"/>
              </w:rPr>
              <w:t>0</w:t>
            </w:r>
          </w:p>
        </w:tc>
      </w:tr>
      <w:tr w14:paraId="62CFDBB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50" w:hRule="atLeast"/>
          <w:jc w:val="center"/>
        </w:trPr>
        <w:tc>
          <w:tcPr>
            <w:tcW w:w="63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B217F86">
            <w:pPr>
              <w:keepNext w:val="0"/>
              <w:keepLines w:val="0"/>
              <w:pageBreakBefore w:val="0"/>
              <w:kinsoku/>
              <w:wordWrap/>
              <w:overflowPunct/>
              <w:topLinePunct w:val="0"/>
              <w:autoSpaceDE/>
              <w:autoSpaceDN/>
              <w:bidi w:val="0"/>
              <w:adjustRightInd/>
              <w:snapToGrid/>
              <w:ind w:left="0" w:leftChars="0" w:right="0" w:rightChars="0"/>
              <w:textAlignment w:val="auto"/>
              <w:rPr>
                <w:rFonts w:hint="eastAsia" w:ascii="宋体"/>
                <w:sz w:val="24"/>
                <w:szCs w:val="24"/>
              </w:rPr>
            </w:pPr>
          </w:p>
        </w:tc>
        <w:tc>
          <w:tcPr>
            <w:tcW w:w="1399"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8F2D02E">
            <w:pPr>
              <w:keepNext w:val="0"/>
              <w:keepLines w:val="0"/>
              <w:pageBreakBefore w:val="0"/>
              <w:kinsoku/>
              <w:wordWrap/>
              <w:overflowPunct/>
              <w:topLinePunct w:val="0"/>
              <w:autoSpaceDE/>
              <w:autoSpaceDN/>
              <w:bidi w:val="0"/>
              <w:adjustRightInd/>
              <w:snapToGrid/>
              <w:spacing w:line="200" w:lineRule="exact"/>
              <w:ind w:left="0" w:leftChars="0" w:right="0" w:rightChars="0"/>
              <w:textAlignment w:val="auto"/>
              <w:rPr>
                <w:rFonts w:hint="eastAsia" w:ascii="宋体"/>
                <w:sz w:val="24"/>
                <w:szCs w:val="24"/>
              </w:rPr>
            </w:pPr>
          </w:p>
        </w:tc>
        <w:tc>
          <w:tcPr>
            <w:tcW w:w="2396"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6907B28">
            <w:pPr>
              <w:keepNext w:val="0"/>
              <w:keepLines w:val="0"/>
              <w:pageBreakBefore w:val="0"/>
              <w:widowControl/>
              <w:kinsoku/>
              <w:wordWrap/>
              <w:overflowPunct/>
              <w:topLinePunct w:val="0"/>
              <w:autoSpaceDE/>
              <w:autoSpaceDN/>
              <w:bidi w:val="0"/>
              <w:adjustRightInd/>
              <w:snapToGrid/>
              <w:spacing w:line="200" w:lineRule="exact"/>
              <w:ind w:left="0" w:leftChars="0" w:right="0" w:rightChars="0"/>
              <w:textAlignment w:val="auto"/>
              <w:rPr>
                <w:rFonts w:hint="default" w:ascii="Calibri" w:hAnsi="Calibri" w:cs="Calibri"/>
                <w:sz w:val="21"/>
                <w:szCs w:val="21"/>
              </w:rPr>
            </w:pPr>
            <w:r>
              <w:rPr>
                <w:rFonts w:hint="eastAsia" w:ascii="仿宋_GB2312" w:hAnsi="黑体" w:eastAsia="仿宋_GB2312"/>
                <w:kern w:val="0"/>
                <w:szCs w:val="21"/>
              </w:rPr>
              <w:t>3.危及“三安全一稳定”</w:t>
            </w:r>
          </w:p>
        </w:tc>
        <w:tc>
          <w:tcPr>
            <w:tcW w:w="68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28F594F">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498"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88971D0">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498"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ADA2E5D">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65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8CB9E35">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618"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CFF6F8F">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48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69BDD57">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648"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8DD0C6C">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pPr>
            <w:r>
              <w:rPr>
                <w:rFonts w:hint="eastAsia" w:ascii="仿宋_GB2312" w:hAnsi="Times New Roman" w:eastAsia="仿宋_GB2312"/>
                <w:szCs w:val="21"/>
                <w:lang w:val="en-US" w:eastAsia="zh-CN"/>
              </w:rPr>
              <w:t>0</w:t>
            </w:r>
          </w:p>
        </w:tc>
      </w:tr>
      <w:tr w14:paraId="387D004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50" w:hRule="atLeast"/>
          <w:jc w:val="center"/>
        </w:trPr>
        <w:tc>
          <w:tcPr>
            <w:tcW w:w="63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2F073F8">
            <w:pPr>
              <w:keepNext w:val="0"/>
              <w:keepLines w:val="0"/>
              <w:pageBreakBefore w:val="0"/>
              <w:kinsoku/>
              <w:wordWrap/>
              <w:overflowPunct/>
              <w:topLinePunct w:val="0"/>
              <w:autoSpaceDE/>
              <w:autoSpaceDN/>
              <w:bidi w:val="0"/>
              <w:adjustRightInd/>
              <w:snapToGrid/>
              <w:ind w:left="0" w:leftChars="0" w:right="0" w:rightChars="0"/>
              <w:textAlignment w:val="auto"/>
              <w:rPr>
                <w:rFonts w:hint="eastAsia" w:ascii="宋体"/>
                <w:sz w:val="24"/>
                <w:szCs w:val="24"/>
              </w:rPr>
            </w:pPr>
          </w:p>
        </w:tc>
        <w:tc>
          <w:tcPr>
            <w:tcW w:w="1399"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977B5C0">
            <w:pPr>
              <w:keepNext w:val="0"/>
              <w:keepLines w:val="0"/>
              <w:pageBreakBefore w:val="0"/>
              <w:kinsoku/>
              <w:wordWrap/>
              <w:overflowPunct/>
              <w:topLinePunct w:val="0"/>
              <w:autoSpaceDE/>
              <w:autoSpaceDN/>
              <w:bidi w:val="0"/>
              <w:adjustRightInd/>
              <w:snapToGrid/>
              <w:spacing w:line="200" w:lineRule="exact"/>
              <w:ind w:left="0" w:leftChars="0" w:right="0" w:rightChars="0"/>
              <w:textAlignment w:val="auto"/>
              <w:rPr>
                <w:rFonts w:hint="eastAsia" w:ascii="宋体"/>
                <w:sz w:val="24"/>
                <w:szCs w:val="24"/>
              </w:rPr>
            </w:pPr>
          </w:p>
        </w:tc>
        <w:tc>
          <w:tcPr>
            <w:tcW w:w="2396"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8785229">
            <w:pPr>
              <w:keepNext w:val="0"/>
              <w:keepLines w:val="0"/>
              <w:pageBreakBefore w:val="0"/>
              <w:widowControl/>
              <w:kinsoku/>
              <w:wordWrap/>
              <w:overflowPunct/>
              <w:topLinePunct w:val="0"/>
              <w:autoSpaceDE/>
              <w:autoSpaceDN/>
              <w:bidi w:val="0"/>
              <w:adjustRightInd/>
              <w:snapToGrid/>
              <w:spacing w:line="200" w:lineRule="exact"/>
              <w:ind w:left="0" w:leftChars="0" w:right="0" w:rightChars="0"/>
              <w:textAlignment w:val="auto"/>
              <w:rPr>
                <w:rFonts w:hint="default" w:ascii="Calibri" w:hAnsi="Calibri" w:cs="Calibri"/>
                <w:sz w:val="21"/>
                <w:szCs w:val="21"/>
              </w:rPr>
            </w:pPr>
            <w:r>
              <w:rPr>
                <w:rFonts w:hint="eastAsia" w:ascii="仿宋_GB2312" w:hAnsi="黑体" w:eastAsia="仿宋_GB2312"/>
                <w:kern w:val="0"/>
                <w:szCs w:val="21"/>
              </w:rPr>
              <w:t>4.保护第三方合法权益</w:t>
            </w:r>
          </w:p>
        </w:tc>
        <w:tc>
          <w:tcPr>
            <w:tcW w:w="68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5D06C94">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498"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C013CD6">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498"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A77A258">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65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845C42B">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618"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CC01C22">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48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9FD36E8">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648"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751F8B7">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pPr>
            <w:r>
              <w:rPr>
                <w:rFonts w:hint="eastAsia" w:ascii="仿宋_GB2312" w:hAnsi="Times New Roman" w:eastAsia="仿宋_GB2312"/>
                <w:szCs w:val="21"/>
                <w:lang w:val="en-US" w:eastAsia="zh-CN"/>
              </w:rPr>
              <w:t>0</w:t>
            </w:r>
          </w:p>
        </w:tc>
      </w:tr>
      <w:tr w14:paraId="19601F8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50" w:hRule="atLeast"/>
          <w:jc w:val="center"/>
        </w:trPr>
        <w:tc>
          <w:tcPr>
            <w:tcW w:w="63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F4280D2">
            <w:pPr>
              <w:keepNext w:val="0"/>
              <w:keepLines w:val="0"/>
              <w:pageBreakBefore w:val="0"/>
              <w:kinsoku/>
              <w:wordWrap/>
              <w:overflowPunct/>
              <w:topLinePunct w:val="0"/>
              <w:autoSpaceDE/>
              <w:autoSpaceDN/>
              <w:bidi w:val="0"/>
              <w:adjustRightInd/>
              <w:snapToGrid/>
              <w:ind w:left="0" w:leftChars="0" w:right="0" w:rightChars="0"/>
              <w:textAlignment w:val="auto"/>
              <w:rPr>
                <w:rFonts w:hint="eastAsia" w:ascii="宋体"/>
                <w:sz w:val="24"/>
                <w:szCs w:val="24"/>
              </w:rPr>
            </w:pPr>
          </w:p>
        </w:tc>
        <w:tc>
          <w:tcPr>
            <w:tcW w:w="1399"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7D6A813">
            <w:pPr>
              <w:keepNext w:val="0"/>
              <w:keepLines w:val="0"/>
              <w:pageBreakBefore w:val="0"/>
              <w:kinsoku/>
              <w:wordWrap/>
              <w:overflowPunct/>
              <w:topLinePunct w:val="0"/>
              <w:autoSpaceDE/>
              <w:autoSpaceDN/>
              <w:bidi w:val="0"/>
              <w:adjustRightInd/>
              <w:snapToGrid/>
              <w:spacing w:line="200" w:lineRule="exact"/>
              <w:ind w:left="0" w:leftChars="0" w:right="0" w:rightChars="0"/>
              <w:textAlignment w:val="auto"/>
              <w:rPr>
                <w:rFonts w:hint="eastAsia" w:ascii="宋体"/>
                <w:sz w:val="24"/>
                <w:szCs w:val="24"/>
              </w:rPr>
            </w:pPr>
          </w:p>
        </w:tc>
        <w:tc>
          <w:tcPr>
            <w:tcW w:w="2396"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CEE1A75">
            <w:pPr>
              <w:keepNext w:val="0"/>
              <w:keepLines w:val="0"/>
              <w:pageBreakBefore w:val="0"/>
              <w:widowControl/>
              <w:kinsoku/>
              <w:wordWrap/>
              <w:overflowPunct/>
              <w:topLinePunct w:val="0"/>
              <w:autoSpaceDE/>
              <w:autoSpaceDN/>
              <w:bidi w:val="0"/>
              <w:adjustRightInd/>
              <w:snapToGrid/>
              <w:spacing w:line="200" w:lineRule="exact"/>
              <w:ind w:left="0" w:leftChars="0" w:right="0" w:rightChars="0"/>
              <w:textAlignment w:val="auto"/>
              <w:rPr>
                <w:rFonts w:hint="default" w:ascii="Calibri" w:hAnsi="Calibri" w:cs="Calibri"/>
                <w:sz w:val="21"/>
                <w:szCs w:val="21"/>
              </w:rPr>
            </w:pPr>
            <w:r>
              <w:rPr>
                <w:rFonts w:hint="eastAsia" w:ascii="仿宋_GB2312" w:hAnsi="黑体" w:eastAsia="仿宋_GB2312"/>
                <w:kern w:val="0"/>
                <w:szCs w:val="21"/>
              </w:rPr>
              <w:t>5.属于三类内部事务信息</w:t>
            </w:r>
          </w:p>
        </w:tc>
        <w:tc>
          <w:tcPr>
            <w:tcW w:w="68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12A008F">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498"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F885DA9">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498"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6E21AB0">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65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CF0C604">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618"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10E44FA">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48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198150C">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648"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9534D7F">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pPr>
            <w:r>
              <w:rPr>
                <w:rFonts w:hint="eastAsia" w:ascii="仿宋_GB2312" w:hAnsi="Times New Roman" w:eastAsia="仿宋_GB2312"/>
                <w:szCs w:val="21"/>
                <w:lang w:val="en-US" w:eastAsia="zh-CN"/>
              </w:rPr>
              <w:t>0</w:t>
            </w:r>
          </w:p>
        </w:tc>
      </w:tr>
      <w:tr w14:paraId="17FE9C8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50" w:hRule="atLeast"/>
          <w:jc w:val="center"/>
        </w:trPr>
        <w:tc>
          <w:tcPr>
            <w:tcW w:w="63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C495A86">
            <w:pPr>
              <w:keepNext w:val="0"/>
              <w:keepLines w:val="0"/>
              <w:pageBreakBefore w:val="0"/>
              <w:kinsoku/>
              <w:wordWrap/>
              <w:overflowPunct/>
              <w:topLinePunct w:val="0"/>
              <w:autoSpaceDE/>
              <w:autoSpaceDN/>
              <w:bidi w:val="0"/>
              <w:adjustRightInd/>
              <w:snapToGrid/>
              <w:ind w:left="0" w:leftChars="0" w:right="0" w:rightChars="0"/>
              <w:textAlignment w:val="auto"/>
              <w:rPr>
                <w:rFonts w:hint="eastAsia" w:ascii="宋体"/>
                <w:sz w:val="24"/>
                <w:szCs w:val="24"/>
              </w:rPr>
            </w:pPr>
          </w:p>
        </w:tc>
        <w:tc>
          <w:tcPr>
            <w:tcW w:w="1399"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6524869">
            <w:pPr>
              <w:keepNext w:val="0"/>
              <w:keepLines w:val="0"/>
              <w:pageBreakBefore w:val="0"/>
              <w:kinsoku/>
              <w:wordWrap/>
              <w:overflowPunct/>
              <w:topLinePunct w:val="0"/>
              <w:autoSpaceDE/>
              <w:autoSpaceDN/>
              <w:bidi w:val="0"/>
              <w:adjustRightInd/>
              <w:snapToGrid/>
              <w:spacing w:line="200" w:lineRule="exact"/>
              <w:ind w:left="0" w:leftChars="0" w:right="0" w:rightChars="0"/>
              <w:textAlignment w:val="auto"/>
              <w:rPr>
                <w:rFonts w:hint="eastAsia" w:ascii="宋体"/>
                <w:sz w:val="24"/>
                <w:szCs w:val="24"/>
              </w:rPr>
            </w:pPr>
          </w:p>
        </w:tc>
        <w:tc>
          <w:tcPr>
            <w:tcW w:w="2396"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6037D5E">
            <w:pPr>
              <w:keepNext w:val="0"/>
              <w:keepLines w:val="0"/>
              <w:pageBreakBefore w:val="0"/>
              <w:widowControl/>
              <w:kinsoku/>
              <w:wordWrap/>
              <w:overflowPunct/>
              <w:topLinePunct w:val="0"/>
              <w:autoSpaceDE/>
              <w:autoSpaceDN/>
              <w:bidi w:val="0"/>
              <w:adjustRightInd/>
              <w:snapToGrid/>
              <w:spacing w:line="200" w:lineRule="exact"/>
              <w:ind w:left="0" w:leftChars="0" w:right="0" w:rightChars="0"/>
              <w:textAlignment w:val="auto"/>
              <w:rPr>
                <w:rFonts w:hint="default" w:ascii="Calibri" w:hAnsi="Calibri" w:cs="Calibri"/>
                <w:sz w:val="21"/>
                <w:szCs w:val="21"/>
              </w:rPr>
            </w:pPr>
            <w:r>
              <w:rPr>
                <w:rFonts w:hint="eastAsia" w:ascii="仿宋_GB2312" w:hAnsi="黑体" w:eastAsia="仿宋_GB2312"/>
                <w:kern w:val="0"/>
                <w:szCs w:val="21"/>
              </w:rPr>
              <w:t>6.属于四类过程性信息</w:t>
            </w:r>
          </w:p>
        </w:tc>
        <w:tc>
          <w:tcPr>
            <w:tcW w:w="68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4F53F60">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498"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0826362">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498"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7DACC42">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65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22F717B">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618"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C2CA5D4">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48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AF2F114">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648"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591E963">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pPr>
            <w:r>
              <w:rPr>
                <w:rFonts w:hint="eastAsia" w:ascii="仿宋_GB2312" w:hAnsi="Times New Roman" w:eastAsia="仿宋_GB2312"/>
                <w:szCs w:val="21"/>
                <w:lang w:val="en-US" w:eastAsia="zh-CN"/>
              </w:rPr>
              <w:t>0</w:t>
            </w:r>
          </w:p>
        </w:tc>
      </w:tr>
      <w:tr w14:paraId="5315C80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50" w:hRule="atLeast"/>
          <w:jc w:val="center"/>
        </w:trPr>
        <w:tc>
          <w:tcPr>
            <w:tcW w:w="63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F84F7CB">
            <w:pPr>
              <w:keepNext w:val="0"/>
              <w:keepLines w:val="0"/>
              <w:pageBreakBefore w:val="0"/>
              <w:kinsoku/>
              <w:wordWrap/>
              <w:overflowPunct/>
              <w:topLinePunct w:val="0"/>
              <w:autoSpaceDE/>
              <w:autoSpaceDN/>
              <w:bidi w:val="0"/>
              <w:adjustRightInd/>
              <w:snapToGrid/>
              <w:ind w:left="0" w:leftChars="0" w:right="0" w:rightChars="0"/>
              <w:textAlignment w:val="auto"/>
              <w:rPr>
                <w:rFonts w:hint="eastAsia" w:ascii="宋体"/>
                <w:sz w:val="24"/>
                <w:szCs w:val="24"/>
              </w:rPr>
            </w:pPr>
          </w:p>
        </w:tc>
        <w:tc>
          <w:tcPr>
            <w:tcW w:w="1399"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B5775D0">
            <w:pPr>
              <w:keepNext w:val="0"/>
              <w:keepLines w:val="0"/>
              <w:pageBreakBefore w:val="0"/>
              <w:kinsoku/>
              <w:wordWrap/>
              <w:overflowPunct/>
              <w:topLinePunct w:val="0"/>
              <w:autoSpaceDE/>
              <w:autoSpaceDN/>
              <w:bidi w:val="0"/>
              <w:adjustRightInd/>
              <w:snapToGrid/>
              <w:spacing w:line="200" w:lineRule="exact"/>
              <w:ind w:left="0" w:leftChars="0" w:right="0" w:rightChars="0"/>
              <w:textAlignment w:val="auto"/>
              <w:rPr>
                <w:rFonts w:hint="eastAsia" w:ascii="宋体"/>
                <w:sz w:val="24"/>
                <w:szCs w:val="24"/>
              </w:rPr>
            </w:pPr>
          </w:p>
        </w:tc>
        <w:tc>
          <w:tcPr>
            <w:tcW w:w="2396"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E9507F3">
            <w:pPr>
              <w:keepNext w:val="0"/>
              <w:keepLines w:val="0"/>
              <w:pageBreakBefore w:val="0"/>
              <w:widowControl/>
              <w:kinsoku/>
              <w:wordWrap/>
              <w:overflowPunct/>
              <w:topLinePunct w:val="0"/>
              <w:autoSpaceDE/>
              <w:autoSpaceDN/>
              <w:bidi w:val="0"/>
              <w:adjustRightInd/>
              <w:snapToGrid/>
              <w:spacing w:line="200" w:lineRule="exact"/>
              <w:ind w:left="0" w:leftChars="0" w:right="0" w:rightChars="0"/>
              <w:textAlignment w:val="auto"/>
              <w:rPr>
                <w:rFonts w:hint="default" w:ascii="Calibri" w:hAnsi="Calibri" w:cs="Calibri"/>
                <w:sz w:val="21"/>
                <w:szCs w:val="21"/>
              </w:rPr>
            </w:pPr>
            <w:r>
              <w:rPr>
                <w:rFonts w:hint="eastAsia" w:ascii="仿宋_GB2312" w:hAnsi="黑体" w:eastAsia="仿宋_GB2312"/>
                <w:kern w:val="0"/>
                <w:szCs w:val="21"/>
              </w:rPr>
              <w:t>7.属于行政执法案卷</w:t>
            </w:r>
          </w:p>
        </w:tc>
        <w:tc>
          <w:tcPr>
            <w:tcW w:w="68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3D6EAC1">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498"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1C13EBF">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498"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5D337A8">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65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BDFE982">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618"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EF3BF56">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48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3B85E33">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648"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B2DD77E">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pPr>
            <w:r>
              <w:rPr>
                <w:rFonts w:hint="eastAsia" w:ascii="仿宋_GB2312" w:hAnsi="Times New Roman" w:eastAsia="仿宋_GB2312"/>
                <w:szCs w:val="21"/>
                <w:lang w:val="en-US" w:eastAsia="zh-CN"/>
              </w:rPr>
              <w:t>0</w:t>
            </w:r>
          </w:p>
        </w:tc>
      </w:tr>
      <w:tr w14:paraId="30C44DF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50" w:hRule="atLeast"/>
          <w:jc w:val="center"/>
        </w:trPr>
        <w:tc>
          <w:tcPr>
            <w:tcW w:w="63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6E641DD">
            <w:pPr>
              <w:keepNext w:val="0"/>
              <w:keepLines w:val="0"/>
              <w:pageBreakBefore w:val="0"/>
              <w:kinsoku/>
              <w:wordWrap/>
              <w:overflowPunct/>
              <w:topLinePunct w:val="0"/>
              <w:autoSpaceDE/>
              <w:autoSpaceDN/>
              <w:bidi w:val="0"/>
              <w:adjustRightInd/>
              <w:snapToGrid/>
              <w:ind w:left="0" w:leftChars="0" w:right="0" w:rightChars="0"/>
              <w:textAlignment w:val="auto"/>
              <w:rPr>
                <w:rFonts w:hint="eastAsia" w:ascii="宋体"/>
                <w:sz w:val="24"/>
                <w:szCs w:val="24"/>
              </w:rPr>
            </w:pPr>
          </w:p>
        </w:tc>
        <w:tc>
          <w:tcPr>
            <w:tcW w:w="1399"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D39D97B">
            <w:pPr>
              <w:keepNext w:val="0"/>
              <w:keepLines w:val="0"/>
              <w:pageBreakBefore w:val="0"/>
              <w:kinsoku/>
              <w:wordWrap/>
              <w:overflowPunct/>
              <w:topLinePunct w:val="0"/>
              <w:autoSpaceDE/>
              <w:autoSpaceDN/>
              <w:bidi w:val="0"/>
              <w:adjustRightInd/>
              <w:snapToGrid/>
              <w:spacing w:line="200" w:lineRule="exact"/>
              <w:ind w:left="0" w:leftChars="0" w:right="0" w:rightChars="0"/>
              <w:textAlignment w:val="auto"/>
              <w:rPr>
                <w:rFonts w:hint="eastAsia" w:ascii="宋体"/>
                <w:sz w:val="24"/>
                <w:szCs w:val="24"/>
              </w:rPr>
            </w:pPr>
          </w:p>
        </w:tc>
        <w:tc>
          <w:tcPr>
            <w:tcW w:w="2396"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D0E8479">
            <w:pPr>
              <w:keepNext w:val="0"/>
              <w:keepLines w:val="0"/>
              <w:pageBreakBefore w:val="0"/>
              <w:widowControl/>
              <w:kinsoku/>
              <w:wordWrap/>
              <w:overflowPunct/>
              <w:topLinePunct w:val="0"/>
              <w:autoSpaceDE/>
              <w:autoSpaceDN/>
              <w:bidi w:val="0"/>
              <w:adjustRightInd/>
              <w:snapToGrid/>
              <w:spacing w:line="200" w:lineRule="exact"/>
              <w:ind w:left="0" w:leftChars="0" w:right="0" w:rightChars="0"/>
              <w:textAlignment w:val="auto"/>
              <w:rPr>
                <w:rFonts w:hint="default" w:ascii="Calibri" w:hAnsi="Calibri" w:cs="Calibri"/>
                <w:sz w:val="21"/>
                <w:szCs w:val="21"/>
              </w:rPr>
            </w:pPr>
            <w:r>
              <w:rPr>
                <w:rFonts w:hint="eastAsia" w:ascii="仿宋_GB2312" w:hAnsi="黑体" w:eastAsia="仿宋_GB2312"/>
                <w:kern w:val="0"/>
                <w:szCs w:val="21"/>
              </w:rPr>
              <w:t>8.属于行政查询事项</w:t>
            </w:r>
          </w:p>
        </w:tc>
        <w:tc>
          <w:tcPr>
            <w:tcW w:w="68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F8F493A">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498"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69F82C3">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498"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5CFAC72">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65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EE8E708">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618"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EA5893E">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48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D692F58">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648"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65889AB">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pPr>
            <w:r>
              <w:rPr>
                <w:rFonts w:hint="eastAsia" w:ascii="仿宋_GB2312" w:hAnsi="Times New Roman" w:eastAsia="仿宋_GB2312"/>
                <w:szCs w:val="21"/>
                <w:lang w:val="en-US" w:eastAsia="zh-CN"/>
              </w:rPr>
              <w:t>0</w:t>
            </w:r>
          </w:p>
        </w:tc>
      </w:tr>
      <w:tr w14:paraId="5A17A35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50" w:hRule="atLeast"/>
          <w:jc w:val="center"/>
        </w:trPr>
        <w:tc>
          <w:tcPr>
            <w:tcW w:w="63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36C89E3">
            <w:pPr>
              <w:keepNext w:val="0"/>
              <w:keepLines w:val="0"/>
              <w:pageBreakBefore w:val="0"/>
              <w:kinsoku/>
              <w:wordWrap/>
              <w:overflowPunct/>
              <w:topLinePunct w:val="0"/>
              <w:autoSpaceDE/>
              <w:autoSpaceDN/>
              <w:bidi w:val="0"/>
              <w:adjustRightInd/>
              <w:snapToGrid/>
              <w:ind w:left="0" w:leftChars="0" w:right="0" w:rightChars="0"/>
              <w:textAlignment w:val="auto"/>
              <w:rPr>
                <w:rFonts w:hint="eastAsia" w:ascii="宋体"/>
                <w:sz w:val="24"/>
                <w:szCs w:val="24"/>
              </w:rPr>
            </w:pPr>
          </w:p>
        </w:tc>
        <w:tc>
          <w:tcPr>
            <w:tcW w:w="1399"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73463AB">
            <w:pPr>
              <w:keepNext w:val="0"/>
              <w:keepLines w:val="0"/>
              <w:pageBreakBefore w:val="0"/>
              <w:widowControl/>
              <w:kinsoku/>
              <w:wordWrap/>
              <w:overflowPunct/>
              <w:topLinePunct w:val="0"/>
              <w:autoSpaceDE/>
              <w:autoSpaceDN/>
              <w:bidi w:val="0"/>
              <w:adjustRightInd/>
              <w:snapToGrid/>
              <w:spacing w:line="200" w:lineRule="exact"/>
              <w:ind w:left="0" w:leftChars="0" w:right="0" w:rightChars="0"/>
              <w:textAlignment w:val="auto"/>
              <w:rPr>
                <w:rFonts w:hint="default" w:ascii="Calibri" w:hAnsi="Calibri" w:cs="Calibri"/>
                <w:sz w:val="21"/>
                <w:szCs w:val="21"/>
              </w:rPr>
            </w:pPr>
            <w:r>
              <w:rPr>
                <w:rFonts w:hint="eastAsia" w:ascii="黑体" w:hAnsi="黑体" w:eastAsia="黑体"/>
                <w:kern w:val="0"/>
                <w:szCs w:val="21"/>
              </w:rPr>
              <w:t>（四）无法提供</w:t>
            </w:r>
          </w:p>
        </w:tc>
        <w:tc>
          <w:tcPr>
            <w:tcW w:w="2396"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88E1B33">
            <w:pPr>
              <w:keepNext w:val="0"/>
              <w:keepLines w:val="0"/>
              <w:pageBreakBefore w:val="0"/>
              <w:widowControl/>
              <w:kinsoku/>
              <w:wordWrap/>
              <w:overflowPunct/>
              <w:topLinePunct w:val="0"/>
              <w:autoSpaceDE/>
              <w:autoSpaceDN/>
              <w:bidi w:val="0"/>
              <w:adjustRightInd/>
              <w:snapToGrid/>
              <w:spacing w:line="200" w:lineRule="exact"/>
              <w:ind w:left="0" w:leftChars="0" w:right="0" w:rightChars="0"/>
              <w:textAlignment w:val="auto"/>
              <w:rPr>
                <w:rFonts w:hint="default" w:ascii="Calibri" w:hAnsi="Calibri" w:cs="Calibri"/>
                <w:sz w:val="21"/>
                <w:szCs w:val="21"/>
              </w:rPr>
            </w:pPr>
            <w:r>
              <w:rPr>
                <w:rFonts w:hint="eastAsia" w:ascii="仿宋_GB2312" w:hAnsi="黑体" w:eastAsia="仿宋_GB2312"/>
                <w:kern w:val="0"/>
                <w:szCs w:val="21"/>
              </w:rPr>
              <w:t>1.本机关不掌握相关政府信息</w:t>
            </w:r>
          </w:p>
        </w:tc>
        <w:tc>
          <w:tcPr>
            <w:tcW w:w="68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8C58C17">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498"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6D47053">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498"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E882796">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65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DD28CBA">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618"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99FC0D2">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48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67B0397">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648"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8218A36">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pPr>
            <w:r>
              <w:rPr>
                <w:rFonts w:hint="eastAsia" w:ascii="仿宋_GB2312" w:hAnsi="Times New Roman" w:eastAsia="仿宋_GB2312"/>
                <w:szCs w:val="21"/>
                <w:lang w:val="en-US" w:eastAsia="zh-CN"/>
              </w:rPr>
              <w:t>0</w:t>
            </w:r>
          </w:p>
        </w:tc>
      </w:tr>
      <w:tr w14:paraId="56A0D92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50" w:hRule="atLeast"/>
          <w:jc w:val="center"/>
        </w:trPr>
        <w:tc>
          <w:tcPr>
            <w:tcW w:w="63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509AC7F">
            <w:pPr>
              <w:keepNext w:val="0"/>
              <w:keepLines w:val="0"/>
              <w:pageBreakBefore w:val="0"/>
              <w:kinsoku/>
              <w:wordWrap/>
              <w:overflowPunct/>
              <w:topLinePunct w:val="0"/>
              <w:autoSpaceDE/>
              <w:autoSpaceDN/>
              <w:bidi w:val="0"/>
              <w:adjustRightInd/>
              <w:snapToGrid/>
              <w:ind w:left="0" w:leftChars="0" w:right="0" w:rightChars="0"/>
              <w:textAlignment w:val="auto"/>
              <w:rPr>
                <w:rFonts w:hint="eastAsia" w:ascii="宋体"/>
                <w:sz w:val="24"/>
                <w:szCs w:val="24"/>
              </w:rPr>
            </w:pPr>
          </w:p>
        </w:tc>
        <w:tc>
          <w:tcPr>
            <w:tcW w:w="1399"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A52BC87">
            <w:pPr>
              <w:keepNext w:val="0"/>
              <w:keepLines w:val="0"/>
              <w:pageBreakBefore w:val="0"/>
              <w:kinsoku/>
              <w:wordWrap/>
              <w:overflowPunct/>
              <w:topLinePunct w:val="0"/>
              <w:autoSpaceDE/>
              <w:autoSpaceDN/>
              <w:bidi w:val="0"/>
              <w:adjustRightInd/>
              <w:snapToGrid/>
              <w:spacing w:line="200" w:lineRule="exact"/>
              <w:ind w:left="0" w:leftChars="0" w:right="0" w:rightChars="0"/>
              <w:textAlignment w:val="auto"/>
              <w:rPr>
                <w:rFonts w:hint="eastAsia" w:ascii="宋体"/>
                <w:sz w:val="24"/>
                <w:szCs w:val="24"/>
              </w:rPr>
            </w:pPr>
          </w:p>
        </w:tc>
        <w:tc>
          <w:tcPr>
            <w:tcW w:w="2396"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940CE97">
            <w:pPr>
              <w:keepNext w:val="0"/>
              <w:keepLines w:val="0"/>
              <w:pageBreakBefore w:val="0"/>
              <w:widowControl/>
              <w:kinsoku/>
              <w:wordWrap/>
              <w:overflowPunct/>
              <w:topLinePunct w:val="0"/>
              <w:autoSpaceDE/>
              <w:autoSpaceDN/>
              <w:bidi w:val="0"/>
              <w:adjustRightInd/>
              <w:snapToGrid/>
              <w:spacing w:line="200" w:lineRule="exact"/>
              <w:ind w:left="0" w:leftChars="0" w:right="0" w:rightChars="0"/>
              <w:textAlignment w:val="auto"/>
              <w:rPr>
                <w:rFonts w:hint="default" w:ascii="Calibri" w:hAnsi="Calibri" w:cs="Calibri"/>
                <w:sz w:val="21"/>
                <w:szCs w:val="21"/>
              </w:rPr>
            </w:pPr>
            <w:r>
              <w:rPr>
                <w:rFonts w:hint="eastAsia" w:ascii="仿宋_GB2312" w:hAnsi="黑体" w:eastAsia="仿宋_GB2312"/>
                <w:kern w:val="0"/>
                <w:szCs w:val="21"/>
              </w:rPr>
              <w:t>2.没有现成信息需要另行制作</w:t>
            </w:r>
          </w:p>
        </w:tc>
        <w:tc>
          <w:tcPr>
            <w:tcW w:w="68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4402FE8">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498"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89FA678">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498"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0126D7F">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65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BC308D5">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618"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FAB757D">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48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AAA238E">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648"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0BCE95E">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pPr>
            <w:r>
              <w:rPr>
                <w:rFonts w:hint="eastAsia" w:ascii="仿宋_GB2312" w:hAnsi="Times New Roman" w:eastAsia="仿宋_GB2312"/>
                <w:szCs w:val="21"/>
                <w:lang w:val="en-US" w:eastAsia="zh-CN"/>
              </w:rPr>
              <w:t>0</w:t>
            </w:r>
          </w:p>
        </w:tc>
      </w:tr>
      <w:tr w14:paraId="53C699A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50" w:hRule="atLeast"/>
          <w:jc w:val="center"/>
        </w:trPr>
        <w:tc>
          <w:tcPr>
            <w:tcW w:w="63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F7EF6F9">
            <w:pPr>
              <w:keepNext w:val="0"/>
              <w:keepLines w:val="0"/>
              <w:pageBreakBefore w:val="0"/>
              <w:kinsoku/>
              <w:wordWrap/>
              <w:overflowPunct/>
              <w:topLinePunct w:val="0"/>
              <w:autoSpaceDE/>
              <w:autoSpaceDN/>
              <w:bidi w:val="0"/>
              <w:adjustRightInd/>
              <w:snapToGrid/>
              <w:ind w:left="0" w:leftChars="0" w:right="0" w:rightChars="0"/>
              <w:textAlignment w:val="auto"/>
              <w:rPr>
                <w:rFonts w:hint="eastAsia" w:ascii="宋体"/>
                <w:sz w:val="24"/>
                <w:szCs w:val="24"/>
              </w:rPr>
            </w:pPr>
          </w:p>
        </w:tc>
        <w:tc>
          <w:tcPr>
            <w:tcW w:w="1399"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2FACE60">
            <w:pPr>
              <w:keepNext w:val="0"/>
              <w:keepLines w:val="0"/>
              <w:pageBreakBefore w:val="0"/>
              <w:kinsoku/>
              <w:wordWrap/>
              <w:overflowPunct/>
              <w:topLinePunct w:val="0"/>
              <w:autoSpaceDE/>
              <w:autoSpaceDN/>
              <w:bidi w:val="0"/>
              <w:adjustRightInd/>
              <w:snapToGrid/>
              <w:spacing w:line="200" w:lineRule="exact"/>
              <w:ind w:left="0" w:leftChars="0" w:right="0" w:rightChars="0"/>
              <w:textAlignment w:val="auto"/>
              <w:rPr>
                <w:rFonts w:hint="eastAsia" w:ascii="宋体"/>
                <w:sz w:val="24"/>
                <w:szCs w:val="24"/>
              </w:rPr>
            </w:pPr>
          </w:p>
        </w:tc>
        <w:tc>
          <w:tcPr>
            <w:tcW w:w="2396"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1CFF9E7">
            <w:pPr>
              <w:keepNext w:val="0"/>
              <w:keepLines w:val="0"/>
              <w:pageBreakBefore w:val="0"/>
              <w:widowControl/>
              <w:kinsoku/>
              <w:wordWrap/>
              <w:overflowPunct/>
              <w:topLinePunct w:val="0"/>
              <w:autoSpaceDE/>
              <w:autoSpaceDN/>
              <w:bidi w:val="0"/>
              <w:adjustRightInd/>
              <w:snapToGrid/>
              <w:spacing w:line="200" w:lineRule="exact"/>
              <w:ind w:left="0" w:leftChars="0" w:right="0" w:rightChars="0"/>
              <w:textAlignment w:val="auto"/>
              <w:rPr>
                <w:rFonts w:hint="default" w:ascii="Calibri" w:hAnsi="Calibri" w:cs="Calibri"/>
                <w:sz w:val="21"/>
                <w:szCs w:val="21"/>
              </w:rPr>
            </w:pPr>
            <w:r>
              <w:rPr>
                <w:rFonts w:hint="eastAsia" w:ascii="仿宋_GB2312" w:hAnsi="黑体" w:eastAsia="仿宋_GB2312"/>
                <w:kern w:val="0"/>
                <w:szCs w:val="21"/>
              </w:rPr>
              <w:t>3.补正后申请内容仍不明确</w:t>
            </w:r>
          </w:p>
        </w:tc>
        <w:tc>
          <w:tcPr>
            <w:tcW w:w="68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18A1D86">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498"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09AA1D6">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498"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1AFBB93">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65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4C2411C">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618"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3FDFAD1">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48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641F65E">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648"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051E123">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pPr>
            <w:r>
              <w:rPr>
                <w:rFonts w:hint="eastAsia" w:ascii="仿宋_GB2312" w:hAnsi="Times New Roman" w:eastAsia="仿宋_GB2312"/>
                <w:szCs w:val="21"/>
                <w:lang w:val="en-US" w:eastAsia="zh-CN"/>
              </w:rPr>
              <w:t>0</w:t>
            </w:r>
          </w:p>
        </w:tc>
      </w:tr>
      <w:tr w14:paraId="0929F55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50" w:hRule="atLeast"/>
          <w:jc w:val="center"/>
        </w:trPr>
        <w:tc>
          <w:tcPr>
            <w:tcW w:w="63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103FC2A">
            <w:pPr>
              <w:keepNext w:val="0"/>
              <w:keepLines w:val="0"/>
              <w:pageBreakBefore w:val="0"/>
              <w:kinsoku/>
              <w:wordWrap/>
              <w:overflowPunct/>
              <w:topLinePunct w:val="0"/>
              <w:autoSpaceDE/>
              <w:autoSpaceDN/>
              <w:bidi w:val="0"/>
              <w:adjustRightInd/>
              <w:snapToGrid/>
              <w:ind w:left="0" w:leftChars="0" w:right="0" w:rightChars="0"/>
              <w:textAlignment w:val="auto"/>
              <w:rPr>
                <w:rFonts w:hint="eastAsia" w:ascii="宋体"/>
                <w:sz w:val="24"/>
                <w:szCs w:val="24"/>
              </w:rPr>
            </w:pPr>
          </w:p>
        </w:tc>
        <w:tc>
          <w:tcPr>
            <w:tcW w:w="1399"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4445B1E">
            <w:pPr>
              <w:keepNext w:val="0"/>
              <w:keepLines w:val="0"/>
              <w:pageBreakBefore w:val="0"/>
              <w:widowControl/>
              <w:kinsoku/>
              <w:wordWrap/>
              <w:overflowPunct/>
              <w:topLinePunct w:val="0"/>
              <w:autoSpaceDE/>
              <w:autoSpaceDN/>
              <w:bidi w:val="0"/>
              <w:adjustRightInd/>
              <w:snapToGrid/>
              <w:spacing w:line="200" w:lineRule="exact"/>
              <w:ind w:left="0" w:leftChars="0" w:right="0" w:rightChars="0"/>
              <w:textAlignment w:val="auto"/>
              <w:rPr>
                <w:rFonts w:hint="default" w:ascii="Calibri" w:hAnsi="Calibri" w:cs="Calibri"/>
                <w:sz w:val="21"/>
                <w:szCs w:val="21"/>
              </w:rPr>
            </w:pPr>
            <w:r>
              <w:rPr>
                <w:rFonts w:hint="eastAsia" w:ascii="黑体" w:hAnsi="黑体" w:eastAsia="黑体"/>
                <w:kern w:val="0"/>
                <w:szCs w:val="21"/>
              </w:rPr>
              <w:t>（五）不予处理</w:t>
            </w:r>
          </w:p>
        </w:tc>
        <w:tc>
          <w:tcPr>
            <w:tcW w:w="2396"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7A29F1E">
            <w:pPr>
              <w:keepNext w:val="0"/>
              <w:keepLines w:val="0"/>
              <w:pageBreakBefore w:val="0"/>
              <w:widowControl/>
              <w:kinsoku/>
              <w:wordWrap/>
              <w:overflowPunct/>
              <w:topLinePunct w:val="0"/>
              <w:autoSpaceDE/>
              <w:autoSpaceDN/>
              <w:bidi w:val="0"/>
              <w:adjustRightInd/>
              <w:snapToGrid/>
              <w:spacing w:line="200" w:lineRule="exact"/>
              <w:ind w:left="0" w:leftChars="0" w:right="0" w:rightChars="0"/>
              <w:textAlignment w:val="auto"/>
              <w:rPr>
                <w:rFonts w:hint="default" w:ascii="Calibri" w:hAnsi="Calibri" w:cs="Calibri"/>
                <w:sz w:val="21"/>
                <w:szCs w:val="21"/>
              </w:rPr>
            </w:pPr>
            <w:r>
              <w:rPr>
                <w:rFonts w:hint="eastAsia" w:ascii="仿宋_GB2312" w:hAnsi="黑体" w:eastAsia="仿宋_GB2312"/>
                <w:kern w:val="0"/>
                <w:szCs w:val="21"/>
              </w:rPr>
              <w:t>1.信访举报投诉类申请</w:t>
            </w:r>
          </w:p>
        </w:tc>
        <w:tc>
          <w:tcPr>
            <w:tcW w:w="68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32EA163">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498"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21B3A76">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498"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DF3BE35">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65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F0AA169">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618"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CEF6E84">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48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48CFB19">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648"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03A0005">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pPr>
            <w:r>
              <w:rPr>
                <w:rFonts w:hint="eastAsia" w:ascii="仿宋_GB2312" w:hAnsi="Times New Roman" w:eastAsia="仿宋_GB2312"/>
                <w:szCs w:val="21"/>
                <w:lang w:val="en-US" w:eastAsia="zh-CN"/>
              </w:rPr>
              <w:t>0</w:t>
            </w:r>
          </w:p>
        </w:tc>
      </w:tr>
      <w:tr w14:paraId="43F53D0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50" w:hRule="atLeast"/>
          <w:jc w:val="center"/>
        </w:trPr>
        <w:tc>
          <w:tcPr>
            <w:tcW w:w="63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46D4F21">
            <w:pPr>
              <w:keepNext w:val="0"/>
              <w:keepLines w:val="0"/>
              <w:pageBreakBefore w:val="0"/>
              <w:kinsoku/>
              <w:wordWrap/>
              <w:overflowPunct/>
              <w:topLinePunct w:val="0"/>
              <w:autoSpaceDE/>
              <w:autoSpaceDN/>
              <w:bidi w:val="0"/>
              <w:adjustRightInd/>
              <w:snapToGrid/>
              <w:ind w:left="0" w:leftChars="0" w:right="0" w:rightChars="0"/>
              <w:textAlignment w:val="auto"/>
              <w:rPr>
                <w:rFonts w:hint="eastAsia" w:ascii="宋体"/>
                <w:sz w:val="24"/>
                <w:szCs w:val="24"/>
              </w:rPr>
            </w:pPr>
          </w:p>
        </w:tc>
        <w:tc>
          <w:tcPr>
            <w:tcW w:w="1399"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E8D8F51">
            <w:pPr>
              <w:keepNext w:val="0"/>
              <w:keepLines w:val="0"/>
              <w:pageBreakBefore w:val="0"/>
              <w:kinsoku/>
              <w:wordWrap/>
              <w:overflowPunct/>
              <w:topLinePunct w:val="0"/>
              <w:autoSpaceDE/>
              <w:autoSpaceDN/>
              <w:bidi w:val="0"/>
              <w:adjustRightInd/>
              <w:snapToGrid/>
              <w:spacing w:line="200" w:lineRule="exact"/>
              <w:ind w:left="0" w:leftChars="0" w:right="0" w:rightChars="0"/>
              <w:textAlignment w:val="auto"/>
              <w:rPr>
                <w:rFonts w:hint="eastAsia" w:ascii="宋体"/>
                <w:sz w:val="24"/>
                <w:szCs w:val="24"/>
              </w:rPr>
            </w:pPr>
          </w:p>
        </w:tc>
        <w:tc>
          <w:tcPr>
            <w:tcW w:w="2396"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5B11CAC">
            <w:pPr>
              <w:keepNext w:val="0"/>
              <w:keepLines w:val="0"/>
              <w:pageBreakBefore w:val="0"/>
              <w:widowControl/>
              <w:kinsoku/>
              <w:wordWrap/>
              <w:overflowPunct/>
              <w:topLinePunct w:val="0"/>
              <w:autoSpaceDE/>
              <w:autoSpaceDN/>
              <w:bidi w:val="0"/>
              <w:adjustRightInd/>
              <w:snapToGrid/>
              <w:spacing w:line="200" w:lineRule="exact"/>
              <w:ind w:left="0" w:leftChars="0" w:right="0" w:rightChars="0"/>
              <w:textAlignment w:val="auto"/>
              <w:rPr>
                <w:rFonts w:hint="default" w:ascii="Calibri" w:hAnsi="Calibri" w:cs="Calibri"/>
                <w:sz w:val="21"/>
                <w:szCs w:val="21"/>
              </w:rPr>
            </w:pPr>
            <w:r>
              <w:rPr>
                <w:rFonts w:hint="eastAsia" w:ascii="仿宋_GB2312" w:hAnsi="黑体" w:eastAsia="仿宋_GB2312"/>
                <w:kern w:val="0"/>
                <w:szCs w:val="21"/>
              </w:rPr>
              <w:t>2.重复申请</w:t>
            </w:r>
          </w:p>
        </w:tc>
        <w:tc>
          <w:tcPr>
            <w:tcW w:w="68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76EB4E4">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498"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1EE147E">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498"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6617453">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65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ED484EA">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618"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524B2DC">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48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BAD3B06">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648"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68FABEF">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pPr>
            <w:r>
              <w:rPr>
                <w:rFonts w:hint="eastAsia" w:ascii="仿宋_GB2312" w:hAnsi="Times New Roman" w:eastAsia="仿宋_GB2312"/>
                <w:szCs w:val="21"/>
                <w:lang w:val="en-US" w:eastAsia="zh-CN"/>
              </w:rPr>
              <w:t>0</w:t>
            </w:r>
          </w:p>
        </w:tc>
      </w:tr>
      <w:tr w14:paraId="67F023E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50" w:hRule="atLeast"/>
          <w:jc w:val="center"/>
        </w:trPr>
        <w:tc>
          <w:tcPr>
            <w:tcW w:w="63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7149441">
            <w:pPr>
              <w:keepNext w:val="0"/>
              <w:keepLines w:val="0"/>
              <w:pageBreakBefore w:val="0"/>
              <w:kinsoku/>
              <w:wordWrap/>
              <w:overflowPunct/>
              <w:topLinePunct w:val="0"/>
              <w:autoSpaceDE/>
              <w:autoSpaceDN/>
              <w:bidi w:val="0"/>
              <w:adjustRightInd/>
              <w:snapToGrid/>
              <w:ind w:left="0" w:leftChars="0" w:right="0" w:rightChars="0"/>
              <w:textAlignment w:val="auto"/>
              <w:rPr>
                <w:rFonts w:hint="eastAsia" w:ascii="宋体"/>
                <w:sz w:val="24"/>
                <w:szCs w:val="24"/>
              </w:rPr>
            </w:pPr>
          </w:p>
        </w:tc>
        <w:tc>
          <w:tcPr>
            <w:tcW w:w="1399"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20197A6">
            <w:pPr>
              <w:keepNext w:val="0"/>
              <w:keepLines w:val="0"/>
              <w:pageBreakBefore w:val="0"/>
              <w:kinsoku/>
              <w:wordWrap/>
              <w:overflowPunct/>
              <w:topLinePunct w:val="0"/>
              <w:autoSpaceDE/>
              <w:autoSpaceDN/>
              <w:bidi w:val="0"/>
              <w:adjustRightInd/>
              <w:snapToGrid/>
              <w:spacing w:line="200" w:lineRule="exact"/>
              <w:ind w:left="0" w:leftChars="0" w:right="0" w:rightChars="0"/>
              <w:textAlignment w:val="auto"/>
              <w:rPr>
                <w:rFonts w:hint="eastAsia" w:ascii="宋体"/>
                <w:sz w:val="24"/>
                <w:szCs w:val="24"/>
              </w:rPr>
            </w:pPr>
          </w:p>
        </w:tc>
        <w:tc>
          <w:tcPr>
            <w:tcW w:w="2396"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F74145D">
            <w:pPr>
              <w:keepNext w:val="0"/>
              <w:keepLines w:val="0"/>
              <w:pageBreakBefore w:val="0"/>
              <w:widowControl/>
              <w:kinsoku/>
              <w:wordWrap/>
              <w:overflowPunct/>
              <w:topLinePunct w:val="0"/>
              <w:autoSpaceDE/>
              <w:autoSpaceDN/>
              <w:bidi w:val="0"/>
              <w:adjustRightInd/>
              <w:snapToGrid/>
              <w:spacing w:line="200" w:lineRule="exact"/>
              <w:ind w:left="0" w:leftChars="0" w:right="0" w:rightChars="0"/>
              <w:textAlignment w:val="auto"/>
              <w:rPr>
                <w:rFonts w:hint="default" w:ascii="Calibri" w:hAnsi="Calibri" w:cs="Calibri"/>
                <w:sz w:val="21"/>
                <w:szCs w:val="21"/>
              </w:rPr>
            </w:pPr>
            <w:r>
              <w:rPr>
                <w:rFonts w:hint="eastAsia" w:ascii="仿宋_GB2312" w:hAnsi="黑体" w:eastAsia="仿宋_GB2312"/>
                <w:kern w:val="0"/>
                <w:szCs w:val="21"/>
              </w:rPr>
              <w:t>3.要求提供公开出版物</w:t>
            </w:r>
          </w:p>
        </w:tc>
        <w:tc>
          <w:tcPr>
            <w:tcW w:w="68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E25D1DC">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498"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AD264E9">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498"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423A4F6">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65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ED7A4AA">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618"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172B317">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48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D607245">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648"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DBA7867">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pPr>
            <w:r>
              <w:rPr>
                <w:rFonts w:hint="eastAsia" w:ascii="仿宋_GB2312" w:hAnsi="Times New Roman" w:eastAsia="仿宋_GB2312"/>
                <w:szCs w:val="21"/>
                <w:lang w:val="en-US" w:eastAsia="zh-CN"/>
              </w:rPr>
              <w:t>0</w:t>
            </w:r>
          </w:p>
        </w:tc>
      </w:tr>
      <w:tr w14:paraId="37A962B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90" w:hRule="atLeast"/>
          <w:jc w:val="center"/>
        </w:trPr>
        <w:tc>
          <w:tcPr>
            <w:tcW w:w="63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5592661">
            <w:pPr>
              <w:keepNext w:val="0"/>
              <w:keepLines w:val="0"/>
              <w:pageBreakBefore w:val="0"/>
              <w:kinsoku/>
              <w:wordWrap/>
              <w:overflowPunct/>
              <w:topLinePunct w:val="0"/>
              <w:autoSpaceDE/>
              <w:autoSpaceDN/>
              <w:bidi w:val="0"/>
              <w:adjustRightInd/>
              <w:snapToGrid/>
              <w:ind w:left="0" w:leftChars="0" w:right="0" w:rightChars="0"/>
              <w:textAlignment w:val="auto"/>
              <w:rPr>
                <w:rFonts w:hint="eastAsia" w:ascii="宋体"/>
                <w:sz w:val="24"/>
                <w:szCs w:val="24"/>
              </w:rPr>
            </w:pPr>
          </w:p>
        </w:tc>
        <w:tc>
          <w:tcPr>
            <w:tcW w:w="1399"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157305D">
            <w:pPr>
              <w:keepNext w:val="0"/>
              <w:keepLines w:val="0"/>
              <w:pageBreakBefore w:val="0"/>
              <w:kinsoku/>
              <w:wordWrap/>
              <w:overflowPunct/>
              <w:topLinePunct w:val="0"/>
              <w:autoSpaceDE/>
              <w:autoSpaceDN/>
              <w:bidi w:val="0"/>
              <w:adjustRightInd/>
              <w:snapToGrid/>
              <w:spacing w:line="200" w:lineRule="exact"/>
              <w:ind w:left="0" w:leftChars="0" w:right="0" w:rightChars="0"/>
              <w:textAlignment w:val="auto"/>
              <w:rPr>
                <w:rFonts w:hint="eastAsia" w:ascii="宋体"/>
                <w:sz w:val="24"/>
                <w:szCs w:val="24"/>
              </w:rPr>
            </w:pPr>
          </w:p>
        </w:tc>
        <w:tc>
          <w:tcPr>
            <w:tcW w:w="2396"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9A92A40">
            <w:pPr>
              <w:keepNext w:val="0"/>
              <w:keepLines w:val="0"/>
              <w:pageBreakBefore w:val="0"/>
              <w:widowControl/>
              <w:kinsoku/>
              <w:wordWrap/>
              <w:overflowPunct/>
              <w:topLinePunct w:val="0"/>
              <w:autoSpaceDE/>
              <w:autoSpaceDN/>
              <w:bidi w:val="0"/>
              <w:adjustRightInd/>
              <w:snapToGrid/>
              <w:spacing w:line="200" w:lineRule="exact"/>
              <w:ind w:left="0" w:leftChars="0" w:right="0" w:rightChars="0"/>
              <w:textAlignment w:val="auto"/>
              <w:rPr>
                <w:rFonts w:hint="default" w:ascii="Calibri" w:hAnsi="Calibri" w:cs="Calibri"/>
                <w:sz w:val="21"/>
                <w:szCs w:val="21"/>
              </w:rPr>
            </w:pPr>
            <w:r>
              <w:rPr>
                <w:rFonts w:hint="eastAsia" w:ascii="仿宋_GB2312" w:hAnsi="黑体" w:eastAsia="仿宋_GB2312"/>
                <w:kern w:val="0"/>
                <w:szCs w:val="21"/>
              </w:rPr>
              <w:t>4.无正当理由大量反复申请</w:t>
            </w:r>
          </w:p>
        </w:tc>
        <w:tc>
          <w:tcPr>
            <w:tcW w:w="68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8F23607">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498"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DA15195">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498"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2FF5016">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65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4F215B5">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618"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E3E638A">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48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B4EA1D4">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648"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9EDAF6A">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pPr>
            <w:r>
              <w:rPr>
                <w:rFonts w:hint="eastAsia" w:ascii="仿宋_GB2312" w:hAnsi="Times New Roman" w:eastAsia="仿宋_GB2312"/>
                <w:szCs w:val="21"/>
                <w:lang w:val="en-US" w:eastAsia="zh-CN"/>
              </w:rPr>
              <w:t>0</w:t>
            </w:r>
          </w:p>
        </w:tc>
      </w:tr>
      <w:tr w14:paraId="6D975E7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63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BBBAFE3">
            <w:pPr>
              <w:keepNext w:val="0"/>
              <w:keepLines w:val="0"/>
              <w:pageBreakBefore w:val="0"/>
              <w:kinsoku/>
              <w:wordWrap/>
              <w:overflowPunct/>
              <w:topLinePunct w:val="0"/>
              <w:autoSpaceDE/>
              <w:autoSpaceDN/>
              <w:bidi w:val="0"/>
              <w:adjustRightInd/>
              <w:snapToGrid/>
              <w:ind w:left="0" w:leftChars="0" w:right="0" w:rightChars="0"/>
              <w:textAlignment w:val="auto"/>
              <w:rPr>
                <w:rFonts w:hint="eastAsia" w:ascii="宋体"/>
                <w:sz w:val="24"/>
                <w:szCs w:val="24"/>
              </w:rPr>
            </w:pPr>
          </w:p>
        </w:tc>
        <w:tc>
          <w:tcPr>
            <w:tcW w:w="1399"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167336E">
            <w:pPr>
              <w:keepNext w:val="0"/>
              <w:keepLines w:val="0"/>
              <w:pageBreakBefore w:val="0"/>
              <w:kinsoku/>
              <w:wordWrap/>
              <w:overflowPunct/>
              <w:topLinePunct w:val="0"/>
              <w:autoSpaceDE/>
              <w:autoSpaceDN/>
              <w:bidi w:val="0"/>
              <w:adjustRightInd/>
              <w:snapToGrid/>
              <w:spacing w:line="200" w:lineRule="exact"/>
              <w:ind w:left="0" w:leftChars="0" w:right="0" w:rightChars="0"/>
              <w:textAlignment w:val="auto"/>
              <w:rPr>
                <w:rFonts w:hint="eastAsia" w:ascii="宋体"/>
                <w:sz w:val="24"/>
                <w:szCs w:val="24"/>
              </w:rPr>
            </w:pPr>
          </w:p>
        </w:tc>
        <w:tc>
          <w:tcPr>
            <w:tcW w:w="2396"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DFF8404">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rPr>
                <w:rFonts w:ascii="仿宋_GB2312" w:hAnsi="黑体" w:eastAsia="仿宋_GB2312"/>
                <w:kern w:val="0"/>
                <w:szCs w:val="21"/>
              </w:rPr>
            </w:pPr>
            <w:r>
              <w:rPr>
                <w:rFonts w:hint="eastAsia" w:ascii="仿宋_GB2312" w:hAnsi="黑体" w:eastAsia="仿宋_GB2312"/>
                <w:kern w:val="0"/>
                <w:szCs w:val="21"/>
              </w:rPr>
              <w:t>5.要求行政机关确认或重新</w:t>
            </w:r>
          </w:p>
          <w:p w14:paraId="4E3A8C44">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210" w:firstLineChars="100"/>
              <w:textAlignment w:val="auto"/>
              <w:rPr>
                <w:rFonts w:hint="default" w:ascii="Calibri" w:hAnsi="Calibri" w:cs="Calibri"/>
                <w:sz w:val="21"/>
                <w:szCs w:val="21"/>
              </w:rPr>
            </w:pPr>
            <w:r>
              <w:rPr>
                <w:rFonts w:hint="eastAsia" w:ascii="仿宋_GB2312" w:hAnsi="黑体" w:eastAsia="仿宋_GB2312"/>
                <w:kern w:val="0"/>
                <w:szCs w:val="21"/>
              </w:rPr>
              <w:t>出具已获取信息</w:t>
            </w:r>
          </w:p>
        </w:tc>
        <w:tc>
          <w:tcPr>
            <w:tcW w:w="68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19853BB">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498"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7EFB0B8">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498"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56FA0D9">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65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77DFFBF">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618"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C01AC0B">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48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4D331FA">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648"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3F0DEDA">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pPr>
            <w:r>
              <w:rPr>
                <w:rFonts w:hint="eastAsia" w:ascii="仿宋_GB2312" w:hAnsi="Times New Roman" w:eastAsia="仿宋_GB2312"/>
                <w:szCs w:val="21"/>
                <w:lang w:val="en-US" w:eastAsia="zh-CN"/>
              </w:rPr>
              <w:t>0</w:t>
            </w:r>
          </w:p>
        </w:tc>
      </w:tr>
      <w:tr w14:paraId="1454EA3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63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2AAE944">
            <w:pPr>
              <w:keepNext w:val="0"/>
              <w:keepLines w:val="0"/>
              <w:pageBreakBefore w:val="0"/>
              <w:kinsoku/>
              <w:wordWrap/>
              <w:overflowPunct/>
              <w:topLinePunct w:val="0"/>
              <w:autoSpaceDE/>
              <w:autoSpaceDN/>
              <w:bidi w:val="0"/>
              <w:adjustRightInd/>
              <w:snapToGrid/>
              <w:ind w:left="0" w:leftChars="0" w:right="0" w:rightChars="0"/>
              <w:textAlignment w:val="auto"/>
              <w:rPr>
                <w:rFonts w:hint="eastAsia" w:ascii="宋体"/>
                <w:sz w:val="24"/>
                <w:szCs w:val="24"/>
              </w:rPr>
            </w:pPr>
          </w:p>
        </w:tc>
        <w:tc>
          <w:tcPr>
            <w:tcW w:w="1399"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4EECDC5">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rPr>
                <w:rFonts w:hint="default" w:ascii="Calibri" w:hAnsi="Calibri" w:cs="Calibri"/>
                <w:sz w:val="21"/>
                <w:szCs w:val="21"/>
              </w:rPr>
            </w:pPr>
            <w:r>
              <w:rPr>
                <w:rFonts w:hint="eastAsia" w:ascii="黑体" w:hAnsi="黑体" w:eastAsia="黑体"/>
                <w:kern w:val="0"/>
                <w:szCs w:val="21"/>
              </w:rPr>
              <w:t>（六）其他处理</w:t>
            </w:r>
          </w:p>
        </w:tc>
        <w:tc>
          <w:tcPr>
            <w:tcW w:w="2396"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14:paraId="006B44C7">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rPr>
                <w:rFonts w:hint="default" w:ascii="Calibri" w:hAnsi="Calibri" w:cs="Calibri"/>
                <w:sz w:val="21"/>
                <w:szCs w:val="21"/>
              </w:rPr>
            </w:pPr>
            <w:r>
              <w:rPr>
                <w:rFonts w:hint="eastAsia" w:ascii="仿宋_GB2312" w:hAnsi="楷体" w:eastAsia="仿宋_GB2312"/>
              </w:rPr>
              <w:t>1.申请人无正当理由逾期不补正、行政机关不再处理其政府信息公开申请</w:t>
            </w:r>
          </w:p>
        </w:tc>
        <w:tc>
          <w:tcPr>
            <w:tcW w:w="68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66E4628">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498"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200465C">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498"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341257B">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65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ECA61EE">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618"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1B5D50F">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48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C1D1584">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648"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BBAB27E">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pPr>
            <w:r>
              <w:rPr>
                <w:rFonts w:hint="eastAsia" w:ascii="仿宋_GB2312" w:hAnsi="Times New Roman" w:eastAsia="仿宋_GB2312"/>
                <w:szCs w:val="21"/>
                <w:lang w:val="en-US" w:eastAsia="zh-CN"/>
              </w:rPr>
              <w:t>0</w:t>
            </w:r>
          </w:p>
        </w:tc>
      </w:tr>
      <w:tr w14:paraId="25A411F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63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5353331">
            <w:pPr>
              <w:keepNext w:val="0"/>
              <w:keepLines w:val="0"/>
              <w:pageBreakBefore w:val="0"/>
              <w:kinsoku/>
              <w:wordWrap/>
              <w:overflowPunct/>
              <w:topLinePunct w:val="0"/>
              <w:autoSpaceDE/>
              <w:autoSpaceDN/>
              <w:bidi w:val="0"/>
              <w:adjustRightInd/>
              <w:snapToGrid/>
              <w:ind w:left="0" w:leftChars="0" w:right="0" w:rightChars="0"/>
              <w:textAlignment w:val="auto"/>
              <w:rPr>
                <w:rFonts w:hint="eastAsia" w:ascii="宋体"/>
                <w:sz w:val="24"/>
                <w:szCs w:val="24"/>
              </w:rPr>
            </w:pPr>
          </w:p>
        </w:tc>
        <w:tc>
          <w:tcPr>
            <w:tcW w:w="1399"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0B19BC9">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rPr>
                <w:rFonts w:hint="eastAsia" w:ascii="宋体"/>
                <w:sz w:val="24"/>
                <w:szCs w:val="24"/>
              </w:rPr>
            </w:pPr>
          </w:p>
        </w:tc>
        <w:tc>
          <w:tcPr>
            <w:tcW w:w="2396"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14:paraId="674872AA">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rPr>
                <w:rFonts w:hint="default" w:ascii="Calibri" w:hAnsi="Calibri" w:cs="Calibri"/>
                <w:sz w:val="21"/>
                <w:szCs w:val="21"/>
              </w:rPr>
            </w:pPr>
            <w:r>
              <w:rPr>
                <w:rFonts w:hint="eastAsia" w:ascii="仿宋_GB2312" w:hAnsi="楷体" w:eastAsia="仿宋_GB2312"/>
              </w:rPr>
              <w:t>2.申请人逾期未按收费通知要求缴纳费用、行政机关不再处理其政府信息公开申请</w:t>
            </w:r>
          </w:p>
        </w:tc>
        <w:tc>
          <w:tcPr>
            <w:tcW w:w="68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9ABB111">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498"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7D649CC">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498"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6C9A491">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65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67C89A3">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618"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A190E2E">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48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8D2F23A">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648"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D196163">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pPr>
            <w:r>
              <w:rPr>
                <w:rFonts w:hint="eastAsia" w:ascii="仿宋_GB2312" w:hAnsi="Times New Roman" w:eastAsia="仿宋_GB2312"/>
                <w:szCs w:val="21"/>
                <w:lang w:val="en-US" w:eastAsia="zh-CN"/>
              </w:rPr>
              <w:t>0</w:t>
            </w:r>
          </w:p>
        </w:tc>
      </w:tr>
      <w:tr w14:paraId="7BC3347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63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D7C3093">
            <w:pPr>
              <w:keepNext w:val="0"/>
              <w:keepLines w:val="0"/>
              <w:pageBreakBefore w:val="0"/>
              <w:kinsoku/>
              <w:wordWrap/>
              <w:overflowPunct/>
              <w:topLinePunct w:val="0"/>
              <w:autoSpaceDE/>
              <w:autoSpaceDN/>
              <w:bidi w:val="0"/>
              <w:adjustRightInd/>
              <w:snapToGrid/>
              <w:ind w:left="0" w:leftChars="0" w:right="0" w:rightChars="0"/>
              <w:textAlignment w:val="auto"/>
              <w:rPr>
                <w:rFonts w:hint="eastAsia" w:ascii="宋体"/>
                <w:sz w:val="24"/>
                <w:szCs w:val="24"/>
              </w:rPr>
            </w:pPr>
          </w:p>
        </w:tc>
        <w:tc>
          <w:tcPr>
            <w:tcW w:w="1399"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69EBA87">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rPr>
                <w:rFonts w:hint="eastAsia" w:ascii="宋体"/>
                <w:sz w:val="24"/>
                <w:szCs w:val="24"/>
              </w:rPr>
            </w:pPr>
          </w:p>
        </w:tc>
        <w:tc>
          <w:tcPr>
            <w:tcW w:w="2396" w:type="dxa"/>
            <w:tcBorders>
              <w:top w:val="single" w:color="auto" w:sz="6" w:space="0"/>
              <w:left w:val="single" w:color="auto" w:sz="6" w:space="0"/>
              <w:bottom w:val="single" w:color="auto" w:sz="6" w:space="0"/>
              <w:right w:val="single" w:color="auto" w:sz="6" w:space="0"/>
            </w:tcBorders>
            <w:shd w:val="clear" w:color="auto" w:fill="auto"/>
            <w:tcMar>
              <w:top w:w="0" w:type="dxa"/>
              <w:left w:w="0" w:type="dxa"/>
              <w:bottom w:w="0" w:type="dxa"/>
              <w:right w:w="0" w:type="dxa"/>
            </w:tcMar>
            <w:vAlign w:val="center"/>
          </w:tcPr>
          <w:p w14:paraId="551EC9DD">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rPr>
                <w:rFonts w:hint="default" w:ascii="Calibri" w:hAnsi="Calibri" w:cs="Calibri"/>
                <w:sz w:val="21"/>
                <w:szCs w:val="21"/>
              </w:rPr>
            </w:pPr>
            <w:r>
              <w:rPr>
                <w:rFonts w:hint="eastAsia" w:ascii="仿宋_GB2312" w:hAnsi="楷体" w:eastAsia="仿宋_GB2312"/>
              </w:rPr>
              <w:t>3.其他</w:t>
            </w:r>
          </w:p>
        </w:tc>
        <w:tc>
          <w:tcPr>
            <w:tcW w:w="68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D765FF7">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498"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77A2B2B">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498"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6950D40">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65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7C68772">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618"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06C6ADB">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48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528F506">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648"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8F634FB">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pPr>
            <w:r>
              <w:rPr>
                <w:rFonts w:hint="eastAsia" w:ascii="仿宋_GB2312" w:hAnsi="Times New Roman" w:eastAsia="仿宋_GB2312"/>
                <w:szCs w:val="21"/>
                <w:lang w:val="en-US" w:eastAsia="zh-CN"/>
              </w:rPr>
              <w:t>0</w:t>
            </w:r>
          </w:p>
        </w:tc>
      </w:tr>
      <w:tr w14:paraId="2861D70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63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310AABF">
            <w:pPr>
              <w:keepNext w:val="0"/>
              <w:keepLines w:val="0"/>
              <w:pageBreakBefore w:val="0"/>
              <w:kinsoku/>
              <w:wordWrap/>
              <w:overflowPunct/>
              <w:topLinePunct w:val="0"/>
              <w:autoSpaceDE/>
              <w:autoSpaceDN/>
              <w:bidi w:val="0"/>
              <w:adjustRightInd/>
              <w:snapToGrid/>
              <w:ind w:left="0" w:leftChars="0" w:right="0" w:rightChars="0"/>
              <w:textAlignment w:val="auto"/>
              <w:rPr>
                <w:rFonts w:hint="eastAsia" w:ascii="宋体"/>
                <w:sz w:val="24"/>
                <w:szCs w:val="24"/>
              </w:rPr>
            </w:pPr>
          </w:p>
        </w:tc>
        <w:tc>
          <w:tcPr>
            <w:tcW w:w="3795"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1B7DCDD">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rPr>
                <w:rFonts w:hint="default" w:ascii="Calibri" w:hAnsi="Calibri" w:cs="Calibri"/>
                <w:sz w:val="21"/>
                <w:szCs w:val="21"/>
              </w:rPr>
            </w:pPr>
            <w:r>
              <w:rPr>
                <w:rFonts w:hint="eastAsia" w:ascii="黑体" w:hAnsi="黑体" w:eastAsia="黑体"/>
                <w:kern w:val="0"/>
                <w:szCs w:val="21"/>
              </w:rPr>
              <w:t>（七）总计</w:t>
            </w:r>
          </w:p>
        </w:tc>
        <w:tc>
          <w:tcPr>
            <w:tcW w:w="68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5CA2192">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3</w:t>
            </w:r>
          </w:p>
        </w:tc>
        <w:tc>
          <w:tcPr>
            <w:tcW w:w="498"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3A73C19">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498"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C07D358">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65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1772389">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618"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90A093C">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48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ED7594B">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648"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C7DDB6C">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eastAsiaTheme="minorEastAsia"/>
                <w:lang w:val="en-US" w:eastAsia="zh-CN"/>
              </w:rPr>
            </w:pPr>
            <w:r>
              <w:rPr>
                <w:rFonts w:hint="eastAsia" w:ascii="仿宋_GB2312" w:hAnsi="Times New Roman" w:eastAsia="仿宋_GB2312"/>
                <w:szCs w:val="21"/>
                <w:lang w:val="en-US" w:eastAsia="zh-CN"/>
              </w:rPr>
              <w:t>3</w:t>
            </w:r>
          </w:p>
        </w:tc>
      </w:tr>
      <w:tr w14:paraId="5572439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425" w:type="dxa"/>
            <w:gridSpan w:val="3"/>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1AFE2CA">
            <w:pPr>
              <w:keepNext w:val="0"/>
              <w:keepLines w:val="0"/>
              <w:pageBreakBefore w:val="0"/>
              <w:widowControl/>
              <w:kinsoku/>
              <w:wordWrap/>
              <w:overflowPunct/>
              <w:topLinePunct w:val="0"/>
              <w:autoSpaceDE/>
              <w:autoSpaceDN/>
              <w:bidi w:val="0"/>
              <w:adjustRightInd/>
              <w:snapToGrid/>
              <w:spacing w:line="300" w:lineRule="exact"/>
              <w:ind w:left="0" w:leftChars="0" w:right="0" w:rightChars="0"/>
              <w:textAlignment w:val="auto"/>
              <w:rPr>
                <w:rFonts w:hint="default" w:ascii="Calibri" w:hAnsi="Calibri" w:cs="Calibri"/>
                <w:sz w:val="21"/>
                <w:szCs w:val="21"/>
              </w:rPr>
            </w:pPr>
            <w:r>
              <w:rPr>
                <w:rFonts w:hint="eastAsia" w:ascii="黑体" w:hAnsi="黑体" w:eastAsia="黑体"/>
                <w:kern w:val="0"/>
                <w:szCs w:val="21"/>
              </w:rPr>
              <w:t>四、结转下年度继续办理</w:t>
            </w:r>
          </w:p>
        </w:tc>
        <w:tc>
          <w:tcPr>
            <w:tcW w:w="68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795BA48">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498"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05815B3">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498"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6C633FB">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657"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8E09198">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618"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50E2A9F">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48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5BFD9D2">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Calibri" w:hAnsi="Calibri" w:cs="Calibri"/>
                <w:sz w:val="21"/>
                <w:szCs w:val="21"/>
              </w:rPr>
            </w:pPr>
            <w:r>
              <w:rPr>
                <w:rFonts w:hint="eastAsia" w:ascii="仿宋_GB2312" w:hAnsi="Times New Roman" w:eastAsia="仿宋_GB2312"/>
                <w:szCs w:val="21"/>
                <w:lang w:val="en-US" w:eastAsia="zh-CN"/>
              </w:rPr>
              <w:t>0</w:t>
            </w:r>
          </w:p>
        </w:tc>
        <w:tc>
          <w:tcPr>
            <w:tcW w:w="648"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D24357B">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pPr>
            <w:r>
              <w:rPr>
                <w:rFonts w:hint="eastAsia" w:ascii="仿宋_GB2312" w:hAnsi="Times New Roman" w:eastAsia="仿宋_GB2312"/>
                <w:szCs w:val="21"/>
                <w:lang w:val="en-US" w:eastAsia="zh-CN"/>
              </w:rPr>
              <w:t>0</w:t>
            </w:r>
          </w:p>
        </w:tc>
      </w:tr>
    </w:tbl>
    <w:p w14:paraId="4A495A7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 w:lineRule="atLeast"/>
        <w:ind w:left="0" w:leftChars="0" w:right="0" w:rightChars="0"/>
        <w:jc w:val="both"/>
        <w:textAlignment w:val="auto"/>
        <w:rPr>
          <w:rStyle w:val="7"/>
          <w:rFonts w:hint="eastAsia" w:ascii="黑体" w:hAnsi="黑体" w:eastAsia="黑体" w:cs="黑体"/>
          <w:b w:val="0"/>
          <w:bCs/>
          <w:i w:val="0"/>
          <w:iCs w:val="0"/>
          <w:caps w:val="0"/>
          <w:color w:val="000000"/>
          <w:spacing w:val="0"/>
          <w:sz w:val="32"/>
          <w:szCs w:val="32"/>
          <w:shd w:val="clear" w:fill="FFFFFF"/>
        </w:rPr>
      </w:pPr>
      <w:r>
        <w:rPr>
          <w:rFonts w:hint="eastAsia" w:ascii="微软雅黑" w:hAnsi="微软雅黑" w:eastAsia="微软雅黑" w:cs="微软雅黑"/>
          <w:i w:val="0"/>
          <w:iCs w:val="0"/>
          <w:caps w:val="0"/>
          <w:color w:val="000000"/>
          <w:spacing w:val="0"/>
          <w:sz w:val="24"/>
          <w:szCs w:val="24"/>
          <w:shd w:val="clear" w:fill="FFFFFF"/>
        </w:rPr>
        <w:t>  </w:t>
      </w:r>
      <w:r>
        <w:rPr>
          <w:rStyle w:val="7"/>
          <w:rFonts w:hint="eastAsia" w:ascii="黑体" w:hAnsi="黑体" w:eastAsia="黑体" w:cs="黑体"/>
          <w:b w:val="0"/>
          <w:bCs/>
          <w:i w:val="0"/>
          <w:iCs w:val="0"/>
          <w:caps w:val="0"/>
          <w:color w:val="000000"/>
          <w:spacing w:val="0"/>
          <w:sz w:val="32"/>
          <w:szCs w:val="32"/>
          <w:shd w:val="clear" w:fill="FFFFFF"/>
        </w:rPr>
        <w:t>  四、政府信息公开行政复议、行政诉讼情况</w:t>
      </w:r>
    </w:p>
    <w:tbl>
      <w:tblPr>
        <w:tblStyle w:val="5"/>
        <w:tblW w:w="0" w:type="auto"/>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35"/>
        <w:gridCol w:w="535"/>
        <w:gridCol w:w="535"/>
        <w:gridCol w:w="535"/>
        <w:gridCol w:w="583"/>
        <w:gridCol w:w="519"/>
        <w:gridCol w:w="569"/>
        <w:gridCol w:w="570"/>
        <w:gridCol w:w="570"/>
        <w:gridCol w:w="570"/>
        <w:gridCol w:w="569"/>
        <w:gridCol w:w="570"/>
        <w:gridCol w:w="571"/>
        <w:gridCol w:w="572"/>
        <w:gridCol w:w="653"/>
      </w:tblGrid>
      <w:tr w14:paraId="2E98909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c>
          <w:tcPr>
            <w:tcW w:w="2730" w:type="dxa"/>
            <w:gridSpan w:val="5"/>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1E254062">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pPr>
            <w:r>
              <w:rPr>
                <w:rFonts w:ascii="黑体" w:hAnsi="黑体" w:eastAsia="黑体"/>
                <w:kern w:val="0"/>
                <w:sz w:val="20"/>
                <w:szCs w:val="20"/>
              </w:rPr>
              <w:t>行政复议</w:t>
            </w:r>
          </w:p>
        </w:tc>
        <w:tc>
          <w:tcPr>
            <w:tcW w:w="5790" w:type="dxa"/>
            <w:gridSpan w:val="10"/>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23C00B5E">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pPr>
            <w:r>
              <w:rPr>
                <w:rFonts w:ascii="黑体" w:hAnsi="黑体" w:eastAsia="黑体"/>
                <w:kern w:val="0"/>
                <w:sz w:val="20"/>
                <w:szCs w:val="20"/>
              </w:rPr>
              <w:t>行政诉讼</w:t>
            </w:r>
          </w:p>
        </w:tc>
      </w:tr>
      <w:tr w14:paraId="5A1E5BD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40" w:type="dxa"/>
            <w:vMerge w:val="restart"/>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210E0ABF">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ascii="黑体" w:hAnsi="黑体" w:eastAsia="黑体"/>
                <w:kern w:val="0"/>
                <w:sz w:val="20"/>
                <w:szCs w:val="20"/>
              </w:rPr>
            </w:pPr>
            <w:r>
              <w:rPr>
                <w:rFonts w:ascii="黑体" w:hAnsi="黑体" w:eastAsia="黑体"/>
                <w:kern w:val="0"/>
                <w:sz w:val="20"/>
                <w:szCs w:val="20"/>
              </w:rPr>
              <w:t>结果</w:t>
            </w:r>
          </w:p>
          <w:p w14:paraId="0BDBEBAE">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pPr>
            <w:r>
              <w:rPr>
                <w:rFonts w:ascii="黑体" w:hAnsi="黑体" w:eastAsia="黑体"/>
                <w:kern w:val="0"/>
                <w:sz w:val="20"/>
                <w:szCs w:val="20"/>
              </w:rPr>
              <w:t>维持</w:t>
            </w:r>
          </w:p>
        </w:tc>
        <w:tc>
          <w:tcPr>
            <w:tcW w:w="540" w:type="dxa"/>
            <w:vMerge w:val="restart"/>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02F987B9">
            <w:pPr>
              <w:keepNext w:val="0"/>
              <w:keepLines w:val="0"/>
              <w:pageBreakBefore w:val="0"/>
              <w:widowControl/>
              <w:kinsoku/>
              <w:wordWrap/>
              <w:overflowPunct/>
              <w:topLinePunct w:val="0"/>
              <w:autoSpaceDE/>
              <w:autoSpaceDN/>
              <w:bidi w:val="0"/>
              <w:adjustRightInd/>
              <w:snapToGrid/>
              <w:ind w:left="0" w:leftChars="0" w:right="0" w:rightChars="0" w:hanging="1" w:firstLineChars="0"/>
              <w:jc w:val="center"/>
              <w:textAlignment w:val="auto"/>
            </w:pPr>
            <w:r>
              <w:rPr>
                <w:rFonts w:ascii="黑体" w:hAnsi="黑体" w:eastAsia="黑体"/>
                <w:kern w:val="0"/>
                <w:sz w:val="20"/>
                <w:szCs w:val="20"/>
              </w:rPr>
              <w:t>结果纠正</w:t>
            </w:r>
          </w:p>
        </w:tc>
        <w:tc>
          <w:tcPr>
            <w:tcW w:w="540" w:type="dxa"/>
            <w:vMerge w:val="restart"/>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3060B26A">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pPr>
            <w:r>
              <w:rPr>
                <w:rFonts w:ascii="黑体" w:hAnsi="黑体" w:eastAsia="黑体"/>
                <w:kern w:val="0"/>
                <w:sz w:val="20"/>
                <w:szCs w:val="20"/>
              </w:rPr>
              <w:t>其他结果</w:t>
            </w:r>
          </w:p>
        </w:tc>
        <w:tc>
          <w:tcPr>
            <w:tcW w:w="540" w:type="dxa"/>
            <w:vMerge w:val="restart"/>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1C73293D">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ascii="黑体" w:hAnsi="黑体" w:eastAsia="黑体"/>
                <w:kern w:val="0"/>
                <w:sz w:val="20"/>
                <w:szCs w:val="20"/>
              </w:rPr>
            </w:pPr>
            <w:r>
              <w:rPr>
                <w:rFonts w:ascii="黑体" w:hAnsi="黑体" w:eastAsia="黑体"/>
                <w:kern w:val="0"/>
                <w:sz w:val="20"/>
                <w:szCs w:val="20"/>
              </w:rPr>
              <w:t>尚未</w:t>
            </w:r>
          </w:p>
          <w:p w14:paraId="6677B16A">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pPr>
            <w:r>
              <w:rPr>
                <w:rFonts w:ascii="黑体" w:hAnsi="黑体" w:eastAsia="黑体"/>
                <w:kern w:val="0"/>
                <w:sz w:val="20"/>
                <w:szCs w:val="20"/>
              </w:rPr>
              <w:t>审结</w:t>
            </w:r>
          </w:p>
        </w:tc>
        <w:tc>
          <w:tcPr>
            <w:tcW w:w="589" w:type="dxa"/>
            <w:vMerge w:val="restart"/>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04CD38A9">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rPr>
                <w:rFonts w:ascii="黑体" w:hAnsi="黑体" w:eastAsia="黑体"/>
                <w:kern w:val="0"/>
                <w:sz w:val="20"/>
                <w:szCs w:val="20"/>
              </w:rPr>
            </w:pPr>
            <w:r>
              <w:rPr>
                <w:rFonts w:ascii="黑体" w:hAnsi="黑体" w:eastAsia="黑体"/>
                <w:kern w:val="0"/>
                <w:sz w:val="20"/>
                <w:szCs w:val="20"/>
              </w:rPr>
              <w:t>总</w:t>
            </w:r>
          </w:p>
          <w:p w14:paraId="2B847C37">
            <w:pPr>
              <w:keepNext w:val="0"/>
              <w:keepLines w:val="0"/>
              <w:pageBreakBefore w:val="0"/>
              <w:widowControl/>
              <w:kinsoku/>
              <w:wordWrap/>
              <w:overflowPunct/>
              <w:topLinePunct w:val="0"/>
              <w:autoSpaceDE/>
              <w:autoSpaceDN/>
              <w:bidi w:val="0"/>
              <w:adjustRightInd/>
              <w:snapToGrid/>
              <w:spacing w:line="320" w:lineRule="exact"/>
              <w:ind w:left="0" w:leftChars="0" w:right="0" w:rightChars="0"/>
              <w:jc w:val="center"/>
              <w:textAlignment w:val="auto"/>
            </w:pPr>
            <w:r>
              <w:rPr>
                <w:rFonts w:ascii="黑体" w:hAnsi="黑体" w:eastAsia="黑体"/>
                <w:kern w:val="0"/>
                <w:sz w:val="20"/>
                <w:szCs w:val="20"/>
              </w:rPr>
              <w:t>计</w:t>
            </w:r>
          </w:p>
        </w:tc>
        <w:tc>
          <w:tcPr>
            <w:tcW w:w="2826" w:type="dxa"/>
            <w:gridSpan w:val="5"/>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1EDA5806">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pPr>
            <w:r>
              <w:rPr>
                <w:rFonts w:ascii="黑体" w:hAnsi="黑体" w:eastAsia="黑体"/>
                <w:kern w:val="0"/>
                <w:sz w:val="20"/>
                <w:szCs w:val="20"/>
              </w:rPr>
              <w:t>未经复议直接起诉</w:t>
            </w:r>
          </w:p>
        </w:tc>
        <w:tc>
          <w:tcPr>
            <w:tcW w:w="2881" w:type="dxa"/>
            <w:gridSpan w:val="5"/>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28F6727E">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pPr>
            <w:bookmarkStart w:id="2" w:name="_Hlk67039688"/>
            <w:bookmarkEnd w:id="2"/>
            <w:r>
              <w:rPr>
                <w:rFonts w:ascii="黑体" w:hAnsi="黑体" w:eastAsia="黑体"/>
                <w:kern w:val="0"/>
                <w:sz w:val="20"/>
                <w:szCs w:val="20"/>
              </w:rPr>
              <w:t>复议后起诉</w:t>
            </w:r>
          </w:p>
        </w:tc>
      </w:tr>
      <w:tr w14:paraId="1DD6496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40" w:type="dxa"/>
            <w:vMerge w:val="continue"/>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120BDA6D">
            <w:pPr>
              <w:keepNext w:val="0"/>
              <w:keepLines w:val="0"/>
              <w:pageBreakBefore w:val="0"/>
              <w:kinsoku/>
              <w:wordWrap/>
              <w:overflowPunct/>
              <w:topLinePunct w:val="0"/>
              <w:autoSpaceDE/>
              <w:autoSpaceDN/>
              <w:bidi w:val="0"/>
              <w:adjustRightInd/>
              <w:snapToGrid/>
              <w:ind w:left="0" w:leftChars="0" w:right="0" w:rightChars="0"/>
              <w:textAlignment w:val="auto"/>
              <w:rPr>
                <w:rFonts w:hint="eastAsia" w:ascii="宋体"/>
                <w:sz w:val="24"/>
                <w:szCs w:val="24"/>
              </w:rPr>
            </w:pPr>
          </w:p>
        </w:tc>
        <w:tc>
          <w:tcPr>
            <w:tcW w:w="540" w:type="dxa"/>
            <w:vMerge w:val="continue"/>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30606B58">
            <w:pPr>
              <w:keepNext w:val="0"/>
              <w:keepLines w:val="0"/>
              <w:pageBreakBefore w:val="0"/>
              <w:kinsoku/>
              <w:wordWrap/>
              <w:overflowPunct/>
              <w:topLinePunct w:val="0"/>
              <w:autoSpaceDE/>
              <w:autoSpaceDN/>
              <w:bidi w:val="0"/>
              <w:adjustRightInd/>
              <w:snapToGrid/>
              <w:ind w:left="0" w:leftChars="0" w:right="0" w:rightChars="0"/>
              <w:textAlignment w:val="auto"/>
              <w:rPr>
                <w:rFonts w:hint="eastAsia" w:ascii="宋体"/>
                <w:sz w:val="24"/>
                <w:szCs w:val="24"/>
              </w:rPr>
            </w:pPr>
          </w:p>
        </w:tc>
        <w:tc>
          <w:tcPr>
            <w:tcW w:w="540" w:type="dxa"/>
            <w:vMerge w:val="continue"/>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3A8174B9">
            <w:pPr>
              <w:keepNext w:val="0"/>
              <w:keepLines w:val="0"/>
              <w:pageBreakBefore w:val="0"/>
              <w:kinsoku/>
              <w:wordWrap/>
              <w:overflowPunct/>
              <w:topLinePunct w:val="0"/>
              <w:autoSpaceDE/>
              <w:autoSpaceDN/>
              <w:bidi w:val="0"/>
              <w:adjustRightInd/>
              <w:snapToGrid/>
              <w:ind w:left="0" w:leftChars="0" w:right="0" w:rightChars="0"/>
              <w:textAlignment w:val="auto"/>
              <w:rPr>
                <w:rFonts w:hint="eastAsia" w:ascii="宋体"/>
                <w:sz w:val="24"/>
                <w:szCs w:val="24"/>
              </w:rPr>
            </w:pPr>
          </w:p>
        </w:tc>
        <w:tc>
          <w:tcPr>
            <w:tcW w:w="540" w:type="dxa"/>
            <w:vMerge w:val="continue"/>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2EF50413">
            <w:pPr>
              <w:keepNext w:val="0"/>
              <w:keepLines w:val="0"/>
              <w:pageBreakBefore w:val="0"/>
              <w:kinsoku/>
              <w:wordWrap/>
              <w:overflowPunct/>
              <w:topLinePunct w:val="0"/>
              <w:autoSpaceDE/>
              <w:autoSpaceDN/>
              <w:bidi w:val="0"/>
              <w:adjustRightInd/>
              <w:snapToGrid/>
              <w:ind w:left="0" w:leftChars="0" w:right="0" w:rightChars="0"/>
              <w:textAlignment w:val="auto"/>
              <w:rPr>
                <w:rFonts w:hint="eastAsia" w:ascii="宋体"/>
                <w:sz w:val="24"/>
                <w:szCs w:val="24"/>
              </w:rPr>
            </w:pPr>
          </w:p>
        </w:tc>
        <w:tc>
          <w:tcPr>
            <w:tcW w:w="589" w:type="dxa"/>
            <w:vMerge w:val="continue"/>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562B130F">
            <w:pPr>
              <w:keepNext w:val="0"/>
              <w:keepLines w:val="0"/>
              <w:pageBreakBefore w:val="0"/>
              <w:kinsoku/>
              <w:wordWrap/>
              <w:overflowPunct/>
              <w:topLinePunct w:val="0"/>
              <w:autoSpaceDE/>
              <w:autoSpaceDN/>
              <w:bidi w:val="0"/>
              <w:adjustRightInd/>
              <w:snapToGrid/>
              <w:ind w:left="0" w:leftChars="0" w:right="0" w:rightChars="0"/>
              <w:textAlignment w:val="auto"/>
            </w:pPr>
          </w:p>
        </w:tc>
        <w:tc>
          <w:tcPr>
            <w:tcW w:w="523"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6593B1B0">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pPr>
            <w:r>
              <w:rPr>
                <w:rFonts w:ascii="黑体" w:hAnsi="黑体" w:eastAsia="黑体"/>
                <w:kern w:val="0"/>
                <w:sz w:val="20"/>
                <w:szCs w:val="20"/>
              </w:rPr>
              <w:t>结果维持</w:t>
            </w:r>
          </w:p>
        </w:tc>
        <w:tc>
          <w:tcPr>
            <w:tcW w:w="57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50586313">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pPr>
            <w:r>
              <w:rPr>
                <w:rFonts w:ascii="黑体" w:hAnsi="黑体" w:eastAsia="黑体"/>
                <w:kern w:val="0"/>
                <w:sz w:val="20"/>
                <w:szCs w:val="20"/>
              </w:rPr>
              <w:t>结果纠正</w:t>
            </w:r>
          </w:p>
        </w:tc>
        <w:tc>
          <w:tcPr>
            <w:tcW w:w="576"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4CD14861">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ascii="黑体" w:hAnsi="黑体" w:eastAsia="黑体"/>
                <w:kern w:val="0"/>
                <w:sz w:val="20"/>
                <w:szCs w:val="20"/>
              </w:rPr>
            </w:pPr>
            <w:r>
              <w:rPr>
                <w:rFonts w:ascii="黑体" w:hAnsi="黑体" w:eastAsia="黑体"/>
                <w:kern w:val="0"/>
                <w:sz w:val="20"/>
                <w:szCs w:val="20"/>
              </w:rPr>
              <w:t>其他</w:t>
            </w:r>
          </w:p>
          <w:p w14:paraId="35837343">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pPr>
            <w:r>
              <w:rPr>
                <w:rFonts w:ascii="黑体" w:hAnsi="黑体" w:eastAsia="黑体"/>
                <w:kern w:val="0"/>
                <w:sz w:val="20"/>
                <w:szCs w:val="20"/>
              </w:rPr>
              <w:t>结果</w:t>
            </w:r>
          </w:p>
        </w:tc>
        <w:tc>
          <w:tcPr>
            <w:tcW w:w="576"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28384E9E">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ascii="黑体" w:hAnsi="黑体" w:eastAsia="黑体"/>
                <w:kern w:val="0"/>
                <w:sz w:val="20"/>
                <w:szCs w:val="20"/>
              </w:rPr>
            </w:pPr>
            <w:r>
              <w:rPr>
                <w:rFonts w:ascii="黑体" w:hAnsi="黑体" w:eastAsia="黑体"/>
                <w:kern w:val="0"/>
                <w:sz w:val="20"/>
                <w:szCs w:val="20"/>
              </w:rPr>
              <w:t>尚未</w:t>
            </w:r>
          </w:p>
          <w:p w14:paraId="6483D3B3">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pPr>
            <w:r>
              <w:rPr>
                <w:rFonts w:ascii="黑体" w:hAnsi="黑体" w:eastAsia="黑体"/>
                <w:kern w:val="0"/>
                <w:sz w:val="20"/>
                <w:szCs w:val="20"/>
              </w:rPr>
              <w:t>审结</w:t>
            </w:r>
          </w:p>
        </w:tc>
        <w:tc>
          <w:tcPr>
            <w:tcW w:w="576"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49492A88">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pPr>
            <w:r>
              <w:rPr>
                <w:rFonts w:ascii="黑体" w:hAnsi="黑体" w:eastAsia="黑体"/>
                <w:kern w:val="0"/>
                <w:sz w:val="20"/>
                <w:szCs w:val="20"/>
              </w:rPr>
              <w:t>总计</w:t>
            </w:r>
          </w:p>
        </w:tc>
        <w:tc>
          <w:tcPr>
            <w:tcW w:w="57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2B7C72D7">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pPr>
            <w:r>
              <w:rPr>
                <w:rFonts w:ascii="黑体" w:hAnsi="黑体" w:eastAsia="黑体"/>
                <w:kern w:val="0"/>
                <w:sz w:val="20"/>
                <w:szCs w:val="20"/>
              </w:rPr>
              <w:t>结果维持</w:t>
            </w:r>
          </w:p>
        </w:tc>
        <w:tc>
          <w:tcPr>
            <w:tcW w:w="576"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61B71BD9">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rPr>
                <w:rFonts w:ascii="黑体" w:hAnsi="黑体" w:eastAsia="黑体"/>
                <w:kern w:val="0"/>
                <w:sz w:val="20"/>
                <w:szCs w:val="20"/>
              </w:rPr>
            </w:pPr>
            <w:r>
              <w:rPr>
                <w:rFonts w:ascii="黑体" w:hAnsi="黑体" w:eastAsia="黑体"/>
                <w:kern w:val="0"/>
                <w:sz w:val="20"/>
                <w:szCs w:val="20"/>
              </w:rPr>
              <w:t>结果</w:t>
            </w:r>
          </w:p>
          <w:p w14:paraId="49785F64">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pPr>
            <w:r>
              <w:rPr>
                <w:rFonts w:ascii="黑体" w:hAnsi="黑体" w:eastAsia="黑体"/>
                <w:kern w:val="0"/>
                <w:sz w:val="20"/>
                <w:szCs w:val="20"/>
              </w:rPr>
              <w:t>纠正</w:t>
            </w:r>
          </w:p>
        </w:tc>
        <w:tc>
          <w:tcPr>
            <w:tcW w:w="576"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02619721">
            <w:pPr>
              <w:keepNext w:val="0"/>
              <w:keepLines w:val="0"/>
              <w:pageBreakBefore w:val="0"/>
              <w:widowControl/>
              <w:kinsoku/>
              <w:wordWrap/>
              <w:overflowPunct/>
              <w:topLinePunct w:val="0"/>
              <w:autoSpaceDE/>
              <w:autoSpaceDN/>
              <w:bidi w:val="0"/>
              <w:adjustRightInd/>
              <w:snapToGrid/>
              <w:ind w:left="0" w:leftChars="0" w:right="0" w:rightChars="0" w:hanging="1"/>
              <w:jc w:val="center"/>
              <w:textAlignment w:val="auto"/>
              <w:rPr>
                <w:rFonts w:ascii="黑体" w:hAnsi="黑体" w:eastAsia="黑体"/>
                <w:kern w:val="0"/>
                <w:sz w:val="20"/>
                <w:szCs w:val="20"/>
              </w:rPr>
            </w:pPr>
            <w:r>
              <w:rPr>
                <w:rFonts w:ascii="黑体" w:hAnsi="黑体" w:eastAsia="黑体"/>
                <w:kern w:val="0"/>
                <w:sz w:val="20"/>
                <w:szCs w:val="20"/>
              </w:rPr>
              <w:t>其他</w:t>
            </w:r>
          </w:p>
          <w:p w14:paraId="7EE2DE4E">
            <w:pPr>
              <w:keepNext w:val="0"/>
              <w:keepLines w:val="0"/>
              <w:pageBreakBefore w:val="0"/>
              <w:widowControl/>
              <w:kinsoku/>
              <w:wordWrap/>
              <w:overflowPunct/>
              <w:topLinePunct w:val="0"/>
              <w:autoSpaceDE/>
              <w:autoSpaceDN/>
              <w:bidi w:val="0"/>
              <w:adjustRightInd/>
              <w:snapToGrid/>
              <w:ind w:left="0" w:leftChars="0" w:right="0" w:rightChars="0" w:hanging="1" w:firstLineChars="0"/>
              <w:jc w:val="center"/>
              <w:textAlignment w:val="auto"/>
            </w:pPr>
            <w:r>
              <w:rPr>
                <w:rFonts w:ascii="黑体" w:hAnsi="黑体" w:eastAsia="黑体"/>
                <w:kern w:val="0"/>
                <w:sz w:val="20"/>
                <w:szCs w:val="20"/>
              </w:rPr>
              <w:t>结果</w:t>
            </w:r>
          </w:p>
        </w:tc>
        <w:tc>
          <w:tcPr>
            <w:tcW w:w="577"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5B10CF89">
            <w:pPr>
              <w:keepNext w:val="0"/>
              <w:keepLines w:val="0"/>
              <w:pageBreakBefore w:val="0"/>
              <w:widowControl/>
              <w:kinsoku/>
              <w:wordWrap/>
              <w:overflowPunct/>
              <w:topLinePunct w:val="0"/>
              <w:autoSpaceDE/>
              <w:autoSpaceDN/>
              <w:bidi w:val="0"/>
              <w:adjustRightInd/>
              <w:snapToGrid/>
              <w:ind w:left="2" w:leftChars="0" w:right="0" w:rightChars="0" w:hanging="2" w:hangingChars="1"/>
              <w:jc w:val="center"/>
              <w:textAlignment w:val="auto"/>
            </w:pPr>
            <w:r>
              <w:rPr>
                <w:rFonts w:ascii="黑体" w:hAnsi="黑体" w:eastAsia="黑体"/>
                <w:kern w:val="0"/>
                <w:sz w:val="20"/>
                <w:szCs w:val="20"/>
              </w:rPr>
              <w:t>尚未审结</w:t>
            </w:r>
          </w:p>
        </w:tc>
        <w:tc>
          <w:tcPr>
            <w:tcW w:w="577"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739C3AAC">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pPr>
            <w:r>
              <w:rPr>
                <w:rFonts w:ascii="黑体" w:hAnsi="黑体" w:eastAsia="黑体"/>
                <w:kern w:val="0"/>
                <w:sz w:val="20"/>
                <w:szCs w:val="20"/>
              </w:rPr>
              <w:t>总计</w:t>
            </w:r>
          </w:p>
        </w:tc>
      </w:tr>
      <w:tr w14:paraId="629EA18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4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39D2D110">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pPr>
            <w:r>
              <w:rPr>
                <w:rFonts w:hint="eastAsia" w:ascii="仿宋_GB2312" w:hAnsi="Times New Roman" w:eastAsia="仿宋_GB2312"/>
                <w:szCs w:val="21"/>
                <w:lang w:val="en-US" w:eastAsia="zh-CN"/>
              </w:rPr>
              <w:t>0</w:t>
            </w:r>
          </w:p>
        </w:tc>
        <w:tc>
          <w:tcPr>
            <w:tcW w:w="54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3E00DDCB">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pPr>
            <w:r>
              <w:rPr>
                <w:rFonts w:hint="eastAsia" w:ascii="仿宋_GB2312" w:hAnsi="Times New Roman" w:eastAsia="仿宋_GB2312"/>
                <w:szCs w:val="21"/>
                <w:lang w:val="en-US" w:eastAsia="zh-CN"/>
              </w:rPr>
              <w:t>0</w:t>
            </w:r>
          </w:p>
        </w:tc>
        <w:tc>
          <w:tcPr>
            <w:tcW w:w="54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5097FCAF">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pPr>
            <w:r>
              <w:rPr>
                <w:rFonts w:hint="eastAsia" w:ascii="仿宋_GB2312" w:hAnsi="Times New Roman" w:eastAsia="仿宋_GB2312"/>
                <w:szCs w:val="21"/>
                <w:lang w:val="en-US" w:eastAsia="zh-CN"/>
              </w:rPr>
              <w:t>0</w:t>
            </w:r>
          </w:p>
        </w:tc>
        <w:tc>
          <w:tcPr>
            <w:tcW w:w="540"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1D2FB5B2">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pPr>
            <w:r>
              <w:rPr>
                <w:rFonts w:hint="eastAsia" w:ascii="仿宋_GB2312" w:hAnsi="Times New Roman" w:eastAsia="仿宋_GB2312"/>
                <w:szCs w:val="21"/>
                <w:lang w:val="en-US" w:eastAsia="zh-CN"/>
              </w:rPr>
              <w:t>0</w:t>
            </w:r>
          </w:p>
        </w:tc>
        <w:tc>
          <w:tcPr>
            <w:tcW w:w="589"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0554BBF8">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pPr>
            <w:r>
              <w:rPr>
                <w:rFonts w:hint="eastAsia" w:ascii="仿宋_GB2312" w:hAnsi="Times New Roman" w:eastAsia="仿宋_GB2312"/>
                <w:szCs w:val="21"/>
                <w:lang w:val="en-US" w:eastAsia="zh-CN"/>
              </w:rPr>
              <w:t>0</w:t>
            </w:r>
          </w:p>
        </w:tc>
        <w:tc>
          <w:tcPr>
            <w:tcW w:w="523"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4BD07796">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pPr>
            <w:r>
              <w:rPr>
                <w:rFonts w:hint="eastAsia" w:ascii="仿宋_GB2312" w:hAnsi="Times New Roman" w:eastAsia="仿宋_GB2312"/>
                <w:szCs w:val="21"/>
                <w:lang w:val="en-US" w:eastAsia="zh-CN"/>
              </w:rPr>
              <w:t>0</w:t>
            </w:r>
          </w:p>
        </w:tc>
        <w:tc>
          <w:tcPr>
            <w:tcW w:w="57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29B77111">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pPr>
            <w:r>
              <w:rPr>
                <w:rFonts w:hint="eastAsia" w:ascii="仿宋_GB2312" w:hAnsi="Times New Roman" w:eastAsia="仿宋_GB2312"/>
                <w:szCs w:val="21"/>
                <w:lang w:val="en-US" w:eastAsia="zh-CN"/>
              </w:rPr>
              <w:t>0</w:t>
            </w:r>
          </w:p>
        </w:tc>
        <w:tc>
          <w:tcPr>
            <w:tcW w:w="576"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7386032F">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pPr>
            <w:r>
              <w:rPr>
                <w:rFonts w:hint="eastAsia" w:ascii="仿宋_GB2312" w:hAnsi="Times New Roman" w:eastAsia="仿宋_GB2312"/>
                <w:szCs w:val="21"/>
                <w:lang w:val="en-US" w:eastAsia="zh-CN"/>
              </w:rPr>
              <w:t>0</w:t>
            </w:r>
          </w:p>
        </w:tc>
        <w:tc>
          <w:tcPr>
            <w:tcW w:w="576"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1E35B17B">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pPr>
            <w:r>
              <w:rPr>
                <w:rFonts w:hint="eastAsia" w:ascii="仿宋_GB2312" w:hAnsi="Times New Roman" w:eastAsia="仿宋_GB2312"/>
                <w:szCs w:val="21"/>
                <w:lang w:val="en-US" w:eastAsia="zh-CN"/>
              </w:rPr>
              <w:t>0</w:t>
            </w:r>
          </w:p>
        </w:tc>
        <w:tc>
          <w:tcPr>
            <w:tcW w:w="576"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3758ED6E">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pPr>
            <w:r>
              <w:rPr>
                <w:rFonts w:hint="eastAsia" w:ascii="仿宋_GB2312" w:hAnsi="Times New Roman" w:eastAsia="仿宋_GB2312"/>
                <w:szCs w:val="21"/>
                <w:lang w:val="en-US" w:eastAsia="zh-CN"/>
              </w:rPr>
              <w:t>0</w:t>
            </w:r>
          </w:p>
        </w:tc>
        <w:tc>
          <w:tcPr>
            <w:tcW w:w="575"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04A4E9A4">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pPr>
            <w:r>
              <w:rPr>
                <w:rFonts w:hint="eastAsia" w:ascii="仿宋_GB2312" w:hAnsi="Times New Roman" w:eastAsia="仿宋_GB2312"/>
                <w:szCs w:val="21"/>
                <w:lang w:val="en-US" w:eastAsia="zh-CN"/>
              </w:rPr>
              <w:t>0</w:t>
            </w:r>
          </w:p>
        </w:tc>
        <w:tc>
          <w:tcPr>
            <w:tcW w:w="576"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240E1BB6">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pPr>
            <w:r>
              <w:rPr>
                <w:rFonts w:hint="eastAsia" w:ascii="仿宋_GB2312" w:hAnsi="Times New Roman" w:eastAsia="仿宋_GB2312"/>
                <w:szCs w:val="21"/>
                <w:lang w:val="en-US" w:eastAsia="zh-CN"/>
              </w:rPr>
              <w:t>0</w:t>
            </w:r>
          </w:p>
        </w:tc>
        <w:tc>
          <w:tcPr>
            <w:tcW w:w="576"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348DC907">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pPr>
            <w:r>
              <w:rPr>
                <w:rFonts w:hint="eastAsia" w:ascii="仿宋_GB2312" w:hAnsi="Times New Roman" w:eastAsia="仿宋_GB2312"/>
                <w:szCs w:val="21"/>
                <w:lang w:val="en-US" w:eastAsia="zh-CN"/>
              </w:rPr>
              <w:t>0</w:t>
            </w:r>
          </w:p>
        </w:tc>
        <w:tc>
          <w:tcPr>
            <w:tcW w:w="577"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2B7F33F9">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pPr>
            <w:r>
              <w:rPr>
                <w:rFonts w:hint="eastAsia" w:ascii="仿宋_GB2312" w:hAnsi="Times New Roman" w:eastAsia="仿宋_GB2312"/>
                <w:szCs w:val="21"/>
                <w:lang w:val="en-US" w:eastAsia="zh-CN"/>
              </w:rPr>
              <w:t>0</w:t>
            </w:r>
          </w:p>
        </w:tc>
        <w:tc>
          <w:tcPr>
            <w:tcW w:w="577" w:type="dxa"/>
            <w:tcBorders>
              <w:top w:val="outset" w:color="auto" w:sz="6" w:space="0"/>
              <w:left w:val="outset" w:color="auto" w:sz="6" w:space="0"/>
              <w:bottom w:val="outset" w:color="auto" w:sz="6" w:space="0"/>
              <w:right w:val="outset" w:color="auto" w:sz="6" w:space="0"/>
            </w:tcBorders>
            <w:shd w:val="clear" w:color="auto" w:fill="auto"/>
            <w:tcMar>
              <w:left w:w="75" w:type="dxa"/>
              <w:right w:w="75" w:type="dxa"/>
            </w:tcMar>
            <w:vAlign w:val="center"/>
          </w:tcPr>
          <w:p w14:paraId="12561DE0">
            <w:pPr>
              <w:keepNext w:val="0"/>
              <w:keepLines w:val="0"/>
              <w:pageBreakBefore w:val="0"/>
              <w:widowControl/>
              <w:kinsoku/>
              <w:wordWrap/>
              <w:overflowPunct/>
              <w:topLinePunct w:val="0"/>
              <w:autoSpaceDE/>
              <w:autoSpaceDN/>
              <w:bidi w:val="0"/>
              <w:adjustRightInd/>
              <w:snapToGrid/>
              <w:ind w:left="0" w:leftChars="0" w:right="0" w:rightChars="0"/>
              <w:jc w:val="center"/>
              <w:textAlignment w:val="auto"/>
            </w:pPr>
            <w:r>
              <w:rPr>
                <w:rFonts w:hint="eastAsia" w:ascii="仿宋_GB2312" w:hAnsi="Times New Roman" w:eastAsia="仿宋_GB2312"/>
                <w:szCs w:val="21"/>
                <w:lang w:val="en-US" w:eastAsia="zh-CN"/>
              </w:rPr>
              <w:t>0</w:t>
            </w:r>
          </w:p>
        </w:tc>
      </w:tr>
    </w:tbl>
    <w:p w14:paraId="09812E5C">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黑体" w:cs="仿宋_GB2312"/>
          <w:color w:val="FF0000"/>
          <w:sz w:val="32"/>
          <w:szCs w:val="32"/>
          <w:highlight w:val="yellow"/>
          <w:shd w:val="clear" w:color="auto" w:fill="FFFFFF"/>
          <w:lang w:eastAsia="zh-CN" w:bidi="ar-SA"/>
        </w:rPr>
      </w:pPr>
      <w:r>
        <w:rPr>
          <w:rStyle w:val="7"/>
          <w:rFonts w:hint="eastAsia" w:ascii="黑体" w:hAnsi="黑体" w:eastAsia="黑体" w:cs="黑体"/>
          <w:b w:val="0"/>
          <w:bCs/>
          <w:i w:val="0"/>
          <w:iCs w:val="0"/>
          <w:caps w:val="0"/>
          <w:color w:val="000000"/>
          <w:spacing w:val="0"/>
          <w:sz w:val="32"/>
          <w:szCs w:val="32"/>
          <w:shd w:val="clear" w:fill="FFFFFF"/>
          <w:lang w:eastAsia="zh-CN"/>
        </w:rPr>
        <w:t>五、</w:t>
      </w:r>
      <w:r>
        <w:rPr>
          <w:rStyle w:val="7"/>
          <w:rFonts w:hint="eastAsia" w:ascii="黑体" w:hAnsi="黑体" w:eastAsia="黑体" w:cs="黑体"/>
          <w:b w:val="0"/>
          <w:bCs/>
          <w:i w:val="0"/>
          <w:iCs w:val="0"/>
          <w:caps w:val="0"/>
          <w:color w:val="000000"/>
          <w:spacing w:val="0"/>
          <w:sz w:val="32"/>
          <w:szCs w:val="32"/>
          <w:shd w:val="clear" w:fill="FFFFFF"/>
        </w:rPr>
        <w:t>存在的主要问题及改进情况</w:t>
      </w:r>
    </w:p>
    <w:p w14:paraId="5E8B8AA6">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color w:val="000000"/>
          <w:sz w:val="32"/>
          <w:szCs w:val="32"/>
          <w:shd w:val="clear" w:color="auto" w:fill="FFFFFF"/>
          <w:lang w:bidi="ar-SA"/>
        </w:rPr>
      </w:pPr>
      <w:r>
        <w:rPr>
          <w:rFonts w:hint="eastAsia" w:ascii="仿宋_GB2312" w:hAnsi="仿宋_GB2312" w:eastAsia="仿宋_GB2312" w:cs="仿宋_GB2312"/>
          <w:color w:val="000000"/>
          <w:sz w:val="32"/>
          <w:szCs w:val="32"/>
          <w:shd w:val="clear" w:color="auto" w:fill="FFFFFF"/>
          <w:lang w:bidi="ar-SA"/>
        </w:rPr>
        <w:t>2025年，姜屯镇以保障群众知情权、参与权、监督权为核心，稳步推进政府信息公开各项工作，在健全工作机制、规范公开流程等方面取得一定进展，但仍存在不少亟待破解的问题：一是依申请公开服务保障不够到位，部分申请事项存在受理反馈滞后、答复口径不够规范、办理环节衔接不畅等情况，对群众个性化诉求的回应不够精准高效，未能完全达到群众预期</w:t>
      </w:r>
      <w:r>
        <w:rPr>
          <w:rFonts w:hint="eastAsia" w:ascii="仿宋_GB2312" w:hAnsi="仿宋_GB2312" w:eastAsia="仿宋_GB2312" w:cs="仿宋_GB2312"/>
          <w:color w:val="000000"/>
          <w:sz w:val="32"/>
          <w:szCs w:val="32"/>
          <w:shd w:val="clear" w:color="auto" w:fill="FFFFFF"/>
          <w:lang w:eastAsia="zh-CN" w:bidi="ar-SA"/>
        </w:rPr>
        <w:t>；</w:t>
      </w:r>
      <w:r>
        <w:rPr>
          <w:rFonts w:hint="eastAsia" w:ascii="仿宋_GB2312" w:hAnsi="仿宋_GB2312" w:eastAsia="仿宋_GB2312" w:cs="仿宋_GB2312"/>
          <w:color w:val="000000"/>
          <w:sz w:val="32"/>
          <w:szCs w:val="32"/>
          <w:shd w:val="clear" w:color="auto" w:fill="FFFFFF"/>
          <w:lang w:bidi="ar-SA"/>
        </w:rPr>
        <w:t>二是信息公开平台作用发挥不充分，发布内容多以常规工作动态为主，针对惠农补贴、便民服务、矛盾调解等群众急难愁盼事项的信息供给不足，且缺乏针对性宣传引导，多数群众对公开渠道知晓度不高，平台“建而不用”“用而不活”的问题较为突出</w:t>
      </w:r>
      <w:r>
        <w:rPr>
          <w:rFonts w:hint="eastAsia" w:ascii="仿宋_GB2312" w:hAnsi="仿宋_GB2312" w:eastAsia="仿宋_GB2312" w:cs="仿宋_GB2312"/>
          <w:color w:val="000000"/>
          <w:sz w:val="32"/>
          <w:szCs w:val="32"/>
          <w:shd w:val="clear" w:color="auto" w:fill="FFFFFF"/>
          <w:lang w:eastAsia="zh-CN" w:bidi="ar-SA"/>
        </w:rPr>
        <w:t>；</w:t>
      </w:r>
      <w:r>
        <w:rPr>
          <w:rFonts w:hint="eastAsia" w:ascii="仿宋_GB2312" w:hAnsi="仿宋_GB2312" w:eastAsia="仿宋_GB2312" w:cs="仿宋_GB2312"/>
          <w:color w:val="000000"/>
          <w:sz w:val="32"/>
          <w:szCs w:val="32"/>
          <w:shd w:val="clear" w:color="auto" w:fill="FFFFFF"/>
          <w:lang w:bidi="ar-SA"/>
        </w:rPr>
        <w:t>三是工作人员专业素养有待加强，由于乡镇工作头绪多、人员流动性大，相关人员对信息公开的政策法规、操作流程学习不够系统，在信息筛选审核、政策解读转化、风险隐患排查等关键环节能力不足，难以适应新形势下政务公开工作的高质量要求。</w:t>
      </w:r>
    </w:p>
    <w:p w14:paraId="7C6FA02C">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color w:val="000000"/>
          <w:sz w:val="32"/>
          <w:szCs w:val="32"/>
          <w:shd w:val="clear" w:color="auto" w:fill="FFFFFF"/>
          <w:lang w:bidi="ar-SA"/>
        </w:rPr>
      </w:pPr>
      <w:r>
        <w:rPr>
          <w:rFonts w:hint="eastAsia" w:ascii="仿宋_GB2312" w:hAnsi="仿宋_GB2312" w:eastAsia="仿宋_GB2312" w:cs="仿宋_GB2312"/>
          <w:color w:val="000000"/>
          <w:sz w:val="32"/>
          <w:szCs w:val="32"/>
          <w:shd w:val="clear" w:color="auto" w:fill="FFFFFF"/>
          <w:lang w:bidi="ar-SA"/>
        </w:rPr>
        <w:t>下一步，</w:t>
      </w:r>
      <w:r>
        <w:rPr>
          <w:rFonts w:hint="eastAsia" w:ascii="仿宋_GB2312" w:hAnsi="仿宋_GB2312" w:eastAsia="仿宋_GB2312" w:cs="仿宋_GB2312"/>
          <w:color w:val="000000"/>
          <w:sz w:val="32"/>
          <w:szCs w:val="32"/>
          <w:shd w:val="clear" w:color="auto" w:fill="FFFFFF"/>
          <w:lang w:eastAsia="zh-CN" w:bidi="ar-SA"/>
        </w:rPr>
        <w:t>我们</w:t>
      </w:r>
      <w:r>
        <w:rPr>
          <w:rFonts w:hint="eastAsia" w:ascii="仿宋_GB2312" w:hAnsi="仿宋_GB2312" w:eastAsia="仿宋_GB2312" w:cs="仿宋_GB2312"/>
          <w:color w:val="000000"/>
          <w:sz w:val="32"/>
          <w:szCs w:val="32"/>
          <w:shd w:val="clear" w:color="auto" w:fill="FFFFFF"/>
          <w:lang w:bidi="ar-SA"/>
        </w:rPr>
        <w:t>将聚焦问题短板，靶向施策、精准发力，推动政府信息公开工作提质增效：一是优化依申请公开全流程服务，建立“接收—审核—办理—答复—回访”闭环机制，明确各环节办理时限和责任主体，对申请人诉求实行台账式管理，及时告知办理进展，确保答复内容合法合规、详实具体，切实提升群众满意度；二是提升公开平台建设运营水平，立足乡镇实际和群众需求，重点围绕惠农政策、民生服务、乡村治理等高频事项，优化内容供给结构，增加接地气、实用性强的信息发布；同时通过镇村广播、公告栏田间宣讲等多种渠道，加大平台宣传推广力度，引导群众主动使用平台获取信息，让公开平台真正成为联系群众的“连心桥”；三是强化工作人员队伍建设，制定常态化培训计划，通过专题讲座、案例分析、业务研讨等形式，深入学习信息公开相关政策法规和实操技能，定期开展业务考核，着力提升工作人员的政策理解能力、信息处理能力和服务群众能力，为政务公开工作高质量开展提供坚实保障。</w:t>
      </w:r>
    </w:p>
    <w:p w14:paraId="2E1C4295">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Style w:val="7"/>
          <w:rFonts w:hint="eastAsia" w:ascii="黑体" w:hAnsi="黑体" w:eastAsia="黑体" w:cs="黑体"/>
          <w:b w:val="0"/>
          <w:bCs/>
          <w:i w:val="0"/>
          <w:iCs w:val="0"/>
          <w:caps w:val="0"/>
          <w:color w:val="000000"/>
          <w:spacing w:val="0"/>
          <w:sz w:val="32"/>
          <w:szCs w:val="32"/>
          <w:shd w:val="clear" w:fill="FFFFFF"/>
        </w:rPr>
      </w:pPr>
      <w:r>
        <w:rPr>
          <w:rStyle w:val="7"/>
          <w:rFonts w:hint="eastAsia" w:ascii="黑体" w:hAnsi="黑体" w:eastAsia="黑体" w:cs="黑体"/>
          <w:b w:val="0"/>
          <w:bCs/>
          <w:i w:val="0"/>
          <w:iCs w:val="0"/>
          <w:caps w:val="0"/>
          <w:color w:val="000000"/>
          <w:spacing w:val="0"/>
          <w:sz w:val="32"/>
          <w:szCs w:val="32"/>
          <w:shd w:val="clear" w:fill="FFFFFF"/>
          <w:lang w:eastAsia="zh-CN"/>
        </w:rPr>
        <w:t>六、</w:t>
      </w:r>
      <w:r>
        <w:rPr>
          <w:rStyle w:val="7"/>
          <w:rFonts w:hint="eastAsia" w:ascii="黑体" w:hAnsi="黑体" w:eastAsia="黑体" w:cs="黑体"/>
          <w:b w:val="0"/>
          <w:bCs/>
          <w:i w:val="0"/>
          <w:iCs w:val="0"/>
          <w:caps w:val="0"/>
          <w:color w:val="000000"/>
          <w:spacing w:val="0"/>
          <w:sz w:val="32"/>
          <w:szCs w:val="32"/>
          <w:shd w:val="clear" w:fill="FFFFFF"/>
        </w:rPr>
        <w:t>其他需要报告的事项</w:t>
      </w:r>
    </w:p>
    <w:p w14:paraId="1421951B">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color w:val="000000"/>
          <w:sz w:val="32"/>
          <w:szCs w:val="32"/>
          <w:shd w:val="clear" w:color="auto" w:fill="FFFFFF"/>
          <w:lang w:eastAsia="zh-CN" w:bidi="ar-SA"/>
        </w:rPr>
      </w:pPr>
      <w:r>
        <w:rPr>
          <w:rFonts w:hint="eastAsia" w:ascii="仿宋_GB2312" w:hAnsi="仿宋_GB2312" w:eastAsia="仿宋_GB2312" w:cs="仿宋_GB2312"/>
          <w:color w:val="000000"/>
          <w:sz w:val="32"/>
          <w:szCs w:val="32"/>
          <w:shd w:val="clear" w:color="auto" w:fill="FFFFFF"/>
          <w:lang w:bidi="ar-SA"/>
        </w:rPr>
        <w:t>1.收取信息处理费情况方面。202</w:t>
      </w:r>
      <w:r>
        <w:rPr>
          <w:rFonts w:hint="eastAsia" w:ascii="仿宋_GB2312" w:hAnsi="仿宋_GB2312" w:eastAsia="仿宋_GB2312" w:cs="仿宋_GB2312"/>
          <w:color w:val="000000"/>
          <w:sz w:val="32"/>
          <w:szCs w:val="32"/>
          <w:shd w:val="clear" w:color="auto" w:fill="FFFFFF"/>
          <w:lang w:val="en-US" w:eastAsia="zh-CN" w:bidi="ar-SA"/>
        </w:rPr>
        <w:t>5</w:t>
      </w:r>
      <w:r>
        <w:rPr>
          <w:rFonts w:hint="eastAsia" w:ascii="仿宋_GB2312" w:hAnsi="仿宋_GB2312" w:eastAsia="仿宋_GB2312" w:cs="仿宋_GB2312"/>
          <w:color w:val="000000"/>
          <w:sz w:val="32"/>
          <w:szCs w:val="32"/>
          <w:shd w:val="clear" w:color="auto" w:fill="FFFFFF"/>
          <w:lang w:bidi="ar-SA"/>
        </w:rPr>
        <w:t>年度，姜屯镇未收取信息公开处理费</w:t>
      </w:r>
      <w:r>
        <w:rPr>
          <w:rFonts w:hint="eastAsia" w:ascii="仿宋_GB2312" w:hAnsi="仿宋_GB2312" w:eastAsia="仿宋_GB2312" w:cs="仿宋_GB2312"/>
          <w:color w:val="000000"/>
          <w:sz w:val="32"/>
          <w:szCs w:val="32"/>
          <w:shd w:val="clear" w:color="auto" w:fill="FFFFFF"/>
          <w:lang w:eastAsia="zh-CN" w:bidi="ar-SA"/>
        </w:rPr>
        <w:t>。</w:t>
      </w:r>
    </w:p>
    <w:p w14:paraId="03E6E71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color w:val="000000"/>
          <w:sz w:val="32"/>
          <w:szCs w:val="32"/>
          <w:shd w:val="clear" w:color="auto" w:fill="FFFFFF"/>
          <w:lang w:bidi="ar-SA"/>
        </w:rPr>
      </w:pPr>
      <w:r>
        <w:rPr>
          <w:rFonts w:hint="eastAsia" w:ascii="仿宋_GB2312" w:hAnsi="仿宋_GB2312" w:eastAsia="仿宋_GB2312" w:cs="仿宋_GB2312"/>
          <w:color w:val="000000"/>
          <w:sz w:val="32"/>
          <w:szCs w:val="32"/>
          <w:shd w:val="clear" w:color="auto" w:fill="FFFFFF"/>
          <w:lang w:bidi="ar-SA"/>
        </w:rPr>
        <w:t>2.落实上级年度政务公开工作要点情况。</w:t>
      </w:r>
      <w:r>
        <w:rPr>
          <w:rFonts w:hint="eastAsia" w:ascii="仿宋_GB2312" w:hAnsi="仿宋_GB2312" w:eastAsia="仿宋_GB2312" w:cs="仿宋_GB2312"/>
          <w:color w:val="000000"/>
          <w:sz w:val="32"/>
          <w:szCs w:val="32"/>
          <w:shd w:val="clear" w:color="auto" w:fill="FFFFFF"/>
          <w:lang w:eastAsia="zh-CN" w:bidi="ar-SA"/>
        </w:rPr>
        <w:t>按照</w:t>
      </w:r>
      <w:r>
        <w:rPr>
          <w:rFonts w:hint="eastAsia" w:ascii="仿宋_GB2312" w:hAnsi="仿宋_GB2312" w:eastAsia="仿宋_GB2312" w:cs="仿宋_GB2312"/>
          <w:color w:val="000000"/>
          <w:sz w:val="32"/>
          <w:szCs w:val="32"/>
          <w:shd w:val="clear" w:color="auto" w:fill="FFFFFF"/>
          <w:lang w:bidi="ar-SA"/>
        </w:rPr>
        <w:t>《滕州市202</w:t>
      </w:r>
      <w:r>
        <w:rPr>
          <w:rFonts w:hint="eastAsia" w:ascii="仿宋_GB2312" w:hAnsi="仿宋_GB2312" w:eastAsia="仿宋_GB2312" w:cs="仿宋_GB2312"/>
          <w:color w:val="000000"/>
          <w:sz w:val="32"/>
          <w:szCs w:val="32"/>
          <w:shd w:val="clear" w:color="auto" w:fill="FFFFFF"/>
          <w:lang w:val="en-US" w:eastAsia="zh-CN" w:bidi="ar-SA"/>
        </w:rPr>
        <w:t>5</w:t>
      </w:r>
      <w:r>
        <w:rPr>
          <w:rFonts w:hint="eastAsia" w:ascii="仿宋_GB2312" w:hAnsi="仿宋_GB2312" w:eastAsia="仿宋_GB2312" w:cs="仿宋_GB2312"/>
          <w:color w:val="000000"/>
          <w:sz w:val="32"/>
          <w:szCs w:val="32"/>
          <w:shd w:val="clear" w:color="auto" w:fill="FFFFFF"/>
          <w:lang w:bidi="ar-SA"/>
        </w:rPr>
        <w:t>年政务公开工作要点》，围绕重点领域信息公开、政策发布解读与回应、政民互动、基层政务公开标准化规范化建设和工作保障和落实逐项明确责任主体和完成时限。</w:t>
      </w:r>
    </w:p>
    <w:p w14:paraId="2497B96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color w:val="000000"/>
          <w:sz w:val="32"/>
          <w:szCs w:val="32"/>
          <w:shd w:val="clear" w:color="auto" w:fill="FFFFFF"/>
          <w:lang w:bidi="ar-SA"/>
        </w:rPr>
      </w:pPr>
      <w:r>
        <w:rPr>
          <w:rFonts w:hint="eastAsia" w:ascii="仿宋_GB2312" w:hAnsi="仿宋_GB2312" w:eastAsia="仿宋_GB2312" w:cs="仿宋_GB2312"/>
          <w:color w:val="000000"/>
          <w:sz w:val="32"/>
          <w:szCs w:val="32"/>
          <w:shd w:val="clear" w:color="auto" w:fill="FFFFFF"/>
          <w:lang w:bidi="ar-SA"/>
        </w:rPr>
        <w:t>3.人大代表建议和政协提案办理情况方面。202</w:t>
      </w:r>
      <w:r>
        <w:rPr>
          <w:rFonts w:hint="eastAsia" w:ascii="仿宋_GB2312" w:hAnsi="仿宋_GB2312" w:eastAsia="仿宋_GB2312" w:cs="仿宋_GB2312"/>
          <w:color w:val="000000"/>
          <w:sz w:val="32"/>
          <w:szCs w:val="32"/>
          <w:shd w:val="clear" w:color="auto" w:fill="FFFFFF"/>
          <w:lang w:val="en-US" w:eastAsia="zh-CN" w:bidi="ar-SA"/>
        </w:rPr>
        <w:t>5</w:t>
      </w:r>
      <w:r>
        <w:rPr>
          <w:rFonts w:hint="eastAsia" w:ascii="仿宋_GB2312" w:hAnsi="仿宋_GB2312" w:eastAsia="仿宋_GB2312" w:cs="仿宋_GB2312"/>
          <w:color w:val="000000"/>
          <w:sz w:val="32"/>
          <w:szCs w:val="32"/>
          <w:shd w:val="clear" w:color="auto" w:fill="FFFFFF"/>
          <w:lang w:bidi="ar-SA"/>
        </w:rPr>
        <w:t>年，姜屯镇未承办人大</w:t>
      </w:r>
      <w:r>
        <w:rPr>
          <w:rFonts w:hint="eastAsia" w:ascii="仿宋_GB2312" w:hAnsi="仿宋_GB2312" w:eastAsia="仿宋_GB2312" w:cs="仿宋_GB2312"/>
          <w:color w:val="000000"/>
          <w:sz w:val="32"/>
          <w:szCs w:val="32"/>
          <w:shd w:val="clear" w:color="auto" w:fill="FFFFFF"/>
          <w:lang w:eastAsia="zh-CN" w:bidi="ar-SA"/>
        </w:rPr>
        <w:t>代表</w:t>
      </w:r>
      <w:r>
        <w:rPr>
          <w:rFonts w:hint="eastAsia" w:ascii="仿宋_GB2312" w:hAnsi="仿宋_GB2312" w:eastAsia="仿宋_GB2312" w:cs="仿宋_GB2312"/>
          <w:color w:val="000000"/>
          <w:sz w:val="32"/>
          <w:szCs w:val="32"/>
          <w:shd w:val="clear" w:color="auto" w:fill="FFFFFF"/>
          <w:lang w:val="en-US" w:eastAsia="zh-CN" w:bidi="ar-SA"/>
        </w:rPr>
        <w:t>建议</w:t>
      </w:r>
      <w:r>
        <w:rPr>
          <w:rFonts w:hint="eastAsia" w:ascii="仿宋_GB2312" w:hAnsi="仿宋_GB2312" w:eastAsia="仿宋_GB2312" w:cs="仿宋_GB2312"/>
          <w:color w:val="000000"/>
          <w:sz w:val="32"/>
          <w:szCs w:val="32"/>
          <w:shd w:val="clear" w:color="auto" w:fill="FFFFFF"/>
          <w:lang w:bidi="ar-SA"/>
        </w:rPr>
        <w:t>和政协提案。</w:t>
      </w:r>
    </w:p>
    <w:p w14:paraId="6D17739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color w:val="000000"/>
          <w:sz w:val="32"/>
          <w:szCs w:val="32"/>
          <w:shd w:val="clear" w:color="auto" w:fill="FFFFFF"/>
          <w:lang w:eastAsia="zh-CN" w:bidi="ar-SA"/>
        </w:rPr>
      </w:pPr>
      <w:r>
        <w:rPr>
          <w:rFonts w:hint="eastAsia" w:ascii="仿宋_GB2312" w:hAnsi="仿宋_GB2312" w:eastAsia="仿宋_GB2312" w:cs="仿宋_GB2312"/>
          <w:color w:val="000000"/>
          <w:sz w:val="32"/>
          <w:szCs w:val="32"/>
          <w:shd w:val="clear" w:color="auto" w:fill="FFFFFF"/>
          <w:lang w:bidi="ar-SA"/>
        </w:rPr>
        <w:t>5.本单位政府信息公开工作年度报告数据统计需要说明的事项:无</w:t>
      </w:r>
    </w:p>
    <w:p w14:paraId="112F170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color w:val="000000"/>
          <w:sz w:val="32"/>
          <w:szCs w:val="32"/>
          <w:shd w:val="clear" w:color="auto" w:fill="FFFFFF"/>
          <w:lang w:eastAsia="zh-CN" w:bidi="ar-SA"/>
        </w:rPr>
      </w:pPr>
      <w:r>
        <w:rPr>
          <w:rFonts w:hint="eastAsia" w:ascii="仿宋_GB2312" w:hAnsi="仿宋_GB2312" w:eastAsia="仿宋_GB2312" w:cs="仿宋_GB2312"/>
          <w:color w:val="000000"/>
          <w:sz w:val="32"/>
          <w:szCs w:val="32"/>
          <w:shd w:val="clear" w:color="auto" w:fill="FFFFFF"/>
          <w:lang w:bidi="ar-SA"/>
        </w:rPr>
        <w:t>6.其他有关文件专门要求通过政府信息公开工作年度报告予以报告的事项:无</w:t>
      </w:r>
    </w:p>
    <w:p w14:paraId="053BA59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color w:val="000000"/>
          <w:sz w:val="32"/>
          <w:szCs w:val="32"/>
          <w:shd w:val="clear" w:color="auto" w:fill="FFFFFF"/>
          <w:lang w:bidi="ar-SA"/>
        </w:rPr>
      </w:pPr>
      <w:r>
        <w:rPr>
          <w:rFonts w:hint="eastAsia" w:ascii="仿宋_GB2312" w:hAnsi="仿宋_GB2312" w:eastAsia="仿宋_GB2312" w:cs="仿宋_GB2312"/>
          <w:color w:val="000000"/>
          <w:sz w:val="32"/>
          <w:szCs w:val="32"/>
          <w:shd w:val="clear" w:color="auto" w:fill="FFFFFF"/>
          <w:lang w:bidi="ar-SA"/>
        </w:rPr>
        <w:t>7.本报告的电子版可在“中国滕州网”(http://www.tengzhou.gov.cn/)网站查询和下载。如对本报告有任何疑问，请与姜屯镇政务信息公开办公室联系。(地址:山东省滕州市姜屯镇政府，联系电话:0632—5011168)</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仿宋_GB2312"/>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ÃƒÂ¥Ã‚Â¾Ã‚Â®ÃƒÂ¨Ã‚Â½Ã‚Â¯ÃƒÂ©Ã¢â">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A18FE">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36524F">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036524F">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B3FF4D"/>
    <w:multiLevelType w:val="singleLevel"/>
    <w:tmpl w:val="D1B3FF4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xNTgwMjgyODkyMjY1MDkxNzE3ZWI0MGM3Y2VlZmQifQ=="/>
  </w:docVars>
  <w:rsids>
    <w:rsidRoot w:val="68255494"/>
    <w:rsid w:val="002E1F6F"/>
    <w:rsid w:val="01350C9C"/>
    <w:rsid w:val="016025FC"/>
    <w:rsid w:val="018F4C90"/>
    <w:rsid w:val="01A7647D"/>
    <w:rsid w:val="02DF57A3"/>
    <w:rsid w:val="02EA4873"/>
    <w:rsid w:val="032338E1"/>
    <w:rsid w:val="03822CFE"/>
    <w:rsid w:val="03DB41BC"/>
    <w:rsid w:val="03F359AA"/>
    <w:rsid w:val="04137DFA"/>
    <w:rsid w:val="04243DB5"/>
    <w:rsid w:val="069A210C"/>
    <w:rsid w:val="06AB60C8"/>
    <w:rsid w:val="074309F6"/>
    <w:rsid w:val="07C02047"/>
    <w:rsid w:val="07DB29DD"/>
    <w:rsid w:val="085F6817"/>
    <w:rsid w:val="08D31906"/>
    <w:rsid w:val="092B34F0"/>
    <w:rsid w:val="093525C0"/>
    <w:rsid w:val="09376339"/>
    <w:rsid w:val="09F47D86"/>
    <w:rsid w:val="0B57058A"/>
    <w:rsid w:val="0BF027CF"/>
    <w:rsid w:val="0D1C7D1F"/>
    <w:rsid w:val="0E820056"/>
    <w:rsid w:val="10B85FB1"/>
    <w:rsid w:val="11477335"/>
    <w:rsid w:val="11904838"/>
    <w:rsid w:val="11E46932"/>
    <w:rsid w:val="129245E0"/>
    <w:rsid w:val="12A407A1"/>
    <w:rsid w:val="131E7C21"/>
    <w:rsid w:val="136E0BA9"/>
    <w:rsid w:val="13CA3E07"/>
    <w:rsid w:val="149274F5"/>
    <w:rsid w:val="14C03686"/>
    <w:rsid w:val="16070E41"/>
    <w:rsid w:val="162D4D4B"/>
    <w:rsid w:val="166B13D0"/>
    <w:rsid w:val="16C84A74"/>
    <w:rsid w:val="17467B7D"/>
    <w:rsid w:val="19371A3D"/>
    <w:rsid w:val="19EA2F53"/>
    <w:rsid w:val="19FD67E3"/>
    <w:rsid w:val="1AF23E6D"/>
    <w:rsid w:val="1B3F2E2B"/>
    <w:rsid w:val="1B636B19"/>
    <w:rsid w:val="1C224C26"/>
    <w:rsid w:val="1C9635A4"/>
    <w:rsid w:val="1CAB4C1C"/>
    <w:rsid w:val="1CDC3027"/>
    <w:rsid w:val="1D344C11"/>
    <w:rsid w:val="1D525097"/>
    <w:rsid w:val="1E234C86"/>
    <w:rsid w:val="1E94348E"/>
    <w:rsid w:val="1EBA2EF4"/>
    <w:rsid w:val="1F617814"/>
    <w:rsid w:val="1FE50445"/>
    <w:rsid w:val="205C7FDB"/>
    <w:rsid w:val="21F42BC1"/>
    <w:rsid w:val="225E003A"/>
    <w:rsid w:val="22714212"/>
    <w:rsid w:val="23607DE2"/>
    <w:rsid w:val="259721E1"/>
    <w:rsid w:val="27B16E5E"/>
    <w:rsid w:val="27C052F3"/>
    <w:rsid w:val="27E86D24"/>
    <w:rsid w:val="28481571"/>
    <w:rsid w:val="288B3B53"/>
    <w:rsid w:val="289B1FE8"/>
    <w:rsid w:val="290851A4"/>
    <w:rsid w:val="29F00112"/>
    <w:rsid w:val="29F714A0"/>
    <w:rsid w:val="2B844FB6"/>
    <w:rsid w:val="2BEC66B7"/>
    <w:rsid w:val="2C504E98"/>
    <w:rsid w:val="2CED0939"/>
    <w:rsid w:val="2D8C1F00"/>
    <w:rsid w:val="2F3B0503"/>
    <w:rsid w:val="2F8D1F5F"/>
    <w:rsid w:val="2FBE480E"/>
    <w:rsid w:val="31DC0F7C"/>
    <w:rsid w:val="33AF6948"/>
    <w:rsid w:val="34FF38FF"/>
    <w:rsid w:val="35386E11"/>
    <w:rsid w:val="35CA269D"/>
    <w:rsid w:val="360D5BA8"/>
    <w:rsid w:val="36A209E6"/>
    <w:rsid w:val="36B67FED"/>
    <w:rsid w:val="36D52B69"/>
    <w:rsid w:val="38D92736"/>
    <w:rsid w:val="39B76556"/>
    <w:rsid w:val="3A483652"/>
    <w:rsid w:val="3AEA64B7"/>
    <w:rsid w:val="3B135A0E"/>
    <w:rsid w:val="3B304812"/>
    <w:rsid w:val="3B3E6803"/>
    <w:rsid w:val="3BE64ED1"/>
    <w:rsid w:val="3BFF2436"/>
    <w:rsid w:val="3C6F3118"/>
    <w:rsid w:val="3CE24DF8"/>
    <w:rsid w:val="3D4A5933"/>
    <w:rsid w:val="3D9155F5"/>
    <w:rsid w:val="3DB57251"/>
    <w:rsid w:val="3E350391"/>
    <w:rsid w:val="3EE85404"/>
    <w:rsid w:val="3F6E3B5B"/>
    <w:rsid w:val="403C0D10"/>
    <w:rsid w:val="40B557B9"/>
    <w:rsid w:val="40D479EE"/>
    <w:rsid w:val="40ED0AAF"/>
    <w:rsid w:val="41C77552"/>
    <w:rsid w:val="427C658F"/>
    <w:rsid w:val="42BA70B7"/>
    <w:rsid w:val="43452E25"/>
    <w:rsid w:val="440A1978"/>
    <w:rsid w:val="465515D1"/>
    <w:rsid w:val="47DD7AD0"/>
    <w:rsid w:val="48594C7C"/>
    <w:rsid w:val="488C6E00"/>
    <w:rsid w:val="48ED308C"/>
    <w:rsid w:val="4BAE3EFC"/>
    <w:rsid w:val="4BEB6533"/>
    <w:rsid w:val="4D183358"/>
    <w:rsid w:val="4E720846"/>
    <w:rsid w:val="4F161B19"/>
    <w:rsid w:val="4F483009"/>
    <w:rsid w:val="4F4F32AA"/>
    <w:rsid w:val="50250266"/>
    <w:rsid w:val="50A226CF"/>
    <w:rsid w:val="50F73284"/>
    <w:rsid w:val="51E11F6A"/>
    <w:rsid w:val="52C06024"/>
    <w:rsid w:val="536F7A4A"/>
    <w:rsid w:val="544E765F"/>
    <w:rsid w:val="54AA6F8B"/>
    <w:rsid w:val="551B1C37"/>
    <w:rsid w:val="57430FD1"/>
    <w:rsid w:val="57623B4D"/>
    <w:rsid w:val="58501BF8"/>
    <w:rsid w:val="58831FCD"/>
    <w:rsid w:val="58F46A27"/>
    <w:rsid w:val="5A0148B9"/>
    <w:rsid w:val="5A9304C2"/>
    <w:rsid w:val="5AD20FEA"/>
    <w:rsid w:val="5AF54CD9"/>
    <w:rsid w:val="5B084A0C"/>
    <w:rsid w:val="5B1A64ED"/>
    <w:rsid w:val="5B887BB7"/>
    <w:rsid w:val="5BCA1CC1"/>
    <w:rsid w:val="5C341831"/>
    <w:rsid w:val="5CFA0384"/>
    <w:rsid w:val="5D447851"/>
    <w:rsid w:val="5DC15346"/>
    <w:rsid w:val="5EB44D5F"/>
    <w:rsid w:val="5F8D54E0"/>
    <w:rsid w:val="60161979"/>
    <w:rsid w:val="601B6F8F"/>
    <w:rsid w:val="60A725D1"/>
    <w:rsid w:val="60CC2038"/>
    <w:rsid w:val="617F70AA"/>
    <w:rsid w:val="62B80AC5"/>
    <w:rsid w:val="62CC27C3"/>
    <w:rsid w:val="62E0626E"/>
    <w:rsid w:val="63163A3E"/>
    <w:rsid w:val="63302D52"/>
    <w:rsid w:val="63387E58"/>
    <w:rsid w:val="637D1D0F"/>
    <w:rsid w:val="63AE011A"/>
    <w:rsid w:val="63F83144"/>
    <w:rsid w:val="64572560"/>
    <w:rsid w:val="64BB2AEF"/>
    <w:rsid w:val="64EA6F30"/>
    <w:rsid w:val="64F9030A"/>
    <w:rsid w:val="65886E23"/>
    <w:rsid w:val="65F00576"/>
    <w:rsid w:val="664D3C1B"/>
    <w:rsid w:val="6660394E"/>
    <w:rsid w:val="667271DD"/>
    <w:rsid w:val="66886A01"/>
    <w:rsid w:val="66DB9802"/>
    <w:rsid w:val="679F2254"/>
    <w:rsid w:val="68255494"/>
    <w:rsid w:val="685E5C6B"/>
    <w:rsid w:val="698931BC"/>
    <w:rsid w:val="69EB3B55"/>
    <w:rsid w:val="6AB73D58"/>
    <w:rsid w:val="6C027255"/>
    <w:rsid w:val="6C360CAD"/>
    <w:rsid w:val="6C6677E4"/>
    <w:rsid w:val="6D1E3C1B"/>
    <w:rsid w:val="6F490CF7"/>
    <w:rsid w:val="6FC82564"/>
    <w:rsid w:val="706C2EEF"/>
    <w:rsid w:val="71791D68"/>
    <w:rsid w:val="72874010"/>
    <w:rsid w:val="73C848E1"/>
    <w:rsid w:val="73FB5422"/>
    <w:rsid w:val="74B65081"/>
    <w:rsid w:val="755A5A0C"/>
    <w:rsid w:val="75705230"/>
    <w:rsid w:val="75E874BC"/>
    <w:rsid w:val="764C7A4B"/>
    <w:rsid w:val="766C1E9B"/>
    <w:rsid w:val="76A74C81"/>
    <w:rsid w:val="77E3FAB6"/>
    <w:rsid w:val="7803238B"/>
    <w:rsid w:val="78961451"/>
    <w:rsid w:val="78F85C68"/>
    <w:rsid w:val="79EC35B3"/>
    <w:rsid w:val="79ED2696"/>
    <w:rsid w:val="7E6873EC"/>
    <w:rsid w:val="7E6A3164"/>
    <w:rsid w:val="7F233313"/>
    <w:rsid w:val="7F323556"/>
    <w:rsid w:val="7F833DB1"/>
    <w:rsid w:val="7F8738A2"/>
    <w:rsid w:val="7F98785D"/>
    <w:rsid w:val="DB7D6CC8"/>
    <w:rsid w:val="FDFBDD6C"/>
    <w:rsid w:val="FEF9ABAD"/>
    <w:rsid w:val="FFBDAA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3182</Words>
  <Characters>3317</Characters>
  <Lines>0</Lines>
  <Paragraphs>0</Paragraphs>
  <TotalTime>9</TotalTime>
  <ScaleCrop>false</ScaleCrop>
  <LinksUpToDate>false</LinksUpToDate>
  <CharactersWithSpaces>3318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2024-01-23T07:07:00Z</dcterms:created>
  <dc:creator>菇凉与过儿</dc:creator>
  <cp:lastModifiedBy>菇凉与过儿</cp:lastModifiedBy>
  <dcterms:modified xsi:type="dcterms:W3CDTF">2026-01-15T03:38:51Z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50AD97BC7F3C46C8BC83E908EFE37C38_13</vt:lpwstr>
  </property>
  <property fmtid="{D5CDD505-2E9C-101B-9397-08002B2CF9AE}" pid="4" name="KSOTemplateDocerSaveRecord">
    <vt:lpwstr>eyJoZGlkIjoiNWQxNTgwMjgyODkyMjY1MDkxNzE3ZWI0MGM3Y2VlZmQiLCJ1c2VySWQiOiIyOTYwOTMyMDUifQ==</vt:lpwstr>
  </property>
</Properties>
</file>