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8BCE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jc w:val="center"/>
        <w:textAlignment w:val="auto"/>
        <w:rPr>
          <w:rFonts w:hint="eastAsia" w:ascii="方正小标宋简体" w:hAnsi="方正小标宋简体" w:eastAsia="方正小标宋简体" w:cs="方正小标宋简体"/>
          <w:sz w:val="44"/>
          <w:szCs w:val="44"/>
        </w:rPr>
      </w:pPr>
    </w:p>
    <w:p w14:paraId="57B0D12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jc w:val="center"/>
        <w:textAlignment w:val="auto"/>
        <w:rPr>
          <w:rFonts w:hint="eastAsia" w:ascii="方正小标宋简体" w:hAnsi="方正小标宋简体" w:eastAsia="方正小标宋简体" w:cs="方正小标宋简体"/>
          <w:sz w:val="44"/>
          <w:szCs w:val="44"/>
        </w:rPr>
      </w:pPr>
      <w:bookmarkStart w:id="9" w:name="_GoBack"/>
      <w:bookmarkEnd w:id="9"/>
      <w:r>
        <w:rPr>
          <w:rFonts w:hint="eastAsia" w:ascii="方正小标宋简体" w:hAnsi="方正小标宋简体" w:eastAsia="方正小标宋简体" w:cs="方正小标宋简体"/>
          <w:sz w:val="44"/>
          <w:szCs w:val="44"/>
        </w:rPr>
        <w:t>滕州市发展和改革局</w:t>
      </w:r>
    </w:p>
    <w:p w14:paraId="50323C4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jc w:val="center"/>
        <w:textAlignment w:val="auto"/>
        <w:rPr>
          <w:rFonts w:ascii="仿宋_GB2312" w:eastAsia="仿宋_GB2312" w:cs="仿宋_GB2312"/>
          <w:sz w:val="31"/>
          <w:szCs w:val="31"/>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年政府信息公开工作年度报告</w:t>
      </w:r>
    </w:p>
    <w:p w14:paraId="2A50D0E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left="0" w:firstLine="645"/>
        <w:textAlignment w:val="auto"/>
        <w:rPr>
          <w:rFonts w:ascii="仿宋_GB2312" w:eastAsia="仿宋_GB2312" w:cs="仿宋_GB2312"/>
          <w:sz w:val="31"/>
          <w:szCs w:val="31"/>
        </w:rPr>
      </w:pPr>
    </w:p>
    <w:p w14:paraId="02E9FC9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left="0" w:firstLine="645"/>
        <w:jc w:val="both"/>
        <w:textAlignment w:val="auto"/>
        <w:rPr>
          <w:rFonts w:ascii="仿宋_GB2312" w:eastAsia="仿宋_GB2312" w:cs="仿宋_GB2312"/>
          <w:sz w:val="32"/>
          <w:szCs w:val="32"/>
        </w:rPr>
      </w:pPr>
      <w:r>
        <w:rPr>
          <w:rFonts w:ascii="仿宋_GB2312" w:eastAsia="仿宋_GB2312" w:cs="仿宋_GB2312"/>
          <w:sz w:val="31"/>
          <w:szCs w:val="31"/>
        </w:rPr>
        <w:t>根</w:t>
      </w:r>
      <w:r>
        <w:rPr>
          <w:rFonts w:ascii="仿宋_GB2312" w:eastAsia="仿宋_GB2312" w:cs="仿宋_GB2312"/>
          <w:sz w:val="32"/>
          <w:szCs w:val="32"/>
        </w:rPr>
        <w:t>据《中华人民共和国政府信息公开条例》以及省、枣庄市、滕州市政府有关政府信息公开文件要求，</w:t>
      </w:r>
      <w:r>
        <w:rPr>
          <w:rFonts w:ascii="仿宋_GB2312" w:hAnsi="宋体" w:eastAsia="仿宋_GB2312" w:cs="仿宋_GB2312"/>
          <w:i w:val="0"/>
          <w:iCs w:val="0"/>
          <w:caps w:val="0"/>
          <w:color w:val="000000"/>
          <w:spacing w:val="0"/>
          <w:sz w:val="31"/>
          <w:szCs w:val="31"/>
          <w:shd w:val="clear" w:fill="FFFFFF"/>
        </w:rPr>
        <w:t>特编制</w:t>
      </w:r>
      <w:r>
        <w:rPr>
          <w:rFonts w:hint="eastAsia" w:ascii="仿宋_GB2312" w:hAnsi="宋体" w:eastAsia="仿宋_GB2312" w:cs="仿宋_GB2312"/>
          <w:i w:val="0"/>
          <w:iCs w:val="0"/>
          <w:caps w:val="0"/>
          <w:color w:val="000000"/>
          <w:spacing w:val="0"/>
          <w:sz w:val="31"/>
          <w:szCs w:val="31"/>
          <w:shd w:val="clear" w:fill="FFFFFF"/>
          <w:lang w:eastAsia="zh-CN"/>
        </w:rPr>
        <w:t>《</w:t>
      </w:r>
      <w:r>
        <w:rPr>
          <w:rFonts w:ascii="仿宋_GB2312" w:hAnsi="宋体" w:eastAsia="仿宋_GB2312" w:cs="仿宋_GB2312"/>
          <w:i w:val="0"/>
          <w:iCs w:val="0"/>
          <w:caps w:val="0"/>
          <w:color w:val="000000"/>
          <w:spacing w:val="0"/>
          <w:sz w:val="31"/>
          <w:szCs w:val="31"/>
          <w:shd w:val="clear" w:fill="FFFFFF"/>
        </w:rPr>
        <w:t>滕州市</w:t>
      </w:r>
      <w:r>
        <w:rPr>
          <w:rFonts w:hint="eastAsia" w:ascii="仿宋_GB2312" w:hAnsi="宋体" w:eastAsia="仿宋_GB2312" w:cs="仿宋_GB2312"/>
          <w:i w:val="0"/>
          <w:iCs w:val="0"/>
          <w:caps w:val="0"/>
          <w:color w:val="000000"/>
          <w:spacing w:val="0"/>
          <w:sz w:val="31"/>
          <w:szCs w:val="31"/>
          <w:shd w:val="clear" w:fill="FFFFFF"/>
          <w:lang w:val="en-US" w:eastAsia="zh-CN"/>
        </w:rPr>
        <w:t>发展和改革</w:t>
      </w:r>
      <w:r>
        <w:rPr>
          <w:rFonts w:ascii="仿宋_GB2312" w:hAnsi="宋体" w:eastAsia="仿宋_GB2312" w:cs="仿宋_GB2312"/>
          <w:i w:val="0"/>
          <w:iCs w:val="0"/>
          <w:caps w:val="0"/>
          <w:color w:val="000000"/>
          <w:spacing w:val="0"/>
          <w:sz w:val="31"/>
          <w:szCs w:val="31"/>
          <w:shd w:val="clear" w:fill="FFFFFF"/>
        </w:rPr>
        <w:t>局202</w:t>
      </w:r>
      <w:r>
        <w:rPr>
          <w:rFonts w:hint="eastAsia" w:ascii="仿宋_GB2312" w:hAnsi="宋体" w:eastAsia="仿宋_GB2312" w:cs="仿宋_GB2312"/>
          <w:i w:val="0"/>
          <w:iCs w:val="0"/>
          <w:caps w:val="0"/>
          <w:color w:val="000000"/>
          <w:spacing w:val="0"/>
          <w:sz w:val="31"/>
          <w:szCs w:val="31"/>
          <w:shd w:val="clear" w:fill="FFFFFF"/>
          <w:lang w:val="en-US" w:eastAsia="zh-CN"/>
        </w:rPr>
        <w:t>5</w:t>
      </w:r>
      <w:r>
        <w:rPr>
          <w:rFonts w:ascii="仿宋_GB2312" w:hAnsi="宋体" w:eastAsia="仿宋_GB2312" w:cs="仿宋_GB2312"/>
          <w:i w:val="0"/>
          <w:iCs w:val="0"/>
          <w:caps w:val="0"/>
          <w:color w:val="000000"/>
          <w:spacing w:val="0"/>
          <w:sz w:val="31"/>
          <w:szCs w:val="31"/>
          <w:shd w:val="clear" w:fill="FFFFFF"/>
        </w:rPr>
        <w:t>年政府信息公开</w:t>
      </w:r>
      <w:r>
        <w:rPr>
          <w:rFonts w:hint="eastAsia" w:ascii="仿宋_GB2312" w:hAnsi="宋体" w:eastAsia="仿宋_GB2312" w:cs="仿宋_GB2312"/>
          <w:i w:val="0"/>
          <w:iCs w:val="0"/>
          <w:caps w:val="0"/>
          <w:color w:val="000000"/>
          <w:spacing w:val="0"/>
          <w:sz w:val="31"/>
          <w:szCs w:val="31"/>
          <w:shd w:val="clear" w:fill="FFFFFF"/>
          <w:lang w:val="en-US" w:eastAsia="zh-CN"/>
        </w:rPr>
        <w:t>工作</w:t>
      </w:r>
      <w:r>
        <w:rPr>
          <w:rFonts w:ascii="仿宋_GB2312" w:hAnsi="宋体" w:eastAsia="仿宋_GB2312" w:cs="仿宋_GB2312"/>
          <w:i w:val="0"/>
          <w:iCs w:val="0"/>
          <w:caps w:val="0"/>
          <w:color w:val="000000"/>
          <w:spacing w:val="0"/>
          <w:sz w:val="31"/>
          <w:szCs w:val="31"/>
          <w:shd w:val="clear" w:fill="FFFFFF"/>
        </w:rPr>
        <w:t>年度报告</w:t>
      </w:r>
      <w:r>
        <w:rPr>
          <w:rFonts w:hint="eastAsia" w:ascii="仿宋_GB2312" w:hAnsi="宋体" w:eastAsia="仿宋_GB2312" w:cs="仿宋_GB2312"/>
          <w:i w:val="0"/>
          <w:iCs w:val="0"/>
          <w:caps w:val="0"/>
          <w:color w:val="000000"/>
          <w:spacing w:val="0"/>
          <w:sz w:val="31"/>
          <w:szCs w:val="31"/>
          <w:shd w:val="clear" w:fill="FFFFFF"/>
          <w:lang w:eastAsia="zh-CN"/>
        </w:rPr>
        <w:t>》</w:t>
      </w:r>
      <w:r>
        <w:rPr>
          <w:rFonts w:ascii="仿宋_GB2312" w:hAnsi="宋体" w:eastAsia="仿宋_GB2312" w:cs="仿宋_GB2312"/>
          <w:i w:val="0"/>
          <w:iCs w:val="0"/>
          <w:caps w:val="0"/>
          <w:color w:val="000000"/>
          <w:spacing w:val="0"/>
          <w:sz w:val="31"/>
          <w:szCs w:val="31"/>
          <w:shd w:val="clear" w:fill="FFFFFF"/>
        </w:rPr>
        <w:t>并向社会公布</w:t>
      </w:r>
      <w:r>
        <w:rPr>
          <w:rFonts w:ascii="仿宋_GB2312" w:eastAsia="仿宋_GB2312" w:cs="仿宋_GB2312"/>
          <w:sz w:val="32"/>
          <w:szCs w:val="32"/>
        </w:rPr>
        <w:t>。</w:t>
      </w:r>
      <w:r>
        <w:rPr>
          <w:rFonts w:hint="eastAsia" w:ascii="仿宋_GB2312" w:eastAsia="仿宋_GB2312" w:cs="仿宋_GB2312"/>
          <w:sz w:val="32"/>
          <w:szCs w:val="32"/>
          <w:lang w:val="en-US" w:eastAsia="zh-CN"/>
        </w:rPr>
        <w:t>本报告共包括</w:t>
      </w:r>
      <w:r>
        <w:rPr>
          <w:rFonts w:ascii="仿宋_GB2312" w:eastAsia="仿宋_GB2312" w:cs="仿宋_GB2312"/>
          <w:sz w:val="32"/>
          <w:szCs w:val="32"/>
        </w:rPr>
        <w:t>总体情况、主动公开政府信息情况、收到和处理政府信息公开申请情况</w:t>
      </w:r>
      <w:r>
        <w:rPr>
          <w:rFonts w:hint="eastAsia" w:ascii="仿宋_GB2312" w:eastAsia="仿宋_GB2312" w:cs="仿宋_GB2312"/>
          <w:sz w:val="32"/>
          <w:szCs w:val="32"/>
          <w:lang w:val="en-US" w:eastAsia="zh-CN"/>
        </w:rPr>
        <w:t>等六部分。本报告所列数据的统计时限自2025年1月1日起至2025年12月31日止。</w:t>
      </w:r>
    </w:p>
    <w:p w14:paraId="61DDA49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left="0" w:firstLine="640" w:firstLineChars="200"/>
        <w:textAlignment w:val="auto"/>
        <w:rPr>
          <w:sz w:val="32"/>
          <w:szCs w:val="32"/>
        </w:rPr>
      </w:pPr>
      <w:r>
        <w:rPr>
          <w:rFonts w:ascii="黑体" w:hAnsi="宋体" w:eastAsia="黑体" w:cs="黑体"/>
          <w:sz w:val="32"/>
          <w:szCs w:val="32"/>
        </w:rPr>
        <w:t>一、总体情况</w:t>
      </w:r>
    </w:p>
    <w:p w14:paraId="2BC87E35">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left="0" w:firstLine="640" w:firstLineChars="200"/>
        <w:textAlignment w:val="auto"/>
        <w:rPr>
          <w:rFonts w:hint="eastAsia" w:ascii="仿宋_GB2312" w:eastAsia="仿宋_GB2312" w:cs="仿宋_GB2312"/>
          <w:sz w:val="32"/>
          <w:szCs w:val="32"/>
          <w:lang w:eastAsia="zh-CN"/>
        </w:rPr>
      </w:pPr>
      <w:r>
        <w:rPr>
          <w:rFonts w:hint="default" w:ascii="仿宋_GB2312" w:eastAsia="仿宋_GB2312" w:cs="仿宋_GB2312"/>
          <w:sz w:val="32"/>
          <w:szCs w:val="32"/>
        </w:rPr>
        <w:t>202</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年以来，</w:t>
      </w:r>
      <w:r>
        <w:rPr>
          <w:rFonts w:hint="eastAsia" w:ascii="仿宋_GB2312" w:eastAsia="仿宋_GB2312" w:cs="仿宋_GB2312"/>
          <w:sz w:val="32"/>
          <w:szCs w:val="32"/>
          <w:lang w:val="en-US" w:eastAsia="zh-CN"/>
        </w:rPr>
        <w:t>滕州市发展和改革局深入</w:t>
      </w:r>
      <w:r>
        <w:rPr>
          <w:rFonts w:hint="eastAsia" w:ascii="仿宋_GB2312" w:eastAsia="仿宋_GB2312" w:cs="仿宋_GB2312"/>
          <w:sz w:val="32"/>
          <w:szCs w:val="32"/>
        </w:rPr>
        <w:t>落实《中华人民共和国政府信息公开条例》以及省、枣庄市和滕州市政府关于政府信息公开工作的要求，紧扣工作实际</w:t>
      </w:r>
      <w:r>
        <w:rPr>
          <w:rFonts w:hint="eastAsia" w:ascii="仿宋_GB2312" w:eastAsia="仿宋_GB2312" w:cs="仿宋_GB2312"/>
          <w:sz w:val="32"/>
          <w:szCs w:val="32"/>
          <w:lang w:val="en-US" w:eastAsia="zh-CN"/>
        </w:rPr>
        <w:t>，</w:t>
      </w:r>
      <w:r>
        <w:rPr>
          <w:rFonts w:hint="eastAsia" w:ascii="仿宋_GB2312" w:eastAsia="仿宋_GB2312" w:cs="仿宋_GB2312"/>
          <w:sz w:val="32"/>
          <w:szCs w:val="32"/>
        </w:rPr>
        <w:t>拓宽公开领域，精准细化公开内容，提高工作精准度和透明度</w:t>
      </w:r>
      <w:r>
        <w:rPr>
          <w:rFonts w:hint="eastAsia" w:ascii="仿宋_GB2312" w:eastAsia="仿宋_GB2312" w:cs="仿宋_GB2312"/>
          <w:sz w:val="32"/>
          <w:szCs w:val="32"/>
          <w:lang w:eastAsia="zh-CN"/>
        </w:rPr>
        <w:t>，</w:t>
      </w:r>
      <w:r>
        <w:rPr>
          <w:rFonts w:hint="eastAsia" w:ascii="仿宋_GB2312" w:eastAsia="仿宋_GB2312" w:cs="仿宋_GB2312"/>
          <w:sz w:val="32"/>
          <w:szCs w:val="32"/>
        </w:rPr>
        <w:t>全面推进政务公开工作，有力服务经济社会发展。</w:t>
      </w:r>
    </w:p>
    <w:p w14:paraId="7B97909D">
      <w:pPr>
        <w:pStyle w:val="5"/>
        <w:widowControl/>
        <w:numPr>
          <w:ilvl w:val="0"/>
          <w:numId w:val="0"/>
        </w:numPr>
        <w:spacing w:beforeAutospacing="0" w:afterAutospacing="0" w:line="560" w:lineRule="exact"/>
        <w:ind w:firstLine="640" w:firstLineChars="200"/>
        <w:jc w:val="both"/>
        <w:rPr>
          <w:rFonts w:hint="eastAsia" w:ascii="仿宋_GB2312" w:hAnsi="sans-serif" w:eastAsia="仿宋_GB2312" w:cs="仿宋_GB2312"/>
          <w:color w:val="000000"/>
          <w:sz w:val="32"/>
          <w:szCs w:val="32"/>
          <w:highlight w:val="none"/>
          <w:lang w:eastAsia="zh-CN"/>
        </w:rPr>
      </w:pPr>
      <w:r>
        <w:rPr>
          <w:rFonts w:hint="eastAsia" w:ascii="楷体_GB2312" w:hAnsi="楷体_GB2312" w:eastAsia="楷体_GB2312" w:cs="楷体_GB2312"/>
          <w:color w:val="000000"/>
          <w:sz w:val="32"/>
          <w:szCs w:val="32"/>
          <w:highlight w:val="none"/>
          <w:lang w:eastAsia="zh-CN"/>
        </w:rPr>
        <w:t>（</w:t>
      </w:r>
      <w:r>
        <w:rPr>
          <w:rFonts w:hint="eastAsia" w:ascii="楷体_GB2312" w:hAnsi="楷体_GB2312" w:eastAsia="楷体_GB2312" w:cs="楷体_GB2312"/>
          <w:color w:val="000000"/>
          <w:sz w:val="32"/>
          <w:szCs w:val="32"/>
          <w:highlight w:val="none"/>
          <w:lang w:val="en-US" w:eastAsia="zh-CN"/>
        </w:rPr>
        <w:t>一</w:t>
      </w:r>
      <w:r>
        <w:rPr>
          <w:rFonts w:hint="eastAsia" w:ascii="楷体_GB2312" w:hAnsi="楷体_GB2312" w:eastAsia="楷体_GB2312" w:cs="楷体_GB2312"/>
          <w:color w:val="000000"/>
          <w:sz w:val="32"/>
          <w:szCs w:val="32"/>
          <w:highlight w:val="none"/>
          <w:lang w:eastAsia="zh-CN"/>
        </w:rPr>
        <w:t>）</w:t>
      </w:r>
      <w:r>
        <w:rPr>
          <w:rFonts w:hint="eastAsia" w:ascii="楷体_GB2312" w:hAnsi="楷体_GB2312" w:eastAsia="楷体_GB2312" w:cs="楷体_GB2312"/>
          <w:color w:val="000000"/>
          <w:sz w:val="32"/>
          <w:szCs w:val="32"/>
          <w:highlight w:val="none"/>
        </w:rPr>
        <w:t>主动公开</w:t>
      </w:r>
    </w:p>
    <w:p w14:paraId="34C94E57">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600" w:lineRule="exact"/>
        <w:ind w:left="0" w:leftChars="0" w:right="0" w:rightChars="0" w:firstLine="640" w:firstLineChars="200"/>
        <w:jc w:val="both"/>
        <w:textAlignment w:val="auto"/>
        <w:rPr>
          <w:rFonts w:hint="default" w:asci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s="仿宋_GB2312"/>
          <w:sz w:val="32"/>
          <w:szCs w:val="32"/>
          <w:lang w:val="en-US" w:eastAsia="zh-CN"/>
        </w:rPr>
        <w:t>滕州市发展和改革局</w:t>
      </w:r>
      <w:r>
        <w:rPr>
          <w:rFonts w:hint="eastAsia" w:ascii="仿宋_GB2312" w:eastAsia="仿宋_GB2312" w:cs="仿宋_GB2312"/>
          <w:sz w:val="32"/>
          <w:szCs w:val="32"/>
        </w:rPr>
        <w:t>坚持把政府信息主动公开作为推进依法行政、建设法治政府的重要手段。按照公开是常态、不公开是例外的原则，对制定的涉及公共利益、公众关切、需要社会广泛知晓的政策文件，除依法需要保密外，全部及时主动准确向社会公开</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依法保障人民群众的知情权、参与权和监督权。2025年，通过市人民政府官网信息公开页面主动公开工作动态50余条，</w:t>
      </w:r>
      <w:r>
        <w:rPr>
          <w:rFonts w:ascii="仿宋_GB2312" w:hAnsi="宋体" w:eastAsia="仿宋_GB2312" w:cs="仿宋_GB2312"/>
          <w:i w:val="0"/>
          <w:iCs w:val="0"/>
          <w:caps w:val="0"/>
          <w:color w:val="000000"/>
          <w:spacing w:val="0"/>
          <w:sz w:val="32"/>
          <w:szCs w:val="32"/>
          <w:shd w:val="clear" w:fill="FFFFFF"/>
        </w:rPr>
        <w:t>政务公开专题版块主动公开政府信息</w:t>
      </w:r>
      <w:r>
        <w:rPr>
          <w:rFonts w:hint="eastAsia" w:ascii="仿宋_GB2312" w:hAnsi="宋体" w:eastAsia="仿宋_GB2312" w:cs="仿宋_GB2312"/>
          <w:i w:val="0"/>
          <w:iCs w:val="0"/>
          <w:caps w:val="0"/>
          <w:color w:val="000000"/>
          <w:spacing w:val="0"/>
          <w:sz w:val="32"/>
          <w:szCs w:val="32"/>
          <w:shd w:val="clear" w:fill="FFFFFF"/>
          <w:lang w:val="en-US" w:eastAsia="zh-CN"/>
        </w:rPr>
        <w:t>40</w:t>
      </w:r>
      <w:r>
        <w:rPr>
          <w:rFonts w:ascii="仿宋_GB2312" w:hAnsi="宋体" w:eastAsia="仿宋_GB2312" w:cs="仿宋_GB2312"/>
          <w:i w:val="0"/>
          <w:iCs w:val="0"/>
          <w:caps w:val="0"/>
          <w:color w:val="000000"/>
          <w:spacing w:val="0"/>
          <w:sz w:val="32"/>
          <w:szCs w:val="32"/>
          <w:shd w:val="clear" w:fill="FFFFFF"/>
        </w:rPr>
        <w:t>余条，其中</w:t>
      </w:r>
      <w:r>
        <w:rPr>
          <w:rFonts w:hint="eastAsia" w:ascii="仿宋_GB2312" w:eastAsia="仿宋_GB2312" w:cs="仿宋_GB2312"/>
          <w:sz w:val="32"/>
          <w:szCs w:val="32"/>
          <w:lang w:val="en-US" w:eastAsia="zh-CN"/>
        </w:rPr>
        <w:t>通知公告类10条，重大民生信息类13条，</w:t>
      </w:r>
      <w:r>
        <w:rPr>
          <w:rFonts w:ascii="仿宋_GB2312" w:hAnsi="宋体" w:eastAsia="仿宋_GB2312" w:cs="仿宋_GB2312"/>
          <w:i w:val="0"/>
          <w:iCs w:val="0"/>
          <w:caps w:val="0"/>
          <w:color w:val="000000"/>
          <w:spacing w:val="0"/>
          <w:sz w:val="32"/>
          <w:szCs w:val="32"/>
          <w:shd w:val="clear" w:fill="FFFFFF"/>
        </w:rPr>
        <w:t>建议提案工作</w:t>
      </w:r>
      <w:r>
        <w:rPr>
          <w:rFonts w:hint="eastAsia" w:ascii="仿宋_GB2312" w:hAnsi="宋体" w:eastAsia="仿宋_GB2312" w:cs="仿宋_GB2312"/>
          <w:i w:val="0"/>
          <w:iCs w:val="0"/>
          <w:caps w:val="0"/>
          <w:color w:val="000000"/>
          <w:spacing w:val="0"/>
          <w:sz w:val="32"/>
          <w:szCs w:val="32"/>
          <w:shd w:val="clear" w:fill="FFFFFF"/>
          <w:lang w:val="en-US" w:eastAsia="zh-CN"/>
        </w:rPr>
        <w:t>7</w:t>
      </w:r>
      <w:r>
        <w:rPr>
          <w:rFonts w:ascii="仿宋_GB2312" w:hAnsi="宋体" w:eastAsia="仿宋_GB2312" w:cs="仿宋_GB2312"/>
          <w:i w:val="0"/>
          <w:iCs w:val="0"/>
          <w:caps w:val="0"/>
          <w:color w:val="000000"/>
          <w:spacing w:val="0"/>
          <w:sz w:val="32"/>
          <w:szCs w:val="32"/>
          <w:shd w:val="clear" w:fill="FFFFFF"/>
        </w:rPr>
        <w:t>条，</w:t>
      </w:r>
      <w:r>
        <w:rPr>
          <w:rFonts w:hint="eastAsia" w:ascii="仿宋_GB2312" w:hAnsi="宋体" w:eastAsia="仿宋_GB2312" w:cs="仿宋_GB2312"/>
          <w:i w:val="0"/>
          <w:iCs w:val="0"/>
          <w:caps w:val="0"/>
          <w:color w:val="000000"/>
          <w:spacing w:val="0"/>
          <w:sz w:val="32"/>
          <w:szCs w:val="32"/>
          <w:shd w:val="clear" w:fill="FFFFFF"/>
          <w:lang w:val="en-US" w:eastAsia="zh-CN"/>
        </w:rPr>
        <w:t>政务公开培训2条，政务公开工作推进4条，</w:t>
      </w:r>
      <w:r>
        <w:rPr>
          <w:rFonts w:ascii="仿宋_GB2312" w:hAnsi="宋体" w:eastAsia="仿宋_GB2312" w:cs="仿宋_GB2312"/>
          <w:i w:val="0"/>
          <w:iCs w:val="0"/>
          <w:caps w:val="0"/>
          <w:color w:val="000000"/>
          <w:spacing w:val="0"/>
          <w:sz w:val="32"/>
          <w:szCs w:val="32"/>
          <w:shd w:val="clear" w:fill="FFFFFF"/>
        </w:rPr>
        <w:t>其他政府信息发布及修改</w:t>
      </w:r>
      <w:r>
        <w:rPr>
          <w:rFonts w:hint="eastAsia" w:ascii="仿宋_GB2312" w:hAnsi="宋体" w:eastAsia="仿宋_GB2312" w:cs="仿宋_GB2312"/>
          <w:i w:val="0"/>
          <w:iCs w:val="0"/>
          <w:caps w:val="0"/>
          <w:color w:val="000000"/>
          <w:spacing w:val="0"/>
          <w:sz w:val="32"/>
          <w:szCs w:val="32"/>
          <w:shd w:val="clear" w:fill="FFFFFF"/>
          <w:lang w:val="en-US" w:eastAsia="zh-CN"/>
        </w:rPr>
        <w:t>10</w:t>
      </w:r>
      <w:r>
        <w:rPr>
          <w:rFonts w:ascii="仿宋_GB2312" w:hAnsi="宋体" w:eastAsia="仿宋_GB2312" w:cs="仿宋_GB2312"/>
          <w:i w:val="0"/>
          <w:iCs w:val="0"/>
          <w:caps w:val="0"/>
          <w:color w:val="000000"/>
          <w:spacing w:val="0"/>
          <w:sz w:val="32"/>
          <w:szCs w:val="32"/>
          <w:shd w:val="clear" w:fill="FFFFFF"/>
        </w:rPr>
        <w:t>余条。</w:t>
      </w:r>
    </w:p>
    <w:p w14:paraId="02674BD7">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600" w:lineRule="exact"/>
        <w:ind w:leftChars="0" w:right="0" w:rightChars="0" w:firstLine="643" w:firstLineChars="200"/>
        <w:jc w:val="both"/>
        <w:textAlignment w:val="auto"/>
        <w:rPr>
          <w:rFonts w:hint="eastAsia" w:ascii="仿宋_GB2312" w:hAnsi="仿宋_GB2312" w:eastAsia="仿宋_GB2312" w:cs="仿宋_GB2312"/>
          <w:sz w:val="32"/>
          <w:szCs w:val="32"/>
        </w:rPr>
      </w:pPr>
      <w:r>
        <w:rPr>
          <w:rFonts w:hint="eastAsia" w:ascii="仿宋_GB2312" w:eastAsia="仿宋_GB2312" w:cs="仿宋_GB2312"/>
          <w:b/>
          <w:bCs/>
          <w:sz w:val="32"/>
          <w:szCs w:val="32"/>
          <w:lang w:val="en-US" w:eastAsia="zh-CN"/>
        </w:rPr>
        <w:t>1.</w:t>
      </w:r>
      <w:r>
        <w:rPr>
          <w:rFonts w:hint="eastAsia" w:ascii="仿宋_GB2312" w:eastAsia="仿宋_GB2312" w:cs="仿宋_GB2312"/>
          <w:b/>
          <w:bCs/>
          <w:sz w:val="32"/>
          <w:szCs w:val="32"/>
        </w:rPr>
        <w:t>及时公开机构概况。</w:t>
      </w:r>
      <w:r>
        <w:rPr>
          <w:rFonts w:hint="eastAsia" w:ascii="仿宋_GB2312" w:eastAsia="仿宋_GB2312" w:cs="仿宋_GB2312"/>
          <w:sz w:val="32"/>
          <w:szCs w:val="32"/>
        </w:rPr>
        <w:t>根据《中华人民共和国政府信息公开条例》第二十条第（二）款要求，及时更新机关职能、机构设置、办</w:t>
      </w:r>
      <w:r>
        <w:rPr>
          <w:rFonts w:hint="eastAsia" w:ascii="仿宋_GB2312" w:hAnsi="仿宋_GB2312" w:eastAsia="仿宋_GB2312" w:cs="仿宋_GB2312"/>
          <w:sz w:val="32"/>
          <w:szCs w:val="32"/>
        </w:rPr>
        <w:t>公地址、办公时间、联系方式等，并在</w:t>
      </w:r>
      <w:r>
        <w:rPr>
          <w:rFonts w:hint="eastAsia" w:ascii="仿宋_GB2312" w:eastAsia="仿宋_GB2312" w:cs="仿宋_GB2312"/>
          <w:sz w:val="32"/>
          <w:szCs w:val="32"/>
          <w:lang w:val="en-US" w:eastAsia="zh-CN"/>
        </w:rPr>
        <w:t>市人民政府官网信息公开页面</w:t>
      </w:r>
      <w:r>
        <w:rPr>
          <w:rFonts w:hint="eastAsia" w:ascii="仿宋_GB2312" w:hAnsi="仿宋_GB2312" w:eastAsia="仿宋_GB2312" w:cs="仿宋_GB2312"/>
          <w:sz w:val="32"/>
          <w:szCs w:val="32"/>
        </w:rPr>
        <w:t>和</w:t>
      </w:r>
      <w:r>
        <w:rPr>
          <w:rFonts w:hint="eastAsia" w:ascii="仿宋_GB2312" w:eastAsia="仿宋_GB2312" w:cs="仿宋_GB2312"/>
          <w:sz w:val="32"/>
          <w:szCs w:val="32"/>
          <w:lang w:val="en-US" w:eastAsia="zh-CN"/>
        </w:rPr>
        <w:t>市人民政府官网市发展和改革局栏目</w:t>
      </w:r>
      <w:r>
        <w:rPr>
          <w:rFonts w:hint="eastAsia" w:ascii="仿宋_GB2312" w:hAnsi="仿宋_GB2312" w:eastAsia="仿宋_GB2312" w:cs="仿宋_GB2312"/>
          <w:sz w:val="32"/>
          <w:szCs w:val="32"/>
        </w:rPr>
        <w:t>公布。</w:t>
      </w:r>
    </w:p>
    <w:p w14:paraId="3A8C11E0">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600" w:lineRule="exact"/>
        <w:ind w:right="0" w:rightChars="0"/>
        <w:textAlignment w:val="auto"/>
        <w:rPr>
          <w:rFonts w:hint="eastAsia" w:ascii="仿宋_GB2312" w:hAnsi="仿宋_GB2312" w:eastAsia="仿宋_GB2312" w:cs="仿宋_GB2312"/>
          <w:sz w:val="32"/>
          <w:szCs w:val="32"/>
        </w:rPr>
      </w:pPr>
      <w:r>
        <w:drawing>
          <wp:anchor distT="0" distB="0" distL="114300" distR="114300" simplePos="0" relativeHeight="251660288" behindDoc="1" locked="0" layoutInCell="1" allowOverlap="1">
            <wp:simplePos x="0" y="0"/>
            <wp:positionH relativeFrom="column">
              <wp:posOffset>-561340</wp:posOffset>
            </wp:positionH>
            <wp:positionV relativeFrom="paragraph">
              <wp:posOffset>124460</wp:posOffset>
            </wp:positionV>
            <wp:extent cx="6304280" cy="4124960"/>
            <wp:effectExtent l="0" t="0" r="1270" b="8890"/>
            <wp:wrapTight wrapText="bothSides">
              <wp:wrapPolygon>
                <wp:start x="0" y="0"/>
                <wp:lineTo x="0" y="21547"/>
                <wp:lineTo x="21539" y="21547"/>
                <wp:lineTo x="21539"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6304280" cy="4124960"/>
                    </a:xfrm>
                    <a:prstGeom prst="rect">
                      <a:avLst/>
                    </a:prstGeom>
                    <a:noFill/>
                    <a:ln>
                      <a:noFill/>
                    </a:ln>
                  </pic:spPr>
                </pic:pic>
              </a:graphicData>
            </a:graphic>
          </wp:anchor>
        </w:drawing>
      </w:r>
    </w:p>
    <w:p w14:paraId="1ADB6704">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600" w:lineRule="exact"/>
        <w:ind w:leftChars="0" w:right="0" w:rightChars="0"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2.及</w:t>
      </w:r>
      <w:r>
        <w:rPr>
          <w:rFonts w:hint="eastAsia" w:ascii="仿宋_GB2312" w:eastAsia="仿宋_GB2312" w:cs="仿宋_GB2312"/>
          <w:b/>
          <w:bCs/>
          <w:sz w:val="32"/>
          <w:szCs w:val="32"/>
          <w:lang w:val="en-US" w:eastAsia="zh-CN"/>
        </w:rPr>
        <w:t>时公开发展规划。</w:t>
      </w:r>
      <w:r>
        <w:rPr>
          <w:rFonts w:hint="eastAsia" w:ascii="仿宋_GB2312" w:eastAsia="仿宋_GB2312" w:cs="仿宋_GB2312"/>
          <w:sz w:val="32"/>
          <w:szCs w:val="32"/>
          <w:lang w:val="en-US" w:eastAsia="zh-CN"/>
        </w:rPr>
        <w:t>结合滕州市实际，及时公开发布《滕州市</w:t>
      </w:r>
      <w:r>
        <w:rPr>
          <w:rFonts w:hint="default" w:ascii="仿宋_GB2312" w:eastAsia="仿宋_GB2312" w:cs="仿宋_GB2312"/>
          <w:sz w:val="32"/>
          <w:szCs w:val="32"/>
          <w:lang w:val="en-US" w:eastAsia="zh-CN"/>
        </w:rPr>
        <w:t>202</w:t>
      </w:r>
      <w:r>
        <w:rPr>
          <w:rFonts w:hint="eastAsia" w:ascii="仿宋_GB2312" w:eastAsia="仿宋_GB2312" w:cs="仿宋_GB2312"/>
          <w:sz w:val="32"/>
          <w:szCs w:val="32"/>
          <w:lang w:val="en-US" w:eastAsia="zh-CN"/>
        </w:rPr>
        <w:t>5年国民经济和社会发展计划》等计划规划文件，更好引导全社</w:t>
      </w:r>
      <w:r>
        <w:rPr>
          <w:rFonts w:hint="eastAsia" w:ascii="仿宋_GB2312" w:hAnsi="仿宋_GB2312" w:eastAsia="仿宋_GB2312" w:cs="仿宋_GB2312"/>
          <w:sz w:val="32"/>
          <w:szCs w:val="32"/>
          <w:highlight w:val="none"/>
          <w:lang w:eastAsia="zh-CN"/>
        </w:rPr>
        <w:t>会关心支持规划实施工作</w:t>
      </w:r>
      <w:r>
        <w:rPr>
          <w:rFonts w:hint="eastAsia" w:ascii="仿宋_GB2312" w:hAnsi="仿宋_GB2312" w:eastAsia="仿宋_GB2312" w:cs="仿宋_GB2312"/>
          <w:sz w:val="32"/>
          <w:szCs w:val="32"/>
          <w:highlight w:val="none"/>
        </w:rPr>
        <w:t>。</w:t>
      </w:r>
    </w:p>
    <w:p w14:paraId="615D17CE">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600" w:lineRule="exact"/>
        <w:ind w:right="0" w:rightChars="0"/>
        <w:textAlignment w:val="auto"/>
        <w:rPr>
          <w:rFonts w:hint="eastAsia" w:ascii="仿宋_GB2312" w:hAnsi="仿宋_GB2312" w:eastAsia="仿宋_GB2312" w:cs="仿宋_GB2312"/>
          <w:sz w:val="32"/>
          <w:szCs w:val="32"/>
        </w:rPr>
      </w:pPr>
      <w:r>
        <w:drawing>
          <wp:anchor distT="0" distB="0" distL="114300" distR="114300" simplePos="0" relativeHeight="251661312" behindDoc="1" locked="0" layoutInCell="1" allowOverlap="1">
            <wp:simplePos x="0" y="0"/>
            <wp:positionH relativeFrom="column">
              <wp:posOffset>-389890</wp:posOffset>
            </wp:positionH>
            <wp:positionV relativeFrom="paragraph">
              <wp:posOffset>194945</wp:posOffset>
            </wp:positionV>
            <wp:extent cx="6362065" cy="5560060"/>
            <wp:effectExtent l="0" t="0" r="0" b="0"/>
            <wp:wrapTight wrapText="bothSides">
              <wp:wrapPolygon>
                <wp:start x="0" y="0"/>
                <wp:lineTo x="0" y="21536"/>
                <wp:lineTo x="21537" y="21536"/>
                <wp:lineTo x="21537" y="0"/>
                <wp:lineTo x="0" y="0"/>
              </wp:wrapPolygon>
            </wp:wrapTight>
            <wp:docPr id="2" name="图片 2" descr="946ba77a03006d5785f3d21d16b1fd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46ba77a03006d5785f3d21d16b1fd7b"/>
                    <pic:cNvPicPr>
                      <a:picLocks noChangeAspect="1"/>
                    </pic:cNvPicPr>
                  </pic:nvPicPr>
                  <pic:blipFill>
                    <a:blip r:embed="rId6"/>
                    <a:stretch>
                      <a:fillRect/>
                    </a:stretch>
                  </pic:blipFill>
                  <pic:spPr>
                    <a:xfrm>
                      <a:off x="0" y="0"/>
                      <a:ext cx="6362065" cy="5560060"/>
                    </a:xfrm>
                    <a:prstGeom prst="rect">
                      <a:avLst/>
                    </a:prstGeom>
                  </pic:spPr>
                </pic:pic>
              </a:graphicData>
            </a:graphic>
          </wp:anchor>
        </w:drawing>
      </w:r>
    </w:p>
    <w:p w14:paraId="2F22B79B">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600" w:lineRule="exact"/>
        <w:ind w:leftChars="0" w:right="0" w:righ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3.推进行政权力运行公开。</w:t>
      </w:r>
      <w:r>
        <w:rPr>
          <w:rFonts w:hint="eastAsia" w:ascii="仿宋_GB2312" w:hAnsi="仿宋_GB2312" w:eastAsia="仿宋_GB2312" w:cs="仿宋_GB2312"/>
          <w:color w:val="000000" w:themeColor="text1"/>
          <w:sz w:val="32"/>
          <w:szCs w:val="32"/>
          <w:shd w:val="clear" w:fill="FFFFFF"/>
          <w14:textFill>
            <w14:solidFill>
              <w14:schemeClr w14:val="tx1"/>
            </w14:solidFill>
          </w14:textFill>
        </w:rPr>
        <w:t>每季度</w:t>
      </w:r>
      <w:r>
        <w:rPr>
          <w:rFonts w:hint="eastAsia" w:ascii="仿宋_GB2312" w:hAnsi="仿宋_GB2312" w:eastAsia="仿宋_GB2312" w:cs="仿宋_GB2312"/>
          <w:color w:val="000000" w:themeColor="text1"/>
          <w:sz w:val="32"/>
          <w:szCs w:val="32"/>
          <w:shd w:val="clear" w:fill="FFFFFF"/>
          <w:lang w:val="en-US" w:eastAsia="zh-CN"/>
          <w14:textFill>
            <w14:solidFill>
              <w14:schemeClr w14:val="tx1"/>
            </w14:solidFill>
          </w14:textFill>
        </w:rPr>
        <w:t>按时</w:t>
      </w:r>
      <w:r>
        <w:rPr>
          <w:rFonts w:hint="eastAsia" w:ascii="仿宋_GB2312" w:hAnsi="仿宋_GB2312" w:eastAsia="仿宋_GB2312" w:cs="仿宋_GB2312"/>
          <w:color w:val="000000" w:themeColor="text1"/>
          <w:sz w:val="32"/>
          <w:szCs w:val="32"/>
          <w:shd w:val="clear" w:fill="FFFFFF"/>
          <w14:textFill>
            <w14:solidFill>
              <w14:schemeClr w14:val="tx1"/>
            </w14:solidFill>
          </w14:textFill>
        </w:rPr>
        <w:t>公开政府工作报告进展情况</w:t>
      </w:r>
      <w:r>
        <w:rPr>
          <w:rFonts w:hint="eastAsia" w:ascii="仿宋_GB2312" w:hAnsi="仿宋_GB2312" w:eastAsia="仿宋_GB2312" w:cs="仿宋_GB2312"/>
          <w:color w:val="000000" w:themeColor="text1"/>
          <w:sz w:val="32"/>
          <w:szCs w:val="32"/>
          <w:shd w:val="clear"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fill="FFFFFF"/>
          <w14:textFill>
            <w14:solidFill>
              <w14:schemeClr w14:val="tx1"/>
            </w14:solidFill>
          </w14:textFill>
        </w:rPr>
        <w:t>对政府工作报告中的重点项目进度、</w:t>
      </w:r>
      <w:r>
        <w:rPr>
          <w:rFonts w:hint="eastAsia" w:ascii="仿宋_GB2312" w:hAnsi="仿宋_GB2312" w:eastAsia="仿宋_GB2312" w:cs="仿宋_GB2312"/>
          <w:color w:val="000000" w:themeColor="text1"/>
          <w:sz w:val="32"/>
          <w:szCs w:val="32"/>
          <w:shd w:val="clear" w:fill="FFFFFF"/>
          <w:lang w:val="en-US" w:eastAsia="zh-CN"/>
          <w14:textFill>
            <w14:solidFill>
              <w14:schemeClr w14:val="tx1"/>
            </w14:solidFill>
          </w14:textFill>
        </w:rPr>
        <w:t>民生保障</w:t>
      </w:r>
      <w:r>
        <w:rPr>
          <w:rFonts w:hint="eastAsia" w:ascii="仿宋_GB2312" w:hAnsi="仿宋_GB2312" w:eastAsia="仿宋_GB2312" w:cs="仿宋_GB2312"/>
          <w:color w:val="000000" w:themeColor="text1"/>
          <w:sz w:val="32"/>
          <w:szCs w:val="32"/>
          <w:shd w:val="clear" w:fill="FFFFFF"/>
          <w14:textFill>
            <w14:solidFill>
              <w14:schemeClr w14:val="tx1"/>
            </w14:solidFill>
          </w14:textFill>
        </w:rPr>
        <w:t>、</w:t>
      </w:r>
      <w:r>
        <w:rPr>
          <w:rFonts w:hint="eastAsia" w:ascii="仿宋_GB2312" w:hAnsi="仿宋_GB2312" w:eastAsia="仿宋_GB2312" w:cs="仿宋_GB2312"/>
          <w:color w:val="000000" w:themeColor="text1"/>
          <w:sz w:val="32"/>
          <w:szCs w:val="32"/>
          <w:shd w:val="clear" w:fill="FFFFFF"/>
          <w:lang w:val="en-US" w:eastAsia="zh-CN"/>
          <w14:textFill>
            <w14:solidFill>
              <w14:schemeClr w14:val="tx1"/>
            </w14:solidFill>
          </w14:textFill>
        </w:rPr>
        <w:t>营商环境优化等</w:t>
      </w:r>
      <w:r>
        <w:rPr>
          <w:rFonts w:hint="eastAsia" w:ascii="仿宋_GB2312" w:hAnsi="仿宋_GB2312" w:eastAsia="仿宋_GB2312" w:cs="仿宋_GB2312"/>
          <w:color w:val="000000" w:themeColor="text1"/>
          <w:sz w:val="32"/>
          <w:szCs w:val="32"/>
          <w:shd w:val="clear" w:fill="FFFFFF"/>
          <w14:textFill>
            <w14:solidFill>
              <w14:schemeClr w14:val="tx1"/>
            </w14:solidFill>
          </w14:textFill>
        </w:rPr>
        <w:t>工作</w:t>
      </w:r>
      <w:r>
        <w:rPr>
          <w:rFonts w:hint="eastAsia" w:ascii="仿宋_GB2312" w:hAnsi="仿宋_GB2312" w:eastAsia="仿宋_GB2312" w:cs="仿宋_GB2312"/>
          <w:color w:val="000000" w:themeColor="text1"/>
          <w:sz w:val="32"/>
          <w:szCs w:val="32"/>
          <w:shd w:val="clear" w:fill="FFFFFF"/>
          <w:lang w:val="en-US" w:eastAsia="zh-CN"/>
          <w14:textFill>
            <w14:solidFill>
              <w14:schemeClr w14:val="tx1"/>
            </w14:solidFill>
          </w14:textFill>
        </w:rPr>
        <w:t>主动</w:t>
      </w:r>
      <w:r>
        <w:rPr>
          <w:rFonts w:hint="eastAsia" w:ascii="仿宋_GB2312" w:hAnsi="仿宋_GB2312" w:eastAsia="仿宋_GB2312" w:cs="仿宋_GB2312"/>
          <w:color w:val="000000" w:themeColor="text1"/>
          <w:sz w:val="32"/>
          <w:szCs w:val="32"/>
          <w:shd w:val="clear" w:fill="FFFFFF"/>
          <w14:textFill>
            <w14:solidFill>
              <w14:schemeClr w14:val="tx1"/>
            </w14:solidFill>
          </w14:textFill>
        </w:rPr>
        <w:t>在政府信息公开专栏</w:t>
      </w:r>
      <w:r>
        <w:rPr>
          <w:rFonts w:hint="eastAsia" w:ascii="仿宋_GB2312" w:hAnsi="仿宋_GB2312" w:eastAsia="仿宋_GB2312" w:cs="仿宋_GB2312"/>
          <w:color w:val="000000" w:themeColor="text1"/>
          <w:sz w:val="32"/>
          <w:szCs w:val="32"/>
          <w:shd w:val="clear" w:fill="FFFFFF"/>
          <w:lang w:val="en-US" w:eastAsia="zh-CN"/>
          <w14:textFill>
            <w14:solidFill>
              <w14:schemeClr w14:val="tx1"/>
            </w14:solidFill>
          </w14:textFill>
        </w:rPr>
        <w:t>发布</w:t>
      </w:r>
      <w:r>
        <w:rPr>
          <w:rFonts w:hint="eastAsia" w:ascii="仿宋_GB2312" w:hAnsi="仿宋_GB2312" w:eastAsia="仿宋_GB2312" w:cs="仿宋_GB2312"/>
          <w:color w:val="000000" w:themeColor="text1"/>
          <w:sz w:val="32"/>
          <w:szCs w:val="32"/>
          <w:shd w:val="clear" w:fill="FFFFFF"/>
          <w14:textFill>
            <w14:solidFill>
              <w14:schemeClr w14:val="tx1"/>
            </w14:solidFill>
          </w14:textFill>
        </w:rPr>
        <w:t>。及时公示行政执法结果信息</w:t>
      </w:r>
      <w:r>
        <w:rPr>
          <w:rFonts w:hint="eastAsia" w:ascii="仿宋_GB2312" w:hAnsi="仿宋_GB2312" w:eastAsia="仿宋_GB2312" w:cs="仿宋_GB2312"/>
          <w:color w:val="000000" w:themeColor="text1"/>
          <w:sz w:val="32"/>
          <w:szCs w:val="32"/>
          <w:shd w:val="clear"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fill="FFFFFF"/>
          <w:lang w:val="en-US" w:eastAsia="zh-CN"/>
          <w14:textFill>
            <w14:solidFill>
              <w14:schemeClr w14:val="tx1"/>
            </w14:solidFill>
          </w14:textFill>
        </w:rPr>
        <w:t>主动</w:t>
      </w:r>
      <w:r>
        <w:rPr>
          <w:rFonts w:hint="eastAsia" w:ascii="仿宋_GB2312" w:hAnsi="仿宋_GB2312" w:eastAsia="仿宋_GB2312" w:cs="仿宋_GB2312"/>
          <w:color w:val="000000" w:themeColor="text1"/>
          <w:sz w:val="32"/>
          <w:szCs w:val="32"/>
          <w:shd w:val="clear" w:fill="FFFFFF"/>
          <w14:textFill>
            <w14:solidFill>
              <w14:schemeClr w14:val="tx1"/>
            </w14:solidFill>
          </w14:textFill>
        </w:rPr>
        <w:t>公开行政执法服务指南、年报</w:t>
      </w:r>
      <w:r>
        <w:rPr>
          <w:rFonts w:hint="eastAsia" w:ascii="仿宋_GB2312" w:hAnsi="仿宋_GB2312" w:eastAsia="仿宋_GB2312" w:cs="仿宋_GB2312"/>
          <w:color w:val="000000" w:themeColor="text1"/>
          <w:sz w:val="32"/>
          <w:szCs w:val="32"/>
          <w:shd w:val="clear"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fill="FFFFFF"/>
          <w14:textFill>
            <w14:solidFill>
              <w14:schemeClr w14:val="tx1"/>
            </w14:solidFill>
          </w14:textFill>
        </w:rPr>
        <w:t>行政执法流程图</w:t>
      </w:r>
      <w:r>
        <w:rPr>
          <w:rFonts w:hint="eastAsia" w:ascii="仿宋_GB2312" w:hAnsi="仿宋_GB2312" w:eastAsia="仿宋_GB2312" w:cs="仿宋_GB2312"/>
          <w:color w:val="000000" w:themeColor="text1"/>
          <w:sz w:val="32"/>
          <w:szCs w:val="32"/>
          <w:shd w:val="clear" w:fill="FFFFFF"/>
          <w:lang w:val="en-US" w:eastAsia="zh-CN"/>
          <w14:textFill>
            <w14:solidFill>
              <w14:schemeClr w14:val="tx1"/>
            </w14:solidFill>
          </w14:textFill>
        </w:rPr>
        <w:t>等</w:t>
      </w:r>
      <w:r>
        <w:rPr>
          <w:rFonts w:hint="eastAsia" w:ascii="仿宋_GB2312" w:hAnsi="仿宋_GB2312" w:eastAsia="仿宋_GB2312" w:cs="仿宋_GB2312"/>
          <w:color w:val="000000" w:themeColor="text1"/>
          <w:sz w:val="32"/>
          <w:szCs w:val="32"/>
          <w:shd w:val="clear" w:fill="FFFFFF"/>
          <w14:textFill>
            <w14:solidFill>
              <w14:schemeClr w14:val="tx1"/>
            </w14:solidFill>
          </w14:textFill>
        </w:rPr>
        <w:t>行政执法信息。</w:t>
      </w:r>
    </w:p>
    <w:p w14:paraId="20E0CC7C">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600" w:lineRule="exact"/>
        <w:ind w:leftChars="20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drawing>
          <wp:anchor distT="0" distB="0" distL="114300" distR="114300" simplePos="0" relativeHeight="251662336" behindDoc="1" locked="0" layoutInCell="1" allowOverlap="1">
            <wp:simplePos x="0" y="0"/>
            <wp:positionH relativeFrom="column">
              <wp:posOffset>-705485</wp:posOffset>
            </wp:positionH>
            <wp:positionV relativeFrom="paragraph">
              <wp:posOffset>265430</wp:posOffset>
            </wp:positionV>
            <wp:extent cx="7023100" cy="3482340"/>
            <wp:effectExtent l="0" t="0" r="0" b="0"/>
            <wp:wrapTight wrapText="bothSides">
              <wp:wrapPolygon>
                <wp:start x="0" y="0"/>
                <wp:lineTo x="0" y="21505"/>
                <wp:lineTo x="21561" y="21505"/>
                <wp:lineTo x="21561" y="0"/>
                <wp:lineTo x="0" y="0"/>
              </wp:wrapPolygon>
            </wp:wrapTight>
            <wp:docPr id="3" name="图片 3" descr="013fbbbc86a49aae7f6637570ab81a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13fbbbc86a49aae7f6637570ab81a5c"/>
                    <pic:cNvPicPr>
                      <a:picLocks noChangeAspect="1"/>
                    </pic:cNvPicPr>
                  </pic:nvPicPr>
                  <pic:blipFill>
                    <a:blip r:embed="rId7"/>
                    <a:stretch>
                      <a:fillRect/>
                    </a:stretch>
                  </pic:blipFill>
                  <pic:spPr>
                    <a:xfrm>
                      <a:off x="0" y="0"/>
                      <a:ext cx="7023100" cy="3482340"/>
                    </a:xfrm>
                    <a:prstGeom prst="rect">
                      <a:avLst/>
                    </a:prstGeom>
                  </pic:spPr>
                </pic:pic>
              </a:graphicData>
            </a:graphic>
          </wp:anchor>
        </w:drawing>
      </w:r>
    </w:p>
    <w:p w14:paraId="3FF20DBB">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600" w:lineRule="exact"/>
        <w:ind w:leftChars="0" w:right="0" w:rightChars="0" w:firstLine="640" w:firstLineChars="200"/>
        <w:textAlignment w:val="auto"/>
        <w:rPr>
          <w:rFonts w:hint="eastAsia" w:ascii="楷体_GB2312" w:hAnsi="楷体_GB2312" w:eastAsia="楷体_GB2312" w:cs="楷体_GB2312"/>
          <w:sz w:val="32"/>
          <w:szCs w:val="32"/>
          <w:lang w:eastAsia="zh-CN"/>
        </w:rPr>
      </w:pPr>
      <w:r>
        <w:rPr>
          <w:rFonts w:hint="eastAsia" w:ascii="仿宋_GB2312" w:hAnsi="仿宋_GB2312" w:eastAsia="仿宋_GB2312" w:cs="仿宋_GB2312"/>
          <w:sz w:val="32"/>
          <w:szCs w:val="32"/>
          <w:lang w:eastAsia="zh-CN"/>
        </w:rPr>
        <w:drawing>
          <wp:anchor distT="0" distB="0" distL="114300" distR="114300" simplePos="0" relativeHeight="251663360" behindDoc="1" locked="0" layoutInCell="1" allowOverlap="1">
            <wp:simplePos x="0" y="0"/>
            <wp:positionH relativeFrom="column">
              <wp:posOffset>-751205</wp:posOffset>
            </wp:positionH>
            <wp:positionV relativeFrom="paragraph">
              <wp:posOffset>13970</wp:posOffset>
            </wp:positionV>
            <wp:extent cx="7041515" cy="1328420"/>
            <wp:effectExtent l="0" t="0" r="0" b="0"/>
            <wp:wrapTight wrapText="bothSides">
              <wp:wrapPolygon>
                <wp:start x="0" y="0"/>
                <wp:lineTo x="0" y="21373"/>
                <wp:lineTo x="21563" y="21373"/>
                <wp:lineTo x="21563" y="0"/>
                <wp:lineTo x="0" y="0"/>
              </wp:wrapPolygon>
            </wp:wrapTight>
            <wp:docPr id="4" name="图片 4" descr="63bcec2f1ddbadeeec9ec2685a779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3bcec2f1ddbadeeec9ec2685a779566"/>
                    <pic:cNvPicPr>
                      <a:picLocks noChangeAspect="1"/>
                    </pic:cNvPicPr>
                  </pic:nvPicPr>
                  <pic:blipFill>
                    <a:blip r:embed="rId8"/>
                    <a:stretch>
                      <a:fillRect/>
                    </a:stretch>
                  </pic:blipFill>
                  <pic:spPr>
                    <a:xfrm>
                      <a:off x="0" y="0"/>
                      <a:ext cx="7041515" cy="1328420"/>
                    </a:xfrm>
                    <a:prstGeom prst="rect">
                      <a:avLst/>
                    </a:prstGeom>
                  </pic:spPr>
                </pic:pic>
              </a:graphicData>
            </a:graphic>
          </wp:anchor>
        </w:drawing>
      </w:r>
      <w:r>
        <w:rPr>
          <w:rFonts w:hint="eastAsia" w:ascii="楷体_GB2312" w:hAnsi="楷体_GB2312" w:eastAsia="楷体_GB2312" w:cs="楷体_GB2312"/>
          <w:sz w:val="32"/>
          <w:szCs w:val="32"/>
          <w:lang w:val="en-US" w:eastAsia="zh-CN"/>
        </w:rPr>
        <w:t>（二）规范依申请公开</w:t>
      </w:r>
    </w:p>
    <w:p w14:paraId="1D7016E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3" w:firstLineChars="200"/>
        <w:jc w:val="both"/>
        <w:textAlignment w:val="auto"/>
        <w:rPr>
          <w:rFonts w:hint="eastAsia" w:ascii="仿宋_GB2312" w:hAnsi="仿宋_GB2312" w:eastAsia="仿宋_GB2312" w:cs="仿宋_GB2312"/>
          <w:color w:val="000000" w:themeColor="text1"/>
          <w:sz w:val="32"/>
          <w:szCs w:val="32"/>
          <w:highlight w:val="yellow"/>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依申请公开情况。</w:t>
      </w:r>
      <w:r>
        <w:rPr>
          <w:rFonts w:hint="default" w:ascii="仿宋_GB2312" w:hAnsi="仿宋_GB2312" w:eastAsia="仿宋_GB2312" w:cs="仿宋_GB2312"/>
          <w:color w:val="000000" w:themeColor="text1"/>
          <w:sz w:val="32"/>
          <w:szCs w:val="32"/>
          <w:highlight w:val="none"/>
          <w:lang w:eastAsia="zh-CN"/>
          <w14:textFill>
            <w14:solidFill>
              <w14:schemeClr w14:val="tx1"/>
            </w14:solidFill>
          </w14:textFill>
        </w:rPr>
        <w:t>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年，滕州市</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发展和改革</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局共收到</w:t>
      </w: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件政府信息公开申请，</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2024年结转1件，共办理14件，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均为自然人提交。受理数量与上年比有所下降。</w:t>
      </w:r>
    </w:p>
    <w:p w14:paraId="0E44F040">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600" w:lineRule="exact"/>
        <w:ind w:left="0" w:leftChars="0" w:right="0" w:rightChars="0" w:firstLine="643" w:firstLineChars="200"/>
        <w:textAlignment w:val="auto"/>
        <w:rPr>
          <w:rFonts w:hint="eastAsia" w:ascii="仿宋_GB2312" w:hAnsi="仿宋_GB2312" w:eastAsia="仿宋_GB2312" w:cs="仿宋_GB2312"/>
          <w:color w:val="000000" w:themeColor="text1"/>
          <w:sz w:val="32"/>
          <w:szCs w:val="32"/>
          <w:highlight w:val="yellow"/>
          <w:lang w:val="en-US" w:eastAsia="zh-CN"/>
          <w14:textFill>
            <w14:solidFill>
              <w14:schemeClr w14:val="tx1"/>
            </w14:solidFill>
          </w14:textFill>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处理情况。</w:t>
      </w:r>
      <w:r>
        <w:rPr>
          <w:rFonts w:hint="eastAsia" w:ascii="仿宋_GB2312" w:hAnsi="仿宋_GB2312" w:eastAsia="仿宋_GB2312" w:cs="仿宋_GB2312"/>
          <w:color w:val="000000" w:themeColor="text1"/>
          <w:sz w:val="32"/>
          <w:szCs w:val="32"/>
          <w:lang w:eastAsia="zh-CN"/>
          <w14:textFill>
            <w14:solidFill>
              <w14:schemeClr w14:val="tx1"/>
            </w14:solidFill>
          </w14:textFill>
        </w:rPr>
        <w:t>共答复政府信息公开申请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w:t>
      </w:r>
      <w:r>
        <w:rPr>
          <w:rFonts w:hint="eastAsia" w:ascii="仿宋_GB2312" w:hAnsi="仿宋_GB2312" w:eastAsia="仿宋_GB2312" w:cs="仿宋_GB2312"/>
          <w:color w:val="000000" w:themeColor="text1"/>
          <w:sz w:val="32"/>
          <w:szCs w:val="32"/>
          <w:lang w:eastAsia="zh-CN"/>
          <w14:textFill>
            <w14:solidFill>
              <w14:schemeClr w14:val="tx1"/>
            </w14:solidFill>
          </w14:textFill>
        </w:rPr>
        <w:t>件，按时办结</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w:t>
      </w:r>
      <w:r>
        <w:rPr>
          <w:rFonts w:hint="eastAsia" w:ascii="仿宋_GB2312" w:hAnsi="仿宋_GB2312" w:eastAsia="仿宋_GB2312" w:cs="仿宋_GB2312"/>
          <w:color w:val="000000" w:themeColor="text1"/>
          <w:sz w:val="32"/>
          <w:szCs w:val="32"/>
          <w:lang w:eastAsia="zh-CN"/>
          <w14:textFill>
            <w14:solidFill>
              <w14:schemeClr w14:val="tx1"/>
            </w14:solidFill>
          </w14:textFill>
        </w:rPr>
        <w:t>件，按时办结率</w:t>
      </w:r>
      <w:r>
        <w:rPr>
          <w:rFonts w:hint="default" w:ascii="仿宋_GB2312" w:hAnsi="仿宋_GB2312" w:eastAsia="仿宋_GB2312" w:cs="仿宋_GB2312"/>
          <w:color w:val="000000" w:themeColor="text1"/>
          <w:sz w:val="32"/>
          <w:szCs w:val="32"/>
          <w:lang w:eastAsia="zh-CN"/>
          <w14:textFill>
            <w14:solidFill>
              <w14:schemeClr w14:val="tx1"/>
            </w14:solidFill>
          </w14:textFill>
        </w:rPr>
        <w:t>100</w:t>
      </w:r>
      <w:r>
        <w:rPr>
          <w:rFonts w:hint="eastAsia" w:ascii="仿宋_GB2312" w:hAnsi="仿宋_GB2312" w:eastAsia="仿宋_GB2312" w:cs="仿宋_GB2312"/>
          <w:color w:val="000000" w:themeColor="text1"/>
          <w:sz w:val="32"/>
          <w:szCs w:val="32"/>
          <w:lang w:eastAsia="zh-CN"/>
          <w14:textFill>
            <w14:solidFill>
              <w14:schemeClr w14:val="tx1"/>
            </w14:solidFill>
          </w14:textFill>
        </w:rPr>
        <w:t>%。其中，予以公开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lang w:eastAsia="zh-CN"/>
          <w14:textFill>
            <w14:solidFill>
              <w14:schemeClr w14:val="tx1"/>
            </w14:solidFill>
          </w14:textFill>
        </w:rPr>
        <w:t>件，本机关不掌握相关政府信息的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lang w:eastAsia="zh-CN"/>
          <w14:textFill>
            <w14:solidFill>
              <w14:schemeClr w14:val="tx1"/>
            </w14:solidFill>
          </w14:textFill>
        </w:rPr>
        <w:t>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因信息公开引起的行政复议1件，结果维持1件。</w:t>
      </w:r>
    </w:p>
    <w:p w14:paraId="3A4CF6BC">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600" w:lineRule="exact"/>
        <w:ind w:left="0" w:leftChars="0" w:right="0" w:rightChars="0"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（三）政府信息管理</w:t>
      </w:r>
    </w:p>
    <w:p w14:paraId="358FC943">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60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eastAsia="仿宋_GB2312" w:cs="仿宋_GB2312"/>
          <w:sz w:val="32"/>
          <w:szCs w:val="32"/>
          <w:lang w:val="en-US" w:eastAsia="zh-CN"/>
        </w:rPr>
        <w:t>贯彻落实信息公开相关政策，强化政策解读实效，通过政府网站等渠道，加强对已出台政策的解读，准确传递权威信息和政策意图。严格落实信息发布“三审三校”制度，加大信息公开力度，及时公开年度预算决算、政务服务办理情况等信息，动态调整优化主动公开基本目录，细化公开内容，确保目录分类科学、指向清晰。</w:t>
      </w:r>
    </w:p>
    <w:p w14:paraId="3EA1DEE8">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600" w:lineRule="exact"/>
        <w:ind w:left="0" w:leftChars="0" w:right="0" w:rightChars="0"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（四）政府信息公开平台建设</w:t>
      </w:r>
    </w:p>
    <w:p w14:paraId="7767D7CE">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600" w:lineRule="exact"/>
        <w:ind w:left="0" w:leftChars="0" w:right="0" w:rightChars="0" w:firstLine="640" w:firstLineChars="200"/>
        <w:textAlignment w:val="auto"/>
        <w:rPr>
          <w:rFonts w:hint="default" w:ascii="仿宋_GB2312" w:eastAsia="仿宋_GB2312" w:cs="仿宋_GB2312"/>
          <w:sz w:val="32"/>
          <w:szCs w:val="32"/>
          <w:lang w:val="en-US" w:eastAsia="zh-CN"/>
        </w:rPr>
      </w:pPr>
      <w:r>
        <w:rPr>
          <w:rFonts w:hint="eastAsia" w:ascii="仿宋_GB2312" w:eastAsia="仿宋_GB2312" w:cs="仿宋_GB2312"/>
          <w:sz w:val="32"/>
          <w:szCs w:val="32"/>
          <w:lang w:val="en-US" w:eastAsia="zh-CN"/>
        </w:rPr>
        <w:t>提升门户网站主渠道功能，确保网站信息发布及时、内容准确、链接有效。重点加强政策文件发布与解读、重点领域信息公开等板块建设。积极与上级政务公开部门对接，及时更新网站专栏设置，确保高效信息公开。</w:t>
      </w:r>
    </w:p>
    <w:p w14:paraId="18667078">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600" w:lineRule="exact"/>
        <w:ind w:left="0" w:leftChars="0" w:right="0" w:rightChars="0"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（五）监督保障</w:t>
      </w:r>
    </w:p>
    <w:p w14:paraId="43AFC9B8">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left="0"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将政府信息公开工作纳入单位内部年度目标管理考核体系，定期对公开内容的完整性、及时性、准确性进行检查和通报。主动接受社会监督，公布监督投诉渠道，认真办理涉及政府信息公开的投诉建议。规范做好政府信息公开年度报告编制和发布工作。</w:t>
      </w:r>
    </w:p>
    <w:p w14:paraId="2110B1BA">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left="0" w:firstLine="640" w:firstLineChars="200"/>
        <w:textAlignment w:val="auto"/>
        <w:rPr>
          <w:rFonts w:hint="eastAsia" w:ascii="仿宋_GB2312" w:eastAsia="仿宋_GB2312" w:cs="仿宋_GB2312"/>
          <w:sz w:val="32"/>
          <w:szCs w:val="32"/>
          <w:lang w:val="en-US" w:eastAsia="zh-CN"/>
        </w:rPr>
      </w:pPr>
      <w:r>
        <w:rPr>
          <w:rFonts w:hint="default" w:ascii="仿宋_GB2312" w:hAnsi="仿宋_GB2312" w:eastAsia="仿宋_GB2312" w:cs="仿宋_GB2312"/>
          <w:color w:val="000000" w:themeColor="text1"/>
          <w:sz w:val="32"/>
          <w:szCs w:val="32"/>
          <w:lang w:eastAsia="zh-CN"/>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lang w:eastAsia="zh-CN"/>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滕州市发展和改革局</w:t>
      </w:r>
      <w:r>
        <w:rPr>
          <w:rFonts w:hint="eastAsia" w:ascii="仿宋_GB2312" w:hAnsi="仿宋_GB2312" w:eastAsia="仿宋_GB2312" w:cs="仿宋_GB2312"/>
          <w:color w:val="000000" w:themeColor="text1"/>
          <w:sz w:val="32"/>
          <w:szCs w:val="32"/>
          <w:lang w:eastAsia="zh-CN"/>
          <w14:textFill>
            <w14:solidFill>
              <w14:schemeClr w14:val="tx1"/>
            </w14:solidFill>
          </w14:textFill>
        </w:rPr>
        <w:t>未发生因政府信息公开审查不当或保密审查机构未履行保密审查职责而引起的失泄密情况。</w:t>
      </w:r>
      <w:r>
        <w:rPr>
          <w:rFonts w:hint="default" w:ascii="仿宋_GB2312" w:hAnsi="仿宋_GB2312" w:eastAsia="仿宋_GB2312" w:cs="仿宋_GB2312"/>
          <w:color w:val="000000" w:themeColor="text1"/>
          <w:sz w:val="32"/>
          <w:szCs w:val="32"/>
          <w:lang w:eastAsia="zh-CN"/>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lang w:eastAsia="zh-CN"/>
          <w14:textFill>
            <w14:solidFill>
              <w14:schemeClr w14:val="tx1"/>
            </w14:solidFill>
          </w14:textFill>
        </w:rPr>
        <w:t>年度未进行社会评议，未发生责任追究情况。</w:t>
      </w:r>
    </w:p>
    <w:p w14:paraId="23BD3E43">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600" w:lineRule="exact"/>
        <w:ind w:leftChars="0" w:right="0" w:rightChars="0" w:firstLine="640" w:firstLineChars="200"/>
        <w:textAlignment w:val="auto"/>
        <w:rPr>
          <w:rFonts w:hint="eastAsia" w:ascii="黑体" w:hAnsi="宋体" w:eastAsia="黑体" w:cs="黑体"/>
          <w:spacing w:val="0"/>
          <w:sz w:val="32"/>
          <w:szCs w:val="32"/>
          <w:shd w:val="clear" w:fill="FFFFFF"/>
        </w:rPr>
      </w:pPr>
      <w:r>
        <w:rPr>
          <w:rFonts w:hint="eastAsia" w:ascii="黑体" w:hAnsi="宋体" w:eastAsia="黑体" w:cs="黑体"/>
          <w:spacing w:val="0"/>
          <w:sz w:val="32"/>
          <w:szCs w:val="32"/>
          <w:shd w:val="clear" w:fill="FFFFFF"/>
          <w:lang w:val="en-US" w:eastAsia="zh-CN"/>
        </w:rPr>
        <w:t>二、</w:t>
      </w:r>
      <w:r>
        <w:rPr>
          <w:rFonts w:hint="eastAsia" w:ascii="黑体" w:hAnsi="宋体" w:eastAsia="黑体" w:cs="黑体"/>
          <w:spacing w:val="0"/>
          <w:sz w:val="32"/>
          <w:szCs w:val="32"/>
          <w:shd w:val="clear" w:fill="FFFFFF"/>
        </w:rPr>
        <w:t>主动公开政府信息情况</w:t>
      </w:r>
    </w:p>
    <w:tbl>
      <w:tblPr>
        <w:tblStyle w:val="6"/>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2115"/>
        <w:gridCol w:w="2130"/>
        <w:gridCol w:w="2130"/>
        <w:gridCol w:w="2145"/>
      </w:tblGrid>
      <w:tr w14:paraId="7DE48C1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510" w:hRule="atLeast"/>
          <w:jc w:val="center"/>
        </w:trPr>
        <w:tc>
          <w:tcPr>
            <w:tcW w:w="8520" w:type="dxa"/>
            <w:gridSpan w:val="4"/>
            <w:tcBorders>
              <w:top w:val="single" w:color="auto" w:sz="6" w:space="0"/>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14:paraId="4AD84A7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sz w:val="21"/>
                <w:szCs w:val="21"/>
              </w:rPr>
            </w:pPr>
            <w:r>
              <w:rPr>
                <w:rFonts w:hint="eastAsia" w:ascii="黑体" w:hAnsi="宋体" w:eastAsia="黑体" w:cs="黑体"/>
                <w:sz w:val="21"/>
                <w:szCs w:val="21"/>
              </w:rPr>
              <w:t>第二十条第（一）项</w:t>
            </w:r>
          </w:p>
        </w:tc>
      </w:tr>
      <w:tr w14:paraId="17224CD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885" w:hRule="atLeast"/>
          <w:jc w:val="center"/>
        </w:trPr>
        <w:tc>
          <w:tcPr>
            <w:tcW w:w="211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4B119B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sz w:val="21"/>
                <w:szCs w:val="21"/>
              </w:rPr>
            </w:pPr>
            <w:r>
              <w:rPr>
                <w:rFonts w:hint="eastAsia" w:ascii="仿宋_GB2312" w:eastAsia="仿宋_GB2312" w:cs="仿宋_GB2312"/>
                <w:sz w:val="21"/>
                <w:szCs w:val="21"/>
              </w:rPr>
              <w:t>信息内容</w:t>
            </w:r>
          </w:p>
        </w:tc>
        <w:tc>
          <w:tcPr>
            <w:tcW w:w="213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C718AF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本年制发件数</w:t>
            </w:r>
          </w:p>
        </w:tc>
        <w:tc>
          <w:tcPr>
            <w:tcW w:w="213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FEE5B4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本年废止件数</w:t>
            </w:r>
          </w:p>
        </w:tc>
        <w:tc>
          <w:tcPr>
            <w:tcW w:w="21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8CBFEB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现行有效件数</w:t>
            </w:r>
          </w:p>
        </w:tc>
      </w:tr>
      <w:tr w14:paraId="7822763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540" w:hRule="atLeast"/>
          <w:jc w:val="center"/>
        </w:trPr>
        <w:tc>
          <w:tcPr>
            <w:tcW w:w="211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96837D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sz w:val="21"/>
                <w:szCs w:val="21"/>
              </w:rPr>
            </w:pPr>
            <w:r>
              <w:rPr>
                <w:rFonts w:hint="eastAsia" w:ascii="仿宋_GB2312" w:eastAsia="仿宋_GB2312" w:cs="仿宋_GB2312"/>
                <w:sz w:val="21"/>
                <w:szCs w:val="21"/>
              </w:rPr>
              <w:t>规章</w:t>
            </w:r>
          </w:p>
        </w:tc>
        <w:tc>
          <w:tcPr>
            <w:tcW w:w="21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EFD36B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21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79BB40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sz w:val="21"/>
                <w:szCs w:val="21"/>
                <w:lang w:eastAsia="zh-CN"/>
              </w:rPr>
            </w:pPr>
            <w:r>
              <w:rPr>
                <w:rFonts w:hint="default" w:ascii="Times New Roman" w:hAnsi="Times New Roman" w:eastAsia="仿宋_GB2312" w:cs="Times New Roman"/>
                <w:sz w:val="21"/>
                <w:szCs w:val="21"/>
                <w:lang w:val="en-US" w:eastAsia="zh-CN"/>
              </w:rPr>
              <w:t>0</w:t>
            </w:r>
          </w:p>
        </w:tc>
        <w:tc>
          <w:tcPr>
            <w:tcW w:w="21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65B2C7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sz w:val="21"/>
                <w:szCs w:val="21"/>
                <w:lang w:eastAsia="zh-CN"/>
              </w:rPr>
            </w:pPr>
            <w:r>
              <w:rPr>
                <w:rFonts w:hint="default" w:ascii="Times New Roman" w:hAnsi="Times New Roman" w:eastAsia="仿宋_GB2312" w:cs="Times New Roman"/>
                <w:sz w:val="21"/>
                <w:szCs w:val="21"/>
                <w:lang w:val="en-US" w:eastAsia="zh-CN"/>
              </w:rPr>
              <w:t>0</w:t>
            </w:r>
          </w:p>
        </w:tc>
      </w:tr>
      <w:tr w14:paraId="1E7CCB5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80" w:hRule="atLeast"/>
          <w:jc w:val="center"/>
        </w:trPr>
        <w:tc>
          <w:tcPr>
            <w:tcW w:w="211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56B155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sz w:val="21"/>
                <w:szCs w:val="21"/>
              </w:rPr>
            </w:pPr>
            <w:r>
              <w:rPr>
                <w:rFonts w:hint="eastAsia" w:ascii="仿宋_GB2312" w:eastAsia="仿宋_GB2312" w:cs="仿宋_GB2312"/>
                <w:sz w:val="21"/>
                <w:szCs w:val="21"/>
              </w:rPr>
              <w:t>行政规范性文件</w:t>
            </w:r>
          </w:p>
        </w:tc>
        <w:tc>
          <w:tcPr>
            <w:tcW w:w="21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1B0F7B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sz w:val="21"/>
                <w:szCs w:val="21"/>
                <w:lang w:eastAsia="zh-CN"/>
              </w:rPr>
            </w:pPr>
            <w:r>
              <w:rPr>
                <w:rFonts w:hint="default" w:ascii="Times New Roman" w:hAnsi="Times New Roman" w:eastAsia="仿宋_GB2312" w:cs="Times New Roman"/>
                <w:sz w:val="21"/>
                <w:szCs w:val="21"/>
                <w:lang w:val="en-US" w:eastAsia="zh-CN"/>
              </w:rPr>
              <w:t>0</w:t>
            </w:r>
          </w:p>
        </w:tc>
        <w:tc>
          <w:tcPr>
            <w:tcW w:w="21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A76BD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sz w:val="21"/>
                <w:szCs w:val="21"/>
                <w:lang w:eastAsia="zh-CN"/>
              </w:rPr>
            </w:pPr>
            <w:r>
              <w:rPr>
                <w:rFonts w:hint="default" w:ascii="Times New Roman" w:hAnsi="Times New Roman" w:eastAsia="仿宋_GB2312" w:cs="Times New Roman"/>
                <w:sz w:val="21"/>
                <w:szCs w:val="21"/>
                <w:lang w:val="en-US" w:eastAsia="zh-CN"/>
              </w:rPr>
              <w:t>0</w:t>
            </w:r>
          </w:p>
        </w:tc>
        <w:tc>
          <w:tcPr>
            <w:tcW w:w="21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FAF7A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sz w:val="21"/>
                <w:szCs w:val="21"/>
                <w:lang w:eastAsia="zh-CN"/>
              </w:rPr>
            </w:pPr>
            <w:r>
              <w:rPr>
                <w:rFonts w:hint="default" w:ascii="Times New Roman" w:hAnsi="Times New Roman" w:eastAsia="仿宋_GB2312" w:cs="Times New Roman"/>
                <w:sz w:val="21"/>
                <w:szCs w:val="21"/>
                <w:lang w:val="en-US" w:eastAsia="zh-CN"/>
              </w:rPr>
              <w:t>0</w:t>
            </w:r>
          </w:p>
        </w:tc>
      </w:tr>
      <w:tr w14:paraId="6B8CF56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95" w:hRule="atLeast"/>
          <w:jc w:val="center"/>
        </w:trPr>
        <w:tc>
          <w:tcPr>
            <w:tcW w:w="8520"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14:paraId="585E5D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sz w:val="21"/>
                <w:szCs w:val="21"/>
              </w:rPr>
            </w:pPr>
            <w:r>
              <w:rPr>
                <w:rFonts w:hint="eastAsia" w:ascii="黑体" w:hAnsi="宋体" w:eastAsia="黑体" w:cs="黑体"/>
                <w:sz w:val="21"/>
                <w:szCs w:val="21"/>
              </w:rPr>
              <w:t>第二十条第（五）项</w:t>
            </w:r>
          </w:p>
        </w:tc>
      </w:tr>
      <w:tr w14:paraId="0954EEA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645" w:hRule="atLeast"/>
          <w:jc w:val="center"/>
        </w:trPr>
        <w:tc>
          <w:tcPr>
            <w:tcW w:w="211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F79ED4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sz w:val="21"/>
                <w:szCs w:val="21"/>
              </w:rPr>
            </w:pPr>
            <w:r>
              <w:rPr>
                <w:rFonts w:hint="eastAsia" w:ascii="仿宋_GB2312" w:eastAsia="仿宋_GB2312" w:cs="仿宋_GB2312"/>
                <w:sz w:val="21"/>
                <w:szCs w:val="21"/>
              </w:rPr>
              <w:t>信息内容</w:t>
            </w:r>
          </w:p>
        </w:tc>
        <w:tc>
          <w:tcPr>
            <w:tcW w:w="6390" w:type="dxa"/>
            <w:gridSpan w:val="3"/>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9B60A8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sz w:val="21"/>
                <w:szCs w:val="21"/>
              </w:rPr>
            </w:pPr>
            <w:r>
              <w:rPr>
                <w:rFonts w:hint="eastAsia" w:ascii="仿宋_GB2312" w:eastAsia="仿宋_GB2312" w:cs="仿宋_GB2312"/>
                <w:sz w:val="21"/>
                <w:szCs w:val="21"/>
              </w:rPr>
              <w:t>本年处理决定数量</w:t>
            </w:r>
          </w:p>
        </w:tc>
      </w:tr>
      <w:tr w14:paraId="371C6E2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540" w:hRule="atLeast"/>
          <w:jc w:val="center"/>
        </w:trPr>
        <w:tc>
          <w:tcPr>
            <w:tcW w:w="211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F37EA1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sz w:val="21"/>
                <w:szCs w:val="21"/>
              </w:rPr>
            </w:pPr>
            <w:r>
              <w:rPr>
                <w:rFonts w:hint="eastAsia" w:ascii="仿宋_GB2312" w:eastAsia="仿宋_GB2312" w:cs="仿宋_GB2312"/>
                <w:sz w:val="21"/>
                <w:szCs w:val="21"/>
              </w:rPr>
              <w:t>行政许可</w:t>
            </w:r>
          </w:p>
        </w:tc>
        <w:tc>
          <w:tcPr>
            <w:tcW w:w="6390"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8E6CA0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jc w:val="center"/>
              <w:textAlignment w:val="auto"/>
              <w:rPr>
                <w:rFonts w:hint="eastAsia" w:eastAsiaTheme="minorEastAsia"/>
                <w:sz w:val="21"/>
                <w:szCs w:val="21"/>
                <w:lang w:eastAsia="zh-CN"/>
              </w:rPr>
            </w:pPr>
            <w:r>
              <w:rPr>
                <w:rFonts w:hint="default" w:ascii="Times New Roman" w:hAnsi="Times New Roman" w:eastAsia="仿宋_GB2312" w:cs="Times New Roman"/>
                <w:sz w:val="21"/>
                <w:szCs w:val="21"/>
                <w:lang w:val="en-US" w:eastAsia="zh-CN"/>
              </w:rPr>
              <w:t>0</w:t>
            </w:r>
          </w:p>
        </w:tc>
      </w:tr>
      <w:tr w14:paraId="3560FDF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555" w:hRule="atLeast"/>
          <w:jc w:val="center"/>
        </w:trPr>
        <w:tc>
          <w:tcPr>
            <w:tcW w:w="8520" w:type="dxa"/>
            <w:gridSpan w:val="4"/>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0E6C18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sz w:val="21"/>
                <w:szCs w:val="21"/>
              </w:rPr>
            </w:pPr>
            <w:r>
              <w:rPr>
                <w:rFonts w:hint="eastAsia" w:ascii="黑体" w:hAnsi="宋体" w:eastAsia="黑体" w:cs="黑体"/>
                <w:sz w:val="21"/>
                <w:szCs w:val="21"/>
              </w:rPr>
              <w:t>第二十条第（六）项</w:t>
            </w:r>
          </w:p>
        </w:tc>
      </w:tr>
      <w:tr w14:paraId="1EF9F5D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20" w:hRule="atLeast"/>
          <w:jc w:val="center"/>
        </w:trPr>
        <w:tc>
          <w:tcPr>
            <w:tcW w:w="2115" w:type="dxa"/>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14:paraId="08E3518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sz w:val="21"/>
                <w:szCs w:val="21"/>
              </w:rPr>
            </w:pPr>
            <w:r>
              <w:rPr>
                <w:rFonts w:hint="eastAsia" w:ascii="仿宋_GB2312" w:eastAsia="仿宋_GB2312" w:cs="仿宋_GB2312"/>
                <w:sz w:val="21"/>
                <w:szCs w:val="21"/>
              </w:rPr>
              <w:t>信息内容</w:t>
            </w:r>
          </w:p>
        </w:tc>
        <w:tc>
          <w:tcPr>
            <w:tcW w:w="6390" w:type="dxa"/>
            <w:gridSpan w:val="3"/>
            <w:tcBorders>
              <w:top w:val="nil"/>
              <w:left w:val="nil"/>
              <w:bottom w:val="single" w:color="auto" w:sz="6" w:space="0"/>
              <w:right w:val="single" w:color="auto" w:sz="6" w:space="0"/>
            </w:tcBorders>
            <w:shd w:val="clear" w:color="auto" w:fill="C6D9F1"/>
            <w:tcMar>
              <w:top w:w="0" w:type="dxa"/>
              <w:left w:w="105" w:type="dxa"/>
              <w:bottom w:w="0" w:type="dxa"/>
              <w:right w:w="105" w:type="dxa"/>
            </w:tcMar>
            <w:vAlign w:val="center"/>
          </w:tcPr>
          <w:p w14:paraId="7005393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sz w:val="21"/>
                <w:szCs w:val="21"/>
              </w:rPr>
            </w:pPr>
            <w:r>
              <w:rPr>
                <w:rFonts w:hint="eastAsia" w:ascii="仿宋_GB2312" w:eastAsia="仿宋_GB2312" w:cs="仿宋_GB2312"/>
                <w:sz w:val="21"/>
                <w:szCs w:val="21"/>
              </w:rPr>
              <w:t>本年处理决定数量</w:t>
            </w:r>
          </w:p>
        </w:tc>
      </w:tr>
      <w:tr w14:paraId="52752FA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645" w:hRule="atLeast"/>
          <w:jc w:val="center"/>
        </w:trPr>
        <w:tc>
          <w:tcPr>
            <w:tcW w:w="211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0C45F8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sz w:val="21"/>
                <w:szCs w:val="21"/>
              </w:rPr>
            </w:pPr>
            <w:r>
              <w:rPr>
                <w:rFonts w:hint="eastAsia" w:ascii="仿宋_GB2312" w:eastAsia="仿宋_GB2312" w:cs="仿宋_GB2312"/>
                <w:sz w:val="21"/>
                <w:szCs w:val="21"/>
              </w:rPr>
              <w:t>行政处罚</w:t>
            </w:r>
          </w:p>
        </w:tc>
        <w:tc>
          <w:tcPr>
            <w:tcW w:w="6390"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EB3067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eastAsiaTheme="minorEastAsia"/>
                <w:sz w:val="21"/>
                <w:szCs w:val="21"/>
                <w:lang w:val="en-US" w:eastAsia="zh-CN"/>
              </w:rPr>
            </w:pPr>
            <w:r>
              <w:rPr>
                <w:rFonts w:hint="eastAsia" w:ascii="Times New Roman" w:hAnsi="Times New Roman" w:eastAsia="仿宋_GB2312" w:cs="Times New Roman"/>
                <w:sz w:val="21"/>
                <w:szCs w:val="21"/>
                <w:lang w:val="en-US" w:eastAsia="zh-CN"/>
              </w:rPr>
              <w:t>9</w:t>
            </w:r>
          </w:p>
        </w:tc>
      </w:tr>
      <w:tr w14:paraId="7263261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35" w:hRule="atLeast"/>
          <w:jc w:val="center"/>
        </w:trPr>
        <w:tc>
          <w:tcPr>
            <w:tcW w:w="211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8F00AD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sz w:val="21"/>
                <w:szCs w:val="21"/>
              </w:rPr>
            </w:pPr>
            <w:r>
              <w:rPr>
                <w:rFonts w:hint="eastAsia" w:ascii="仿宋_GB2312" w:eastAsia="仿宋_GB2312" w:cs="仿宋_GB2312"/>
                <w:sz w:val="21"/>
                <w:szCs w:val="21"/>
              </w:rPr>
              <w:t>行政强制</w:t>
            </w:r>
          </w:p>
        </w:tc>
        <w:tc>
          <w:tcPr>
            <w:tcW w:w="6390"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69C38F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sz w:val="21"/>
                <w:szCs w:val="21"/>
              </w:rPr>
            </w:pPr>
            <w:r>
              <w:rPr>
                <w:rFonts w:hint="default" w:ascii="Times New Roman" w:hAnsi="Times New Roman" w:eastAsia="仿宋_GB2312" w:cs="Times New Roman"/>
                <w:sz w:val="21"/>
                <w:szCs w:val="21"/>
              </w:rPr>
              <w:t>0</w:t>
            </w:r>
          </w:p>
        </w:tc>
      </w:tr>
      <w:tr w14:paraId="5C1598A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20" w:hRule="atLeast"/>
          <w:jc w:val="center"/>
        </w:trPr>
        <w:tc>
          <w:tcPr>
            <w:tcW w:w="8520" w:type="dxa"/>
            <w:gridSpan w:val="4"/>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8C0388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sz w:val="21"/>
                <w:szCs w:val="21"/>
              </w:rPr>
            </w:pPr>
            <w:r>
              <w:rPr>
                <w:rFonts w:hint="eastAsia" w:ascii="黑体" w:hAnsi="宋体" w:eastAsia="黑体" w:cs="黑体"/>
                <w:sz w:val="21"/>
                <w:szCs w:val="21"/>
              </w:rPr>
              <w:t>第二十条第（八）项</w:t>
            </w:r>
          </w:p>
        </w:tc>
      </w:tr>
      <w:tr w14:paraId="3CA8308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80" w:hRule="atLeast"/>
          <w:jc w:val="center"/>
        </w:trPr>
        <w:tc>
          <w:tcPr>
            <w:tcW w:w="2115" w:type="dxa"/>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14:paraId="0A66CFA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sz w:val="21"/>
                <w:szCs w:val="21"/>
              </w:rPr>
            </w:pPr>
            <w:r>
              <w:rPr>
                <w:rFonts w:hint="eastAsia" w:ascii="仿宋_GB2312" w:eastAsia="仿宋_GB2312" w:cs="仿宋_GB2312"/>
                <w:sz w:val="21"/>
                <w:szCs w:val="21"/>
              </w:rPr>
              <w:t>信息内容</w:t>
            </w:r>
          </w:p>
        </w:tc>
        <w:tc>
          <w:tcPr>
            <w:tcW w:w="6390" w:type="dxa"/>
            <w:gridSpan w:val="3"/>
            <w:tcBorders>
              <w:top w:val="nil"/>
              <w:left w:val="nil"/>
              <w:bottom w:val="single" w:color="auto" w:sz="6" w:space="0"/>
              <w:right w:val="single" w:color="auto" w:sz="6" w:space="0"/>
            </w:tcBorders>
            <w:shd w:val="clear" w:color="auto" w:fill="C6D9F1"/>
            <w:tcMar>
              <w:top w:w="0" w:type="dxa"/>
              <w:left w:w="105" w:type="dxa"/>
              <w:bottom w:w="0" w:type="dxa"/>
              <w:right w:w="105" w:type="dxa"/>
            </w:tcMar>
            <w:vAlign w:val="center"/>
          </w:tcPr>
          <w:p w14:paraId="01FDF5F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sz w:val="21"/>
                <w:szCs w:val="21"/>
              </w:rPr>
            </w:pPr>
            <w:r>
              <w:rPr>
                <w:rFonts w:hint="eastAsia" w:ascii="仿宋_GB2312" w:eastAsia="仿宋_GB2312" w:cs="仿宋_GB2312"/>
                <w:sz w:val="21"/>
                <w:szCs w:val="21"/>
              </w:rPr>
              <w:t>本年收费金额（单位：万元）</w:t>
            </w:r>
          </w:p>
        </w:tc>
      </w:tr>
      <w:tr w14:paraId="0870585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30" w:hRule="atLeast"/>
          <w:jc w:val="center"/>
        </w:trPr>
        <w:tc>
          <w:tcPr>
            <w:tcW w:w="211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690AB6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sz w:val="21"/>
                <w:szCs w:val="21"/>
              </w:rPr>
            </w:pPr>
            <w:r>
              <w:rPr>
                <w:rFonts w:hint="eastAsia" w:ascii="仿宋_GB2312" w:eastAsia="仿宋_GB2312" w:cs="仿宋_GB2312"/>
                <w:sz w:val="21"/>
                <w:szCs w:val="21"/>
              </w:rPr>
              <w:t>行政事业性收费</w:t>
            </w:r>
          </w:p>
        </w:tc>
        <w:tc>
          <w:tcPr>
            <w:tcW w:w="6390"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D685EC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sz w:val="21"/>
                <w:szCs w:val="21"/>
              </w:rPr>
            </w:pPr>
            <w:r>
              <w:rPr>
                <w:rFonts w:hint="default" w:ascii="Times New Roman" w:hAnsi="Times New Roman" w:eastAsia="仿宋_GB2312" w:cs="Times New Roman"/>
                <w:sz w:val="21"/>
                <w:szCs w:val="21"/>
              </w:rPr>
              <w:t>0</w:t>
            </w:r>
          </w:p>
        </w:tc>
      </w:tr>
    </w:tbl>
    <w:p w14:paraId="42AC23CA">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600" w:lineRule="exact"/>
        <w:ind w:leftChars="0" w:right="0" w:rightChars="0" w:firstLine="640" w:firstLineChars="200"/>
        <w:textAlignment w:val="auto"/>
        <w:rPr>
          <w:rFonts w:hint="eastAsia" w:ascii="黑体" w:hAnsi="宋体" w:eastAsia="黑体" w:cs="黑体"/>
          <w:spacing w:val="0"/>
          <w:sz w:val="32"/>
          <w:szCs w:val="32"/>
          <w:shd w:val="clear" w:fill="FFFFFF"/>
        </w:rPr>
      </w:pPr>
      <w:r>
        <w:rPr>
          <w:rFonts w:hint="eastAsia" w:ascii="黑体" w:hAnsi="宋体" w:eastAsia="黑体" w:cs="黑体"/>
          <w:spacing w:val="0"/>
          <w:sz w:val="32"/>
          <w:szCs w:val="32"/>
          <w:shd w:val="clear" w:fill="FFFFFF"/>
          <w:lang w:val="en-US" w:eastAsia="zh-CN"/>
        </w:rPr>
        <w:t>三、</w:t>
      </w:r>
      <w:r>
        <w:rPr>
          <w:rFonts w:hint="eastAsia" w:ascii="黑体" w:hAnsi="宋体" w:eastAsia="黑体" w:cs="黑体"/>
          <w:spacing w:val="0"/>
          <w:sz w:val="32"/>
          <w:szCs w:val="32"/>
          <w:shd w:val="clear" w:fill="FFFFFF"/>
        </w:rPr>
        <w:t>收到和处理政府信息公开申请情况</w:t>
      </w:r>
    </w:p>
    <w:tbl>
      <w:tblPr>
        <w:tblStyle w:val="6"/>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5992B5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14:paraId="25E029FF">
            <w:pPr>
              <w:widowControl/>
              <w:jc w:val="center"/>
              <w:rPr>
                <w:rFonts w:ascii="楷体_GB2312" w:hAnsi="黑体" w:eastAsia="楷体_GB2312"/>
                <w:color w:val="auto"/>
                <w:kern w:val="0"/>
                <w:szCs w:val="21"/>
              </w:rPr>
            </w:pPr>
            <w:r>
              <w:rPr>
                <w:rFonts w:hint="eastAsia" w:ascii="楷体_GB2312" w:hAnsi="黑体" w:eastAsia="楷体_GB2312"/>
                <w:color w:val="auto"/>
                <w:kern w:val="0"/>
                <w:szCs w:val="21"/>
              </w:rPr>
              <w:t>（本列数据的勾稽关系为：第一项加第二项之和，</w:t>
            </w:r>
          </w:p>
          <w:p w14:paraId="1007D9F2">
            <w:pPr>
              <w:widowControl/>
              <w:jc w:val="center"/>
              <w:rPr>
                <w:rFonts w:ascii="仿宋_GB2312" w:hAnsi="Times New Roman" w:eastAsia="仿宋_GB2312"/>
                <w:color w:val="auto"/>
                <w:szCs w:val="21"/>
              </w:rPr>
            </w:pPr>
            <w:r>
              <w:rPr>
                <w:rFonts w:hint="eastAsia" w:ascii="楷体_GB2312" w:hAnsi="黑体" w:eastAsia="楷体_GB2312"/>
                <w:color w:val="auto"/>
                <w:kern w:val="0"/>
                <w:szCs w:val="21"/>
              </w:rPr>
              <w:t>等于第三项加第四项之和）</w:t>
            </w:r>
          </w:p>
        </w:tc>
        <w:tc>
          <w:tcPr>
            <w:tcW w:w="4820" w:type="dxa"/>
            <w:gridSpan w:val="7"/>
            <w:noWrap w:val="0"/>
            <w:tcMar>
              <w:left w:w="108" w:type="dxa"/>
              <w:right w:w="108" w:type="dxa"/>
            </w:tcMar>
            <w:vAlign w:val="center"/>
          </w:tcPr>
          <w:p w14:paraId="6942F25C">
            <w:pPr>
              <w:widowControl/>
              <w:spacing w:line="320" w:lineRule="exact"/>
              <w:jc w:val="center"/>
              <w:rPr>
                <w:rFonts w:ascii="黑体" w:hAnsi="黑体" w:eastAsia="黑体"/>
                <w:color w:val="auto"/>
                <w:szCs w:val="21"/>
              </w:rPr>
            </w:pPr>
            <w:r>
              <w:rPr>
                <w:rFonts w:hint="eastAsia" w:ascii="黑体" w:hAnsi="黑体" w:eastAsia="黑体"/>
                <w:color w:val="auto"/>
                <w:kern w:val="0"/>
                <w:szCs w:val="21"/>
              </w:rPr>
              <w:t>申请人情况</w:t>
            </w:r>
          </w:p>
        </w:tc>
      </w:tr>
      <w:tr w14:paraId="054AD2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14:paraId="4665B029">
            <w:pPr>
              <w:jc w:val="center"/>
              <w:rPr>
                <w:rFonts w:ascii="仿宋_GB2312" w:hAnsi="Times New Roman" w:eastAsia="仿宋_GB2312"/>
                <w:color w:val="auto"/>
                <w:szCs w:val="21"/>
              </w:rPr>
            </w:pPr>
          </w:p>
        </w:tc>
        <w:tc>
          <w:tcPr>
            <w:tcW w:w="829" w:type="dxa"/>
            <w:vMerge w:val="restart"/>
            <w:noWrap w:val="0"/>
            <w:tcMar>
              <w:left w:w="108" w:type="dxa"/>
              <w:right w:w="108" w:type="dxa"/>
            </w:tcMar>
            <w:vAlign w:val="center"/>
          </w:tcPr>
          <w:p w14:paraId="0C5EE628">
            <w:pPr>
              <w:widowControl/>
              <w:jc w:val="center"/>
              <w:rPr>
                <w:rFonts w:ascii="黑体" w:hAnsi="黑体" w:eastAsia="黑体"/>
                <w:color w:val="auto"/>
                <w:szCs w:val="21"/>
              </w:rPr>
            </w:pPr>
            <w:r>
              <w:rPr>
                <w:rFonts w:hint="eastAsia" w:ascii="黑体" w:hAnsi="黑体" w:eastAsia="黑体"/>
                <w:color w:val="auto"/>
                <w:kern w:val="0"/>
                <w:szCs w:val="21"/>
              </w:rPr>
              <w:t>自然人</w:t>
            </w:r>
          </w:p>
        </w:tc>
        <w:tc>
          <w:tcPr>
            <w:tcW w:w="3140" w:type="dxa"/>
            <w:gridSpan w:val="5"/>
            <w:noWrap w:val="0"/>
            <w:tcMar>
              <w:left w:w="108" w:type="dxa"/>
              <w:right w:w="108" w:type="dxa"/>
            </w:tcMar>
            <w:vAlign w:val="center"/>
          </w:tcPr>
          <w:p w14:paraId="3A0ED6A9">
            <w:pPr>
              <w:widowControl/>
              <w:spacing w:line="320" w:lineRule="exact"/>
              <w:jc w:val="center"/>
              <w:rPr>
                <w:rFonts w:ascii="黑体" w:hAnsi="黑体" w:eastAsia="黑体"/>
                <w:color w:val="auto"/>
                <w:szCs w:val="21"/>
              </w:rPr>
            </w:pPr>
            <w:r>
              <w:rPr>
                <w:rFonts w:hint="eastAsia" w:ascii="黑体" w:hAnsi="黑体" w:eastAsia="黑体"/>
                <w:color w:val="auto"/>
                <w:kern w:val="0"/>
                <w:szCs w:val="21"/>
              </w:rPr>
              <w:t>法人或其他组织</w:t>
            </w:r>
          </w:p>
        </w:tc>
        <w:tc>
          <w:tcPr>
            <w:tcW w:w="851" w:type="dxa"/>
            <w:vMerge w:val="restart"/>
            <w:noWrap w:val="0"/>
            <w:tcMar>
              <w:left w:w="108" w:type="dxa"/>
              <w:right w:w="108" w:type="dxa"/>
            </w:tcMar>
            <w:vAlign w:val="center"/>
          </w:tcPr>
          <w:p w14:paraId="4B8178E3">
            <w:pPr>
              <w:widowControl/>
              <w:jc w:val="center"/>
              <w:rPr>
                <w:rFonts w:ascii="黑体" w:hAnsi="黑体" w:eastAsia="黑体"/>
                <w:color w:val="auto"/>
                <w:szCs w:val="21"/>
              </w:rPr>
            </w:pPr>
            <w:r>
              <w:rPr>
                <w:rFonts w:hint="eastAsia" w:ascii="黑体" w:hAnsi="黑体" w:eastAsia="黑体"/>
                <w:color w:val="auto"/>
                <w:kern w:val="0"/>
                <w:szCs w:val="21"/>
              </w:rPr>
              <w:t>总计</w:t>
            </w:r>
          </w:p>
        </w:tc>
      </w:tr>
      <w:tr w14:paraId="5FFEFA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093" w:type="dxa"/>
            <w:gridSpan w:val="3"/>
            <w:vMerge w:val="continue"/>
            <w:noWrap w:val="0"/>
            <w:tcMar>
              <w:left w:w="108" w:type="dxa"/>
              <w:right w:w="108" w:type="dxa"/>
            </w:tcMar>
            <w:vAlign w:val="center"/>
          </w:tcPr>
          <w:p w14:paraId="0CEBAFF5">
            <w:pPr>
              <w:jc w:val="center"/>
              <w:rPr>
                <w:rFonts w:ascii="仿宋_GB2312" w:hAnsi="Times New Roman" w:eastAsia="仿宋_GB2312"/>
                <w:color w:val="auto"/>
                <w:szCs w:val="21"/>
              </w:rPr>
            </w:pPr>
          </w:p>
        </w:tc>
        <w:tc>
          <w:tcPr>
            <w:tcW w:w="829" w:type="dxa"/>
            <w:vMerge w:val="continue"/>
            <w:noWrap w:val="0"/>
            <w:tcMar>
              <w:left w:w="108" w:type="dxa"/>
              <w:right w:w="108" w:type="dxa"/>
            </w:tcMar>
            <w:vAlign w:val="center"/>
          </w:tcPr>
          <w:p w14:paraId="62FF7194">
            <w:pPr>
              <w:jc w:val="center"/>
              <w:rPr>
                <w:rFonts w:ascii="黑体" w:hAnsi="黑体" w:eastAsia="黑体"/>
                <w:color w:val="auto"/>
                <w:szCs w:val="21"/>
              </w:rPr>
            </w:pPr>
          </w:p>
        </w:tc>
        <w:tc>
          <w:tcPr>
            <w:tcW w:w="567" w:type="dxa"/>
            <w:noWrap w:val="0"/>
            <w:tcMar>
              <w:left w:w="108" w:type="dxa"/>
              <w:right w:w="108" w:type="dxa"/>
            </w:tcMar>
            <w:vAlign w:val="center"/>
          </w:tcPr>
          <w:p w14:paraId="62A65D6E">
            <w:pPr>
              <w:widowControl/>
              <w:spacing w:line="320" w:lineRule="exact"/>
              <w:ind w:left="-106" w:leftChars="-51" w:right="-107" w:rightChars="-51" w:hanging="1"/>
              <w:jc w:val="center"/>
              <w:rPr>
                <w:rFonts w:ascii="黑体" w:hAnsi="黑体" w:eastAsia="黑体"/>
                <w:color w:val="auto"/>
                <w:szCs w:val="21"/>
              </w:rPr>
            </w:pPr>
            <w:r>
              <w:rPr>
                <w:rFonts w:hint="eastAsia" w:ascii="黑体" w:hAnsi="黑体" w:eastAsia="黑体"/>
                <w:color w:val="auto"/>
                <w:kern w:val="0"/>
                <w:szCs w:val="21"/>
              </w:rPr>
              <w:t>商业企业</w:t>
            </w:r>
          </w:p>
        </w:tc>
        <w:tc>
          <w:tcPr>
            <w:tcW w:w="567" w:type="dxa"/>
            <w:noWrap w:val="0"/>
            <w:tcMar>
              <w:left w:w="108" w:type="dxa"/>
              <w:right w:w="108" w:type="dxa"/>
            </w:tcMar>
            <w:vAlign w:val="center"/>
          </w:tcPr>
          <w:p w14:paraId="41C61609">
            <w:pPr>
              <w:widowControl/>
              <w:spacing w:line="320" w:lineRule="exact"/>
              <w:ind w:left="-107" w:leftChars="-51" w:right="-107" w:rightChars="-51"/>
              <w:jc w:val="center"/>
              <w:rPr>
                <w:rFonts w:ascii="黑体" w:hAnsi="黑体" w:eastAsia="黑体"/>
                <w:color w:val="auto"/>
                <w:szCs w:val="21"/>
              </w:rPr>
            </w:pPr>
            <w:r>
              <w:rPr>
                <w:rFonts w:hint="eastAsia" w:ascii="黑体" w:hAnsi="黑体" w:eastAsia="黑体"/>
                <w:color w:val="auto"/>
                <w:kern w:val="0"/>
                <w:szCs w:val="21"/>
              </w:rPr>
              <w:t>科研机构</w:t>
            </w:r>
          </w:p>
        </w:tc>
        <w:tc>
          <w:tcPr>
            <w:tcW w:w="731" w:type="dxa"/>
            <w:noWrap w:val="0"/>
            <w:tcMar>
              <w:left w:w="108" w:type="dxa"/>
              <w:right w:w="108" w:type="dxa"/>
            </w:tcMar>
            <w:vAlign w:val="center"/>
          </w:tcPr>
          <w:p w14:paraId="4986EEEB">
            <w:pPr>
              <w:widowControl/>
              <w:spacing w:line="320" w:lineRule="exact"/>
              <w:ind w:left="-107" w:leftChars="-51" w:right="-107" w:rightChars="-51"/>
              <w:jc w:val="center"/>
              <w:rPr>
                <w:rFonts w:ascii="黑体" w:hAnsi="黑体" w:eastAsia="黑体"/>
                <w:color w:val="auto"/>
                <w:szCs w:val="21"/>
              </w:rPr>
            </w:pPr>
            <w:r>
              <w:rPr>
                <w:rFonts w:hint="eastAsia" w:ascii="黑体" w:hAnsi="黑体" w:eastAsia="黑体"/>
                <w:color w:val="auto"/>
                <w:kern w:val="0"/>
                <w:szCs w:val="21"/>
              </w:rPr>
              <w:t>社会公益组织</w:t>
            </w:r>
          </w:p>
        </w:tc>
        <w:tc>
          <w:tcPr>
            <w:tcW w:w="708" w:type="dxa"/>
            <w:noWrap w:val="0"/>
            <w:tcMar>
              <w:left w:w="108" w:type="dxa"/>
              <w:right w:w="108" w:type="dxa"/>
            </w:tcMar>
            <w:vAlign w:val="center"/>
          </w:tcPr>
          <w:p w14:paraId="120572A8">
            <w:pPr>
              <w:widowControl/>
              <w:spacing w:line="320" w:lineRule="exact"/>
              <w:ind w:left="-106" w:leftChars="-51" w:right="-107" w:rightChars="-51" w:hanging="1"/>
              <w:jc w:val="center"/>
              <w:rPr>
                <w:rFonts w:ascii="黑体" w:hAnsi="黑体" w:eastAsia="黑体"/>
                <w:color w:val="auto"/>
                <w:szCs w:val="21"/>
              </w:rPr>
            </w:pPr>
            <w:r>
              <w:rPr>
                <w:rFonts w:hint="eastAsia" w:ascii="黑体" w:hAnsi="黑体" w:eastAsia="黑体"/>
                <w:color w:val="auto"/>
                <w:kern w:val="0"/>
                <w:szCs w:val="21"/>
              </w:rPr>
              <w:t>法律服务机构</w:t>
            </w:r>
          </w:p>
        </w:tc>
        <w:tc>
          <w:tcPr>
            <w:tcW w:w="567" w:type="dxa"/>
            <w:noWrap w:val="0"/>
            <w:tcMar>
              <w:left w:w="108" w:type="dxa"/>
              <w:right w:w="108" w:type="dxa"/>
            </w:tcMar>
            <w:vAlign w:val="center"/>
          </w:tcPr>
          <w:p w14:paraId="7B018AFC">
            <w:pPr>
              <w:widowControl/>
              <w:spacing w:line="360" w:lineRule="exact"/>
              <w:ind w:left="-63" w:leftChars="-30" w:right="-134" w:rightChars="-64"/>
              <w:jc w:val="center"/>
              <w:rPr>
                <w:rFonts w:ascii="黑体" w:hAnsi="黑体" w:eastAsia="黑体"/>
                <w:color w:val="auto"/>
                <w:szCs w:val="21"/>
              </w:rPr>
            </w:pPr>
            <w:r>
              <w:rPr>
                <w:rFonts w:hint="eastAsia" w:ascii="黑体" w:hAnsi="黑体" w:eastAsia="黑体"/>
                <w:color w:val="auto"/>
                <w:kern w:val="0"/>
                <w:szCs w:val="21"/>
              </w:rPr>
              <w:t>其他</w:t>
            </w:r>
          </w:p>
        </w:tc>
        <w:tc>
          <w:tcPr>
            <w:tcW w:w="851" w:type="dxa"/>
            <w:vMerge w:val="continue"/>
            <w:noWrap w:val="0"/>
            <w:tcMar>
              <w:left w:w="108" w:type="dxa"/>
              <w:right w:w="108" w:type="dxa"/>
            </w:tcMar>
            <w:vAlign w:val="center"/>
          </w:tcPr>
          <w:p w14:paraId="66B68D4A">
            <w:pPr>
              <w:jc w:val="center"/>
              <w:rPr>
                <w:rFonts w:ascii="仿宋_GB2312" w:hAnsi="Times New Roman" w:eastAsia="仿宋_GB2312"/>
                <w:color w:val="auto"/>
                <w:szCs w:val="21"/>
              </w:rPr>
            </w:pPr>
          </w:p>
        </w:tc>
      </w:tr>
      <w:tr w14:paraId="50805C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31" w:hRule="atLeast"/>
          <w:jc w:val="center"/>
        </w:trPr>
        <w:tc>
          <w:tcPr>
            <w:tcW w:w="5093" w:type="dxa"/>
            <w:gridSpan w:val="3"/>
            <w:noWrap w:val="0"/>
            <w:tcMar>
              <w:left w:w="108" w:type="dxa"/>
              <w:right w:w="108" w:type="dxa"/>
            </w:tcMar>
            <w:vAlign w:val="center"/>
          </w:tcPr>
          <w:p w14:paraId="377B5718">
            <w:pPr>
              <w:widowControl/>
              <w:rPr>
                <w:rFonts w:ascii="黑体" w:hAnsi="黑体" w:eastAsia="黑体"/>
                <w:color w:val="auto"/>
                <w:szCs w:val="21"/>
              </w:rPr>
            </w:pPr>
            <w:r>
              <w:rPr>
                <w:rFonts w:hint="eastAsia" w:ascii="黑体" w:hAnsi="黑体" w:eastAsia="黑体"/>
                <w:color w:val="auto"/>
                <w:kern w:val="0"/>
                <w:szCs w:val="21"/>
              </w:rPr>
              <w:t>一、</w:t>
            </w:r>
            <w:bookmarkStart w:id="0" w:name="_Hlk66973412"/>
            <w:r>
              <w:rPr>
                <w:rFonts w:hint="eastAsia" w:ascii="黑体" w:hAnsi="黑体" w:eastAsia="黑体"/>
                <w:color w:val="auto"/>
                <w:kern w:val="0"/>
                <w:szCs w:val="21"/>
              </w:rPr>
              <w:t>本年新收政府信息公开申请数量</w:t>
            </w:r>
            <w:bookmarkEnd w:id="0"/>
          </w:p>
        </w:tc>
        <w:tc>
          <w:tcPr>
            <w:tcW w:w="829" w:type="dxa"/>
            <w:noWrap w:val="0"/>
            <w:tcMar>
              <w:left w:w="108" w:type="dxa"/>
              <w:right w:w="108" w:type="dxa"/>
            </w:tcMar>
            <w:vAlign w:val="center"/>
          </w:tcPr>
          <w:p w14:paraId="44B43ABF">
            <w:pPr>
              <w:widowControl/>
              <w:jc w:val="center"/>
              <w:rPr>
                <w:rFonts w:hint="default" w:ascii="仿宋_GB2312" w:hAnsi="宋体" w:eastAsia="仿宋_GB2312" w:cs="宋体"/>
                <w:color w:val="auto"/>
                <w:kern w:val="0"/>
                <w:szCs w:val="21"/>
                <w:lang w:val="en-US" w:eastAsia="zh-CN"/>
              </w:rPr>
            </w:pPr>
            <w:r>
              <w:rPr>
                <w:rFonts w:hint="eastAsia" w:ascii="仿宋_GB2312" w:hAnsi="仿宋_GB2312" w:eastAsia="仿宋_GB2312" w:cs="仿宋_GB2312"/>
                <w:color w:val="auto"/>
                <w:lang w:val="en-US" w:eastAsia="zh-CN"/>
              </w:rPr>
              <w:t>13</w:t>
            </w:r>
          </w:p>
        </w:tc>
        <w:tc>
          <w:tcPr>
            <w:tcW w:w="567" w:type="dxa"/>
            <w:noWrap w:val="0"/>
            <w:tcMar>
              <w:left w:w="108" w:type="dxa"/>
              <w:right w:w="108" w:type="dxa"/>
            </w:tcMar>
            <w:vAlign w:val="center"/>
          </w:tcPr>
          <w:p w14:paraId="0477D72D">
            <w:pPr>
              <w:widowControl/>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567" w:type="dxa"/>
            <w:noWrap w:val="0"/>
            <w:tcMar>
              <w:left w:w="108" w:type="dxa"/>
              <w:right w:w="108" w:type="dxa"/>
            </w:tcMar>
            <w:vAlign w:val="center"/>
          </w:tcPr>
          <w:p w14:paraId="11965060">
            <w:pPr>
              <w:widowControl/>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731" w:type="dxa"/>
            <w:noWrap w:val="0"/>
            <w:tcMar>
              <w:left w:w="108" w:type="dxa"/>
              <w:right w:w="108" w:type="dxa"/>
            </w:tcMar>
            <w:vAlign w:val="center"/>
          </w:tcPr>
          <w:p w14:paraId="481B681D">
            <w:pPr>
              <w:widowControl/>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708" w:type="dxa"/>
            <w:noWrap w:val="0"/>
            <w:tcMar>
              <w:left w:w="108" w:type="dxa"/>
              <w:right w:w="108" w:type="dxa"/>
            </w:tcMar>
            <w:vAlign w:val="center"/>
          </w:tcPr>
          <w:p w14:paraId="40B7793B">
            <w:pPr>
              <w:widowControl/>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567" w:type="dxa"/>
            <w:noWrap w:val="0"/>
            <w:tcMar>
              <w:left w:w="108" w:type="dxa"/>
              <w:right w:w="108" w:type="dxa"/>
            </w:tcMar>
            <w:vAlign w:val="center"/>
          </w:tcPr>
          <w:p w14:paraId="1183FB5F">
            <w:pPr>
              <w:widowControl/>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851" w:type="dxa"/>
            <w:noWrap w:val="0"/>
            <w:tcMar>
              <w:left w:w="108" w:type="dxa"/>
              <w:right w:w="108" w:type="dxa"/>
            </w:tcMar>
            <w:vAlign w:val="center"/>
          </w:tcPr>
          <w:p w14:paraId="1A55F92B">
            <w:pPr>
              <w:widowControl/>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13</w:t>
            </w:r>
          </w:p>
        </w:tc>
      </w:tr>
      <w:tr w14:paraId="28CBE4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26" w:hRule="atLeast"/>
          <w:jc w:val="center"/>
        </w:trPr>
        <w:tc>
          <w:tcPr>
            <w:tcW w:w="5093" w:type="dxa"/>
            <w:gridSpan w:val="3"/>
            <w:noWrap w:val="0"/>
            <w:tcMar>
              <w:left w:w="108" w:type="dxa"/>
              <w:right w:w="108" w:type="dxa"/>
            </w:tcMar>
            <w:vAlign w:val="center"/>
          </w:tcPr>
          <w:p w14:paraId="3353CF95">
            <w:pPr>
              <w:widowControl/>
              <w:rPr>
                <w:rFonts w:ascii="黑体" w:hAnsi="黑体" w:eastAsia="黑体"/>
                <w:color w:val="auto"/>
                <w:szCs w:val="21"/>
              </w:rPr>
            </w:pPr>
            <w:r>
              <w:rPr>
                <w:rFonts w:hint="eastAsia" w:ascii="黑体" w:hAnsi="黑体" w:eastAsia="黑体"/>
                <w:color w:val="auto"/>
                <w:kern w:val="0"/>
                <w:szCs w:val="21"/>
              </w:rPr>
              <w:t>二、上年结转政府信息公开申请数量</w:t>
            </w:r>
          </w:p>
        </w:tc>
        <w:tc>
          <w:tcPr>
            <w:tcW w:w="829" w:type="dxa"/>
            <w:noWrap w:val="0"/>
            <w:tcMar>
              <w:left w:w="108" w:type="dxa"/>
              <w:right w:w="108" w:type="dxa"/>
            </w:tcMar>
            <w:vAlign w:val="center"/>
          </w:tcPr>
          <w:p w14:paraId="00108B91">
            <w:pPr>
              <w:widowControl/>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1</w:t>
            </w:r>
          </w:p>
        </w:tc>
        <w:tc>
          <w:tcPr>
            <w:tcW w:w="567" w:type="dxa"/>
            <w:noWrap w:val="0"/>
            <w:tcMar>
              <w:left w:w="108" w:type="dxa"/>
              <w:right w:w="108" w:type="dxa"/>
            </w:tcMar>
            <w:vAlign w:val="center"/>
          </w:tcPr>
          <w:p w14:paraId="7E200B34">
            <w:pPr>
              <w:widowControl/>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567" w:type="dxa"/>
            <w:noWrap w:val="0"/>
            <w:tcMar>
              <w:left w:w="108" w:type="dxa"/>
              <w:right w:w="108" w:type="dxa"/>
            </w:tcMar>
            <w:vAlign w:val="center"/>
          </w:tcPr>
          <w:p w14:paraId="55C0D097">
            <w:pPr>
              <w:widowControl/>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731" w:type="dxa"/>
            <w:noWrap w:val="0"/>
            <w:tcMar>
              <w:left w:w="108" w:type="dxa"/>
              <w:right w:w="108" w:type="dxa"/>
            </w:tcMar>
            <w:vAlign w:val="center"/>
          </w:tcPr>
          <w:p w14:paraId="01D20AEA">
            <w:pPr>
              <w:widowControl/>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708" w:type="dxa"/>
            <w:noWrap w:val="0"/>
            <w:tcMar>
              <w:left w:w="108" w:type="dxa"/>
              <w:right w:w="108" w:type="dxa"/>
            </w:tcMar>
            <w:vAlign w:val="center"/>
          </w:tcPr>
          <w:p w14:paraId="0744A882">
            <w:pPr>
              <w:widowControl/>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567" w:type="dxa"/>
            <w:noWrap w:val="0"/>
            <w:tcMar>
              <w:left w:w="108" w:type="dxa"/>
              <w:right w:w="108" w:type="dxa"/>
            </w:tcMar>
            <w:vAlign w:val="center"/>
          </w:tcPr>
          <w:p w14:paraId="16943D48">
            <w:pPr>
              <w:widowControl/>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851" w:type="dxa"/>
            <w:noWrap w:val="0"/>
            <w:tcMar>
              <w:left w:w="108" w:type="dxa"/>
              <w:right w:w="108" w:type="dxa"/>
            </w:tcMar>
            <w:vAlign w:val="center"/>
          </w:tcPr>
          <w:p w14:paraId="1BB81CA2">
            <w:pPr>
              <w:widowControl/>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1</w:t>
            </w:r>
          </w:p>
        </w:tc>
      </w:tr>
      <w:tr w14:paraId="59E2BE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416" w:type="dxa"/>
            <w:vMerge w:val="restart"/>
            <w:noWrap w:val="0"/>
            <w:tcMar>
              <w:left w:w="108" w:type="dxa"/>
              <w:right w:w="108" w:type="dxa"/>
            </w:tcMar>
            <w:vAlign w:val="center"/>
          </w:tcPr>
          <w:p w14:paraId="6E7233DB">
            <w:pPr>
              <w:widowControl/>
              <w:spacing w:after="180"/>
              <w:rPr>
                <w:rFonts w:ascii="黑体" w:hAnsi="黑体" w:eastAsia="黑体"/>
                <w:color w:val="auto"/>
                <w:szCs w:val="21"/>
              </w:rPr>
            </w:pPr>
            <w:r>
              <w:rPr>
                <w:rFonts w:hint="eastAsia" w:ascii="黑体" w:hAnsi="黑体" w:eastAsia="黑体"/>
                <w:color w:val="auto"/>
                <w:kern w:val="0"/>
                <w:szCs w:val="21"/>
              </w:rPr>
              <w:t>三、本年度办理结果</w:t>
            </w:r>
          </w:p>
        </w:tc>
        <w:tc>
          <w:tcPr>
            <w:tcW w:w="4677" w:type="dxa"/>
            <w:gridSpan w:val="2"/>
            <w:noWrap w:val="0"/>
            <w:tcMar>
              <w:left w:w="108" w:type="dxa"/>
              <w:right w:w="108" w:type="dxa"/>
            </w:tcMar>
            <w:vAlign w:val="center"/>
          </w:tcPr>
          <w:p w14:paraId="02FDF6B2">
            <w:pPr>
              <w:keepNext w:val="0"/>
              <w:keepLines w:val="0"/>
              <w:pageBreakBefore w:val="0"/>
              <w:widowControl/>
              <w:kinsoku/>
              <w:wordWrap/>
              <w:overflowPunct/>
              <w:topLinePunct w:val="0"/>
              <w:autoSpaceDE/>
              <w:autoSpaceDN/>
              <w:bidi w:val="0"/>
              <w:adjustRightInd/>
              <w:snapToGrid/>
              <w:spacing w:line="400" w:lineRule="exact"/>
              <w:textAlignment w:val="auto"/>
              <w:rPr>
                <w:rFonts w:ascii="黑体" w:hAnsi="黑体" w:eastAsia="黑体"/>
                <w:color w:val="auto"/>
                <w:szCs w:val="21"/>
              </w:rPr>
            </w:pPr>
            <w:r>
              <w:rPr>
                <w:rFonts w:hint="eastAsia" w:ascii="黑体" w:hAnsi="黑体" w:eastAsia="黑体"/>
                <w:color w:val="auto"/>
                <w:kern w:val="0"/>
                <w:szCs w:val="21"/>
              </w:rPr>
              <w:t>（一）予以公开</w:t>
            </w:r>
          </w:p>
        </w:tc>
        <w:tc>
          <w:tcPr>
            <w:tcW w:w="829" w:type="dxa"/>
            <w:noWrap w:val="0"/>
            <w:tcMar>
              <w:left w:w="108" w:type="dxa"/>
              <w:right w:w="108" w:type="dxa"/>
            </w:tcMar>
            <w:vAlign w:val="center"/>
          </w:tcPr>
          <w:p w14:paraId="524B1FD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highlight w:val="none"/>
                <w:lang w:val="en-US" w:eastAsia="zh-CN"/>
              </w:rPr>
            </w:pPr>
            <w:r>
              <w:rPr>
                <w:rFonts w:hint="eastAsia" w:ascii="仿宋_GB2312" w:hAnsi="宋体" w:eastAsia="仿宋_GB2312" w:cs="宋体"/>
                <w:color w:val="auto"/>
                <w:kern w:val="0"/>
                <w:szCs w:val="21"/>
                <w:highlight w:val="none"/>
                <w:lang w:val="en-US" w:eastAsia="zh-CN"/>
              </w:rPr>
              <w:t>4</w:t>
            </w:r>
          </w:p>
        </w:tc>
        <w:tc>
          <w:tcPr>
            <w:tcW w:w="567" w:type="dxa"/>
            <w:noWrap w:val="0"/>
            <w:tcMar>
              <w:left w:w="108" w:type="dxa"/>
              <w:right w:w="108" w:type="dxa"/>
            </w:tcMar>
            <w:vAlign w:val="center"/>
          </w:tcPr>
          <w:p w14:paraId="7A03DC3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highlight w:val="none"/>
                <w:lang w:val="en-US" w:eastAsia="zh-CN"/>
              </w:rPr>
            </w:pPr>
            <w:r>
              <w:rPr>
                <w:rFonts w:hint="eastAsia" w:ascii="仿宋_GB2312" w:hAnsi="宋体" w:eastAsia="仿宋_GB2312" w:cs="宋体"/>
                <w:color w:val="auto"/>
                <w:kern w:val="0"/>
                <w:szCs w:val="21"/>
                <w:highlight w:val="none"/>
                <w:lang w:val="en-US" w:eastAsia="zh-CN"/>
              </w:rPr>
              <w:t>0</w:t>
            </w:r>
          </w:p>
        </w:tc>
        <w:tc>
          <w:tcPr>
            <w:tcW w:w="567" w:type="dxa"/>
            <w:noWrap w:val="0"/>
            <w:tcMar>
              <w:left w:w="108" w:type="dxa"/>
              <w:right w:w="108" w:type="dxa"/>
            </w:tcMar>
            <w:vAlign w:val="center"/>
          </w:tcPr>
          <w:p w14:paraId="0CA879C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highlight w:val="none"/>
                <w:lang w:val="en-US" w:eastAsia="zh-CN"/>
              </w:rPr>
            </w:pPr>
            <w:r>
              <w:rPr>
                <w:rFonts w:hint="eastAsia" w:ascii="仿宋_GB2312" w:hAnsi="宋体" w:eastAsia="仿宋_GB2312" w:cs="宋体"/>
                <w:color w:val="auto"/>
                <w:kern w:val="0"/>
                <w:szCs w:val="21"/>
                <w:highlight w:val="none"/>
                <w:lang w:val="en-US" w:eastAsia="zh-CN"/>
              </w:rPr>
              <w:t>0</w:t>
            </w:r>
          </w:p>
        </w:tc>
        <w:tc>
          <w:tcPr>
            <w:tcW w:w="731" w:type="dxa"/>
            <w:noWrap w:val="0"/>
            <w:tcMar>
              <w:left w:w="108" w:type="dxa"/>
              <w:right w:w="108" w:type="dxa"/>
            </w:tcMar>
            <w:vAlign w:val="center"/>
          </w:tcPr>
          <w:p w14:paraId="1F2DFA3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highlight w:val="none"/>
                <w:lang w:val="en-US" w:eastAsia="zh-CN"/>
              </w:rPr>
            </w:pPr>
            <w:r>
              <w:rPr>
                <w:rFonts w:hint="eastAsia" w:ascii="仿宋_GB2312" w:hAnsi="宋体" w:eastAsia="仿宋_GB2312" w:cs="宋体"/>
                <w:color w:val="auto"/>
                <w:kern w:val="0"/>
                <w:szCs w:val="21"/>
                <w:highlight w:val="none"/>
                <w:lang w:val="en-US" w:eastAsia="zh-CN"/>
              </w:rPr>
              <w:t>0</w:t>
            </w:r>
          </w:p>
        </w:tc>
        <w:tc>
          <w:tcPr>
            <w:tcW w:w="708" w:type="dxa"/>
            <w:noWrap w:val="0"/>
            <w:tcMar>
              <w:left w:w="108" w:type="dxa"/>
              <w:right w:w="108" w:type="dxa"/>
            </w:tcMar>
            <w:vAlign w:val="center"/>
          </w:tcPr>
          <w:p w14:paraId="0A57912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highlight w:val="none"/>
                <w:lang w:val="en-US" w:eastAsia="zh-CN"/>
              </w:rPr>
            </w:pPr>
            <w:r>
              <w:rPr>
                <w:rFonts w:hint="eastAsia" w:ascii="仿宋_GB2312" w:hAnsi="宋体" w:eastAsia="仿宋_GB2312" w:cs="宋体"/>
                <w:color w:val="auto"/>
                <w:kern w:val="0"/>
                <w:szCs w:val="21"/>
                <w:highlight w:val="none"/>
                <w:lang w:val="en-US" w:eastAsia="zh-CN"/>
              </w:rPr>
              <w:t>0</w:t>
            </w:r>
          </w:p>
        </w:tc>
        <w:tc>
          <w:tcPr>
            <w:tcW w:w="567" w:type="dxa"/>
            <w:noWrap w:val="0"/>
            <w:tcMar>
              <w:left w:w="108" w:type="dxa"/>
              <w:right w:w="108" w:type="dxa"/>
            </w:tcMar>
            <w:vAlign w:val="center"/>
          </w:tcPr>
          <w:p w14:paraId="0AA5101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highlight w:val="none"/>
                <w:lang w:val="en-US" w:eastAsia="zh-CN"/>
              </w:rPr>
            </w:pPr>
            <w:r>
              <w:rPr>
                <w:rFonts w:hint="eastAsia" w:ascii="仿宋_GB2312" w:hAnsi="宋体" w:eastAsia="仿宋_GB2312" w:cs="宋体"/>
                <w:color w:val="auto"/>
                <w:kern w:val="0"/>
                <w:szCs w:val="21"/>
                <w:highlight w:val="none"/>
                <w:lang w:val="en-US" w:eastAsia="zh-CN"/>
              </w:rPr>
              <w:t>0</w:t>
            </w:r>
          </w:p>
        </w:tc>
        <w:tc>
          <w:tcPr>
            <w:tcW w:w="851" w:type="dxa"/>
            <w:noWrap w:val="0"/>
            <w:tcMar>
              <w:left w:w="108" w:type="dxa"/>
              <w:right w:w="108" w:type="dxa"/>
            </w:tcMar>
            <w:vAlign w:val="center"/>
          </w:tcPr>
          <w:p w14:paraId="5B4E779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highlight w:val="none"/>
                <w:lang w:val="en-US" w:eastAsia="zh-CN"/>
              </w:rPr>
            </w:pPr>
            <w:r>
              <w:rPr>
                <w:rFonts w:hint="eastAsia" w:ascii="仿宋_GB2312" w:hAnsi="宋体" w:eastAsia="仿宋_GB2312" w:cs="宋体"/>
                <w:color w:val="auto"/>
                <w:kern w:val="0"/>
                <w:szCs w:val="21"/>
                <w:highlight w:val="none"/>
                <w:lang w:val="en-US" w:eastAsia="zh-CN"/>
              </w:rPr>
              <w:t>4</w:t>
            </w:r>
          </w:p>
        </w:tc>
      </w:tr>
      <w:tr w14:paraId="5D57A8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340474EC">
            <w:pPr>
              <w:rPr>
                <w:rFonts w:ascii="黑体" w:hAnsi="黑体" w:eastAsia="黑体"/>
                <w:color w:val="auto"/>
                <w:szCs w:val="21"/>
              </w:rPr>
            </w:pPr>
          </w:p>
        </w:tc>
        <w:tc>
          <w:tcPr>
            <w:tcW w:w="4677" w:type="dxa"/>
            <w:gridSpan w:val="2"/>
            <w:noWrap w:val="0"/>
            <w:tcMar>
              <w:left w:w="108" w:type="dxa"/>
              <w:right w:w="108" w:type="dxa"/>
            </w:tcMar>
            <w:vAlign w:val="center"/>
          </w:tcPr>
          <w:p w14:paraId="049E4FFA">
            <w:pPr>
              <w:keepNext w:val="0"/>
              <w:keepLines w:val="0"/>
              <w:pageBreakBefore w:val="0"/>
              <w:widowControl/>
              <w:kinsoku/>
              <w:wordWrap/>
              <w:overflowPunct/>
              <w:topLinePunct w:val="0"/>
              <w:autoSpaceDE/>
              <w:autoSpaceDN/>
              <w:bidi w:val="0"/>
              <w:adjustRightInd/>
              <w:snapToGrid/>
              <w:spacing w:line="400" w:lineRule="exact"/>
              <w:textAlignment w:val="auto"/>
              <w:rPr>
                <w:rFonts w:ascii="黑体" w:hAnsi="黑体" w:eastAsia="黑体"/>
                <w:color w:val="auto"/>
                <w:szCs w:val="21"/>
              </w:rPr>
            </w:pPr>
            <w:r>
              <w:rPr>
                <w:rFonts w:hint="eastAsia" w:ascii="黑体" w:hAnsi="黑体" w:eastAsia="黑体"/>
                <w:color w:val="auto"/>
                <w:kern w:val="0"/>
                <w:szCs w:val="21"/>
              </w:rPr>
              <w:t>（二）部分公开（</w:t>
            </w:r>
            <w:bookmarkStart w:id="1" w:name="_Hlk66973981"/>
            <w:r>
              <w:rPr>
                <w:rFonts w:hint="eastAsia" w:ascii="黑体" w:hAnsi="黑体" w:eastAsia="黑体"/>
                <w:color w:val="auto"/>
                <w:kern w:val="0"/>
                <w:szCs w:val="21"/>
              </w:rPr>
              <w:t>区分处理的，只计这一情形，不计其他情形</w:t>
            </w:r>
            <w:bookmarkEnd w:id="1"/>
            <w:r>
              <w:rPr>
                <w:rFonts w:hint="eastAsia" w:ascii="黑体" w:hAnsi="黑体" w:eastAsia="黑体"/>
                <w:color w:val="auto"/>
                <w:kern w:val="0"/>
                <w:szCs w:val="21"/>
              </w:rPr>
              <w:t>）</w:t>
            </w:r>
          </w:p>
        </w:tc>
        <w:tc>
          <w:tcPr>
            <w:tcW w:w="829" w:type="dxa"/>
            <w:noWrap w:val="0"/>
            <w:tcMar>
              <w:left w:w="108" w:type="dxa"/>
              <w:right w:w="108" w:type="dxa"/>
            </w:tcMar>
            <w:vAlign w:val="center"/>
          </w:tcPr>
          <w:p w14:paraId="6634BFE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567" w:type="dxa"/>
            <w:noWrap w:val="0"/>
            <w:tcMar>
              <w:left w:w="108" w:type="dxa"/>
              <w:right w:w="108" w:type="dxa"/>
            </w:tcMar>
            <w:vAlign w:val="center"/>
          </w:tcPr>
          <w:p w14:paraId="734F095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567" w:type="dxa"/>
            <w:noWrap w:val="0"/>
            <w:tcMar>
              <w:left w:w="108" w:type="dxa"/>
              <w:right w:w="108" w:type="dxa"/>
            </w:tcMar>
            <w:vAlign w:val="center"/>
          </w:tcPr>
          <w:p w14:paraId="772DFB2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731" w:type="dxa"/>
            <w:noWrap w:val="0"/>
            <w:tcMar>
              <w:left w:w="108" w:type="dxa"/>
              <w:right w:w="108" w:type="dxa"/>
            </w:tcMar>
            <w:vAlign w:val="center"/>
          </w:tcPr>
          <w:p w14:paraId="28320C5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708" w:type="dxa"/>
            <w:noWrap w:val="0"/>
            <w:tcMar>
              <w:left w:w="108" w:type="dxa"/>
              <w:right w:w="108" w:type="dxa"/>
            </w:tcMar>
            <w:vAlign w:val="center"/>
          </w:tcPr>
          <w:p w14:paraId="005B548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567" w:type="dxa"/>
            <w:noWrap w:val="0"/>
            <w:tcMar>
              <w:left w:w="108" w:type="dxa"/>
              <w:right w:w="108" w:type="dxa"/>
            </w:tcMar>
            <w:vAlign w:val="center"/>
          </w:tcPr>
          <w:p w14:paraId="7CB509F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851" w:type="dxa"/>
            <w:noWrap w:val="0"/>
            <w:tcMar>
              <w:left w:w="108" w:type="dxa"/>
              <w:right w:w="108" w:type="dxa"/>
            </w:tcMar>
            <w:vAlign w:val="center"/>
          </w:tcPr>
          <w:p w14:paraId="489CA9D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r>
      <w:tr w14:paraId="5CF1E8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27E0E1E">
            <w:pPr>
              <w:rPr>
                <w:rFonts w:ascii="黑体" w:hAnsi="黑体" w:eastAsia="黑体"/>
                <w:color w:val="auto"/>
                <w:szCs w:val="21"/>
              </w:rPr>
            </w:pPr>
          </w:p>
        </w:tc>
        <w:tc>
          <w:tcPr>
            <w:tcW w:w="1701" w:type="dxa"/>
            <w:vMerge w:val="restart"/>
            <w:noWrap w:val="0"/>
            <w:tcMar>
              <w:left w:w="108" w:type="dxa"/>
              <w:right w:w="108" w:type="dxa"/>
            </w:tcMar>
            <w:vAlign w:val="center"/>
          </w:tcPr>
          <w:p w14:paraId="63E35F07">
            <w:pPr>
              <w:keepNext w:val="0"/>
              <w:keepLines w:val="0"/>
              <w:pageBreakBefore w:val="0"/>
              <w:widowControl/>
              <w:kinsoku/>
              <w:wordWrap/>
              <w:overflowPunct/>
              <w:topLinePunct w:val="0"/>
              <w:autoSpaceDE/>
              <w:autoSpaceDN/>
              <w:bidi w:val="0"/>
              <w:adjustRightInd/>
              <w:snapToGrid/>
              <w:spacing w:line="400" w:lineRule="exact"/>
              <w:ind w:left="-107" w:leftChars="-51"/>
              <w:textAlignment w:val="auto"/>
              <w:rPr>
                <w:rFonts w:ascii="黑体" w:hAnsi="黑体" w:eastAsia="黑体"/>
                <w:color w:val="auto"/>
                <w:szCs w:val="21"/>
              </w:rPr>
            </w:pPr>
            <w:r>
              <w:rPr>
                <w:rFonts w:hint="eastAsia" w:ascii="黑体" w:hAnsi="黑体" w:eastAsia="黑体"/>
                <w:color w:val="auto"/>
                <w:kern w:val="0"/>
                <w:szCs w:val="21"/>
              </w:rPr>
              <w:t>（三）不予公开</w:t>
            </w:r>
          </w:p>
        </w:tc>
        <w:tc>
          <w:tcPr>
            <w:tcW w:w="2976" w:type="dxa"/>
            <w:noWrap w:val="0"/>
            <w:tcMar>
              <w:left w:w="108" w:type="dxa"/>
              <w:right w:w="108" w:type="dxa"/>
            </w:tcMar>
            <w:vAlign w:val="center"/>
          </w:tcPr>
          <w:p w14:paraId="23D5DC41">
            <w:pPr>
              <w:keepNext w:val="0"/>
              <w:keepLines w:val="0"/>
              <w:pageBreakBefore w:val="0"/>
              <w:widowControl/>
              <w:kinsoku/>
              <w:wordWrap/>
              <w:overflowPunct/>
              <w:topLinePunct w:val="0"/>
              <w:autoSpaceDE/>
              <w:autoSpaceDN/>
              <w:bidi w:val="0"/>
              <w:adjustRightInd/>
              <w:snapToGrid/>
              <w:spacing w:line="400" w:lineRule="exact"/>
              <w:textAlignment w:val="auto"/>
              <w:rPr>
                <w:rFonts w:ascii="仿宋_GB2312" w:hAnsi="黑体" w:eastAsia="仿宋_GB2312"/>
                <w:color w:val="auto"/>
                <w:kern w:val="0"/>
                <w:szCs w:val="21"/>
              </w:rPr>
            </w:pPr>
            <w:r>
              <w:rPr>
                <w:rFonts w:hint="eastAsia" w:ascii="仿宋_GB2312" w:hAnsi="黑体" w:eastAsia="仿宋_GB2312"/>
                <w:color w:val="auto"/>
                <w:kern w:val="0"/>
                <w:szCs w:val="21"/>
              </w:rPr>
              <w:t>1.属于国家秘密</w:t>
            </w:r>
          </w:p>
        </w:tc>
        <w:tc>
          <w:tcPr>
            <w:tcW w:w="829" w:type="dxa"/>
            <w:noWrap w:val="0"/>
            <w:tcMar>
              <w:left w:w="108" w:type="dxa"/>
              <w:right w:w="108" w:type="dxa"/>
            </w:tcMar>
            <w:vAlign w:val="center"/>
          </w:tcPr>
          <w:p w14:paraId="766CA20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567" w:type="dxa"/>
            <w:noWrap w:val="0"/>
            <w:tcMar>
              <w:left w:w="108" w:type="dxa"/>
              <w:right w:w="108" w:type="dxa"/>
            </w:tcMar>
            <w:vAlign w:val="center"/>
          </w:tcPr>
          <w:p w14:paraId="3EA4E43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567" w:type="dxa"/>
            <w:noWrap w:val="0"/>
            <w:tcMar>
              <w:left w:w="108" w:type="dxa"/>
              <w:right w:w="108" w:type="dxa"/>
            </w:tcMar>
            <w:vAlign w:val="center"/>
          </w:tcPr>
          <w:p w14:paraId="4F4C9B5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731" w:type="dxa"/>
            <w:noWrap w:val="0"/>
            <w:tcMar>
              <w:left w:w="108" w:type="dxa"/>
              <w:right w:w="108" w:type="dxa"/>
            </w:tcMar>
            <w:vAlign w:val="center"/>
          </w:tcPr>
          <w:p w14:paraId="5733593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708" w:type="dxa"/>
            <w:noWrap w:val="0"/>
            <w:tcMar>
              <w:left w:w="108" w:type="dxa"/>
              <w:right w:w="108" w:type="dxa"/>
            </w:tcMar>
            <w:vAlign w:val="center"/>
          </w:tcPr>
          <w:p w14:paraId="2A2C1F4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567" w:type="dxa"/>
            <w:noWrap w:val="0"/>
            <w:tcMar>
              <w:left w:w="108" w:type="dxa"/>
              <w:right w:w="108" w:type="dxa"/>
            </w:tcMar>
            <w:vAlign w:val="center"/>
          </w:tcPr>
          <w:p w14:paraId="234BCF2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851" w:type="dxa"/>
            <w:noWrap w:val="0"/>
            <w:tcMar>
              <w:left w:w="108" w:type="dxa"/>
              <w:right w:w="108" w:type="dxa"/>
            </w:tcMar>
            <w:vAlign w:val="center"/>
          </w:tcPr>
          <w:p w14:paraId="5BB29D6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r>
      <w:tr w14:paraId="73A418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94CB368">
            <w:pPr>
              <w:rPr>
                <w:rFonts w:ascii="黑体" w:hAnsi="黑体" w:eastAsia="黑体"/>
                <w:color w:val="auto"/>
                <w:szCs w:val="21"/>
              </w:rPr>
            </w:pPr>
          </w:p>
        </w:tc>
        <w:tc>
          <w:tcPr>
            <w:tcW w:w="1701" w:type="dxa"/>
            <w:vMerge w:val="continue"/>
            <w:noWrap w:val="0"/>
            <w:tcMar>
              <w:left w:w="108" w:type="dxa"/>
              <w:right w:w="108" w:type="dxa"/>
            </w:tcMar>
            <w:vAlign w:val="center"/>
          </w:tcPr>
          <w:p w14:paraId="1882FFE1">
            <w:pPr>
              <w:keepNext w:val="0"/>
              <w:keepLines w:val="0"/>
              <w:pageBreakBefore w:val="0"/>
              <w:widowControl/>
              <w:kinsoku/>
              <w:wordWrap/>
              <w:overflowPunct/>
              <w:topLinePunct w:val="0"/>
              <w:autoSpaceDE/>
              <w:autoSpaceDN/>
              <w:bidi w:val="0"/>
              <w:adjustRightInd/>
              <w:snapToGrid/>
              <w:spacing w:line="400" w:lineRule="exact"/>
              <w:textAlignment w:val="auto"/>
              <w:rPr>
                <w:rFonts w:ascii="黑体" w:hAnsi="黑体" w:eastAsia="黑体"/>
                <w:color w:val="auto"/>
                <w:szCs w:val="21"/>
              </w:rPr>
            </w:pPr>
          </w:p>
        </w:tc>
        <w:tc>
          <w:tcPr>
            <w:tcW w:w="2976" w:type="dxa"/>
            <w:noWrap w:val="0"/>
            <w:tcMar>
              <w:left w:w="108" w:type="dxa"/>
              <w:right w:w="108" w:type="dxa"/>
            </w:tcMar>
            <w:vAlign w:val="center"/>
          </w:tcPr>
          <w:p w14:paraId="18972941">
            <w:pPr>
              <w:keepNext w:val="0"/>
              <w:keepLines w:val="0"/>
              <w:pageBreakBefore w:val="0"/>
              <w:widowControl/>
              <w:kinsoku/>
              <w:wordWrap/>
              <w:overflowPunct/>
              <w:topLinePunct w:val="0"/>
              <w:autoSpaceDE/>
              <w:autoSpaceDN/>
              <w:bidi w:val="0"/>
              <w:adjustRightInd/>
              <w:snapToGrid/>
              <w:spacing w:line="400" w:lineRule="exact"/>
              <w:textAlignment w:val="auto"/>
              <w:rPr>
                <w:rFonts w:ascii="仿宋_GB2312" w:hAnsi="黑体" w:eastAsia="仿宋_GB2312"/>
                <w:color w:val="auto"/>
                <w:kern w:val="0"/>
                <w:szCs w:val="21"/>
              </w:rPr>
            </w:pPr>
            <w:r>
              <w:rPr>
                <w:rFonts w:hint="eastAsia" w:ascii="仿宋_GB2312" w:hAnsi="黑体" w:eastAsia="仿宋_GB2312"/>
                <w:color w:val="auto"/>
                <w:kern w:val="0"/>
                <w:szCs w:val="21"/>
              </w:rPr>
              <w:t>2.</w:t>
            </w:r>
            <w:bookmarkStart w:id="2" w:name="_Hlk66974104"/>
            <w:r>
              <w:rPr>
                <w:rFonts w:hint="eastAsia" w:ascii="仿宋_GB2312" w:hAnsi="黑体" w:eastAsia="仿宋_GB2312"/>
                <w:color w:val="auto"/>
                <w:kern w:val="0"/>
                <w:szCs w:val="21"/>
              </w:rPr>
              <w:t>其他法律行政法规禁止公开</w:t>
            </w:r>
            <w:bookmarkEnd w:id="2"/>
          </w:p>
        </w:tc>
        <w:tc>
          <w:tcPr>
            <w:tcW w:w="829" w:type="dxa"/>
            <w:noWrap w:val="0"/>
            <w:tcMar>
              <w:left w:w="108" w:type="dxa"/>
              <w:right w:w="108" w:type="dxa"/>
            </w:tcMar>
            <w:vAlign w:val="center"/>
          </w:tcPr>
          <w:p w14:paraId="53C93A6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567" w:type="dxa"/>
            <w:noWrap w:val="0"/>
            <w:tcMar>
              <w:left w:w="108" w:type="dxa"/>
              <w:right w:w="108" w:type="dxa"/>
            </w:tcMar>
            <w:vAlign w:val="center"/>
          </w:tcPr>
          <w:p w14:paraId="0A1A7E9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567" w:type="dxa"/>
            <w:noWrap w:val="0"/>
            <w:tcMar>
              <w:left w:w="108" w:type="dxa"/>
              <w:right w:w="108" w:type="dxa"/>
            </w:tcMar>
            <w:vAlign w:val="center"/>
          </w:tcPr>
          <w:p w14:paraId="01F9CBE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731" w:type="dxa"/>
            <w:noWrap w:val="0"/>
            <w:tcMar>
              <w:left w:w="108" w:type="dxa"/>
              <w:right w:w="108" w:type="dxa"/>
            </w:tcMar>
            <w:vAlign w:val="center"/>
          </w:tcPr>
          <w:p w14:paraId="06D89C2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708" w:type="dxa"/>
            <w:noWrap w:val="0"/>
            <w:tcMar>
              <w:left w:w="108" w:type="dxa"/>
              <w:right w:w="108" w:type="dxa"/>
            </w:tcMar>
            <w:vAlign w:val="center"/>
          </w:tcPr>
          <w:p w14:paraId="32B5B86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567" w:type="dxa"/>
            <w:noWrap w:val="0"/>
            <w:tcMar>
              <w:left w:w="108" w:type="dxa"/>
              <w:right w:w="108" w:type="dxa"/>
            </w:tcMar>
            <w:vAlign w:val="center"/>
          </w:tcPr>
          <w:p w14:paraId="00913C7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851" w:type="dxa"/>
            <w:noWrap w:val="0"/>
            <w:tcMar>
              <w:left w:w="108" w:type="dxa"/>
              <w:right w:w="108" w:type="dxa"/>
            </w:tcMar>
            <w:vAlign w:val="center"/>
          </w:tcPr>
          <w:p w14:paraId="2805766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r>
      <w:tr w14:paraId="3C289D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4D9690CB">
            <w:pPr>
              <w:rPr>
                <w:rFonts w:ascii="黑体" w:hAnsi="黑体" w:eastAsia="黑体"/>
                <w:color w:val="auto"/>
                <w:szCs w:val="21"/>
              </w:rPr>
            </w:pPr>
          </w:p>
        </w:tc>
        <w:tc>
          <w:tcPr>
            <w:tcW w:w="1701" w:type="dxa"/>
            <w:vMerge w:val="continue"/>
            <w:noWrap w:val="0"/>
            <w:tcMar>
              <w:left w:w="108" w:type="dxa"/>
              <w:right w:w="108" w:type="dxa"/>
            </w:tcMar>
            <w:vAlign w:val="center"/>
          </w:tcPr>
          <w:p w14:paraId="11760D0E">
            <w:pPr>
              <w:keepNext w:val="0"/>
              <w:keepLines w:val="0"/>
              <w:pageBreakBefore w:val="0"/>
              <w:widowControl/>
              <w:kinsoku/>
              <w:wordWrap/>
              <w:overflowPunct/>
              <w:topLinePunct w:val="0"/>
              <w:autoSpaceDE/>
              <w:autoSpaceDN/>
              <w:bidi w:val="0"/>
              <w:adjustRightInd/>
              <w:snapToGrid/>
              <w:spacing w:line="400" w:lineRule="exact"/>
              <w:textAlignment w:val="auto"/>
              <w:rPr>
                <w:rFonts w:ascii="黑体" w:hAnsi="黑体" w:eastAsia="黑体"/>
                <w:color w:val="auto"/>
                <w:szCs w:val="21"/>
              </w:rPr>
            </w:pPr>
          </w:p>
        </w:tc>
        <w:tc>
          <w:tcPr>
            <w:tcW w:w="2976" w:type="dxa"/>
            <w:noWrap w:val="0"/>
            <w:tcMar>
              <w:left w:w="108" w:type="dxa"/>
              <w:right w:w="108" w:type="dxa"/>
            </w:tcMar>
            <w:vAlign w:val="center"/>
          </w:tcPr>
          <w:p w14:paraId="0FB58AF8">
            <w:pPr>
              <w:keepNext w:val="0"/>
              <w:keepLines w:val="0"/>
              <w:pageBreakBefore w:val="0"/>
              <w:widowControl/>
              <w:kinsoku/>
              <w:wordWrap/>
              <w:overflowPunct/>
              <w:topLinePunct w:val="0"/>
              <w:autoSpaceDE/>
              <w:autoSpaceDN/>
              <w:bidi w:val="0"/>
              <w:adjustRightInd/>
              <w:snapToGrid/>
              <w:spacing w:line="400" w:lineRule="exact"/>
              <w:textAlignment w:val="auto"/>
              <w:rPr>
                <w:rFonts w:ascii="仿宋_GB2312" w:hAnsi="黑体" w:eastAsia="仿宋_GB2312"/>
                <w:color w:val="auto"/>
                <w:kern w:val="0"/>
                <w:szCs w:val="21"/>
              </w:rPr>
            </w:pPr>
            <w:r>
              <w:rPr>
                <w:rFonts w:hint="eastAsia" w:ascii="仿宋_GB2312" w:hAnsi="黑体" w:eastAsia="仿宋_GB2312"/>
                <w:color w:val="auto"/>
                <w:kern w:val="0"/>
                <w:szCs w:val="21"/>
              </w:rPr>
              <w:t>3.危及“三安全一稳定”</w:t>
            </w:r>
          </w:p>
        </w:tc>
        <w:tc>
          <w:tcPr>
            <w:tcW w:w="829" w:type="dxa"/>
            <w:noWrap w:val="0"/>
            <w:tcMar>
              <w:left w:w="108" w:type="dxa"/>
              <w:right w:w="108" w:type="dxa"/>
            </w:tcMar>
            <w:vAlign w:val="center"/>
          </w:tcPr>
          <w:p w14:paraId="562AE4B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567" w:type="dxa"/>
            <w:noWrap w:val="0"/>
            <w:tcMar>
              <w:left w:w="108" w:type="dxa"/>
              <w:right w:w="108" w:type="dxa"/>
            </w:tcMar>
            <w:vAlign w:val="center"/>
          </w:tcPr>
          <w:p w14:paraId="2ADB61A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567" w:type="dxa"/>
            <w:noWrap w:val="0"/>
            <w:tcMar>
              <w:left w:w="108" w:type="dxa"/>
              <w:right w:w="108" w:type="dxa"/>
            </w:tcMar>
            <w:vAlign w:val="center"/>
          </w:tcPr>
          <w:p w14:paraId="426BB7A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731" w:type="dxa"/>
            <w:noWrap w:val="0"/>
            <w:tcMar>
              <w:left w:w="108" w:type="dxa"/>
              <w:right w:w="108" w:type="dxa"/>
            </w:tcMar>
            <w:vAlign w:val="center"/>
          </w:tcPr>
          <w:p w14:paraId="3DF73F1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708" w:type="dxa"/>
            <w:noWrap w:val="0"/>
            <w:tcMar>
              <w:left w:w="108" w:type="dxa"/>
              <w:right w:w="108" w:type="dxa"/>
            </w:tcMar>
            <w:vAlign w:val="center"/>
          </w:tcPr>
          <w:p w14:paraId="43067BE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567" w:type="dxa"/>
            <w:noWrap w:val="0"/>
            <w:tcMar>
              <w:left w:w="108" w:type="dxa"/>
              <w:right w:w="108" w:type="dxa"/>
            </w:tcMar>
            <w:vAlign w:val="center"/>
          </w:tcPr>
          <w:p w14:paraId="32C4111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851" w:type="dxa"/>
            <w:noWrap w:val="0"/>
            <w:tcMar>
              <w:left w:w="108" w:type="dxa"/>
              <w:right w:w="108" w:type="dxa"/>
            </w:tcMar>
            <w:vAlign w:val="center"/>
          </w:tcPr>
          <w:p w14:paraId="44EEECD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r>
      <w:tr w14:paraId="3EB512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575EEB8D">
            <w:pPr>
              <w:rPr>
                <w:rFonts w:ascii="黑体" w:hAnsi="黑体" w:eastAsia="黑体"/>
                <w:color w:val="auto"/>
                <w:szCs w:val="21"/>
              </w:rPr>
            </w:pPr>
          </w:p>
        </w:tc>
        <w:tc>
          <w:tcPr>
            <w:tcW w:w="1701" w:type="dxa"/>
            <w:vMerge w:val="continue"/>
            <w:noWrap w:val="0"/>
            <w:tcMar>
              <w:left w:w="108" w:type="dxa"/>
              <w:right w:w="108" w:type="dxa"/>
            </w:tcMar>
            <w:vAlign w:val="center"/>
          </w:tcPr>
          <w:p w14:paraId="7CEC6449">
            <w:pPr>
              <w:keepNext w:val="0"/>
              <w:keepLines w:val="0"/>
              <w:pageBreakBefore w:val="0"/>
              <w:widowControl/>
              <w:kinsoku/>
              <w:wordWrap/>
              <w:overflowPunct/>
              <w:topLinePunct w:val="0"/>
              <w:autoSpaceDE/>
              <w:autoSpaceDN/>
              <w:bidi w:val="0"/>
              <w:adjustRightInd/>
              <w:snapToGrid/>
              <w:spacing w:line="400" w:lineRule="exact"/>
              <w:textAlignment w:val="auto"/>
              <w:rPr>
                <w:rFonts w:ascii="黑体" w:hAnsi="黑体" w:eastAsia="黑体"/>
                <w:color w:val="auto"/>
                <w:szCs w:val="21"/>
              </w:rPr>
            </w:pPr>
          </w:p>
        </w:tc>
        <w:tc>
          <w:tcPr>
            <w:tcW w:w="2976" w:type="dxa"/>
            <w:noWrap w:val="0"/>
            <w:tcMar>
              <w:left w:w="108" w:type="dxa"/>
              <w:right w:w="108" w:type="dxa"/>
            </w:tcMar>
            <w:vAlign w:val="center"/>
          </w:tcPr>
          <w:p w14:paraId="41A6060E">
            <w:pPr>
              <w:keepNext w:val="0"/>
              <w:keepLines w:val="0"/>
              <w:pageBreakBefore w:val="0"/>
              <w:widowControl/>
              <w:kinsoku/>
              <w:wordWrap/>
              <w:overflowPunct/>
              <w:topLinePunct w:val="0"/>
              <w:autoSpaceDE/>
              <w:autoSpaceDN/>
              <w:bidi w:val="0"/>
              <w:adjustRightInd/>
              <w:snapToGrid/>
              <w:spacing w:line="400" w:lineRule="exact"/>
              <w:textAlignment w:val="auto"/>
              <w:rPr>
                <w:rFonts w:ascii="仿宋_GB2312" w:hAnsi="黑体" w:eastAsia="仿宋_GB2312"/>
                <w:color w:val="auto"/>
                <w:kern w:val="0"/>
                <w:szCs w:val="21"/>
              </w:rPr>
            </w:pPr>
            <w:r>
              <w:rPr>
                <w:rFonts w:hint="eastAsia" w:ascii="仿宋_GB2312" w:hAnsi="黑体" w:eastAsia="仿宋_GB2312"/>
                <w:color w:val="auto"/>
                <w:kern w:val="0"/>
                <w:szCs w:val="21"/>
              </w:rPr>
              <w:t>4.</w:t>
            </w:r>
            <w:bookmarkStart w:id="3" w:name="_Hlk66974290"/>
            <w:r>
              <w:rPr>
                <w:rFonts w:hint="eastAsia" w:ascii="仿宋_GB2312" w:hAnsi="黑体" w:eastAsia="仿宋_GB2312"/>
                <w:color w:val="auto"/>
                <w:kern w:val="0"/>
                <w:szCs w:val="21"/>
              </w:rPr>
              <w:t>保护第三方合法权益</w:t>
            </w:r>
            <w:bookmarkEnd w:id="3"/>
          </w:p>
        </w:tc>
        <w:tc>
          <w:tcPr>
            <w:tcW w:w="829" w:type="dxa"/>
            <w:noWrap w:val="0"/>
            <w:tcMar>
              <w:left w:w="108" w:type="dxa"/>
              <w:right w:w="108" w:type="dxa"/>
            </w:tcMar>
            <w:vAlign w:val="center"/>
          </w:tcPr>
          <w:p w14:paraId="683B32E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567" w:type="dxa"/>
            <w:noWrap w:val="0"/>
            <w:tcMar>
              <w:left w:w="108" w:type="dxa"/>
              <w:right w:w="108" w:type="dxa"/>
            </w:tcMar>
            <w:vAlign w:val="center"/>
          </w:tcPr>
          <w:p w14:paraId="25327A1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567" w:type="dxa"/>
            <w:noWrap w:val="0"/>
            <w:tcMar>
              <w:left w:w="108" w:type="dxa"/>
              <w:right w:w="108" w:type="dxa"/>
            </w:tcMar>
            <w:vAlign w:val="center"/>
          </w:tcPr>
          <w:p w14:paraId="7B5237A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731" w:type="dxa"/>
            <w:noWrap w:val="0"/>
            <w:tcMar>
              <w:left w:w="108" w:type="dxa"/>
              <w:right w:w="108" w:type="dxa"/>
            </w:tcMar>
            <w:vAlign w:val="center"/>
          </w:tcPr>
          <w:p w14:paraId="183A628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708" w:type="dxa"/>
            <w:noWrap w:val="0"/>
            <w:tcMar>
              <w:left w:w="108" w:type="dxa"/>
              <w:right w:w="108" w:type="dxa"/>
            </w:tcMar>
            <w:vAlign w:val="center"/>
          </w:tcPr>
          <w:p w14:paraId="4D05213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567" w:type="dxa"/>
            <w:noWrap w:val="0"/>
            <w:tcMar>
              <w:left w:w="108" w:type="dxa"/>
              <w:right w:w="108" w:type="dxa"/>
            </w:tcMar>
            <w:vAlign w:val="center"/>
          </w:tcPr>
          <w:p w14:paraId="1592CD7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851" w:type="dxa"/>
            <w:noWrap w:val="0"/>
            <w:tcMar>
              <w:left w:w="108" w:type="dxa"/>
              <w:right w:w="108" w:type="dxa"/>
            </w:tcMar>
            <w:vAlign w:val="center"/>
          </w:tcPr>
          <w:p w14:paraId="67F6F1F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r>
      <w:tr w14:paraId="27DAA4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13463F7D">
            <w:pPr>
              <w:rPr>
                <w:rFonts w:ascii="黑体" w:hAnsi="黑体" w:eastAsia="黑体"/>
                <w:color w:val="auto"/>
                <w:szCs w:val="21"/>
              </w:rPr>
            </w:pPr>
          </w:p>
        </w:tc>
        <w:tc>
          <w:tcPr>
            <w:tcW w:w="1701" w:type="dxa"/>
            <w:vMerge w:val="continue"/>
            <w:noWrap w:val="0"/>
            <w:tcMar>
              <w:left w:w="108" w:type="dxa"/>
              <w:right w:w="108" w:type="dxa"/>
            </w:tcMar>
            <w:vAlign w:val="center"/>
          </w:tcPr>
          <w:p w14:paraId="675EC2E1">
            <w:pPr>
              <w:keepNext w:val="0"/>
              <w:keepLines w:val="0"/>
              <w:pageBreakBefore w:val="0"/>
              <w:widowControl/>
              <w:kinsoku/>
              <w:wordWrap/>
              <w:overflowPunct/>
              <w:topLinePunct w:val="0"/>
              <w:autoSpaceDE/>
              <w:autoSpaceDN/>
              <w:bidi w:val="0"/>
              <w:adjustRightInd/>
              <w:snapToGrid/>
              <w:spacing w:line="400" w:lineRule="exact"/>
              <w:textAlignment w:val="auto"/>
              <w:rPr>
                <w:rFonts w:ascii="黑体" w:hAnsi="黑体" w:eastAsia="黑体"/>
                <w:color w:val="auto"/>
                <w:szCs w:val="21"/>
              </w:rPr>
            </w:pPr>
          </w:p>
        </w:tc>
        <w:tc>
          <w:tcPr>
            <w:tcW w:w="2976" w:type="dxa"/>
            <w:noWrap w:val="0"/>
            <w:tcMar>
              <w:left w:w="108" w:type="dxa"/>
              <w:right w:w="108" w:type="dxa"/>
            </w:tcMar>
            <w:vAlign w:val="center"/>
          </w:tcPr>
          <w:p w14:paraId="05E85311">
            <w:pPr>
              <w:keepNext w:val="0"/>
              <w:keepLines w:val="0"/>
              <w:pageBreakBefore w:val="0"/>
              <w:widowControl/>
              <w:kinsoku/>
              <w:wordWrap/>
              <w:overflowPunct/>
              <w:topLinePunct w:val="0"/>
              <w:autoSpaceDE/>
              <w:autoSpaceDN/>
              <w:bidi w:val="0"/>
              <w:adjustRightInd/>
              <w:snapToGrid/>
              <w:spacing w:line="400" w:lineRule="exact"/>
              <w:textAlignment w:val="auto"/>
              <w:rPr>
                <w:rFonts w:ascii="仿宋_GB2312" w:hAnsi="黑体" w:eastAsia="仿宋_GB2312"/>
                <w:color w:val="auto"/>
                <w:kern w:val="0"/>
                <w:szCs w:val="21"/>
              </w:rPr>
            </w:pPr>
            <w:r>
              <w:rPr>
                <w:rFonts w:hint="eastAsia" w:ascii="仿宋_GB2312" w:hAnsi="黑体" w:eastAsia="仿宋_GB2312"/>
                <w:color w:val="auto"/>
                <w:kern w:val="0"/>
                <w:szCs w:val="21"/>
              </w:rPr>
              <w:t>5.属于三类内部事务信息</w:t>
            </w:r>
          </w:p>
        </w:tc>
        <w:tc>
          <w:tcPr>
            <w:tcW w:w="829" w:type="dxa"/>
            <w:noWrap w:val="0"/>
            <w:tcMar>
              <w:left w:w="108" w:type="dxa"/>
              <w:right w:w="108" w:type="dxa"/>
            </w:tcMar>
            <w:vAlign w:val="center"/>
          </w:tcPr>
          <w:p w14:paraId="18390BA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567" w:type="dxa"/>
            <w:noWrap w:val="0"/>
            <w:tcMar>
              <w:left w:w="108" w:type="dxa"/>
              <w:right w:w="108" w:type="dxa"/>
            </w:tcMar>
            <w:vAlign w:val="center"/>
          </w:tcPr>
          <w:p w14:paraId="6D3BE09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567" w:type="dxa"/>
            <w:noWrap w:val="0"/>
            <w:tcMar>
              <w:left w:w="108" w:type="dxa"/>
              <w:right w:w="108" w:type="dxa"/>
            </w:tcMar>
            <w:vAlign w:val="center"/>
          </w:tcPr>
          <w:p w14:paraId="451FDDD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731" w:type="dxa"/>
            <w:noWrap w:val="0"/>
            <w:tcMar>
              <w:left w:w="108" w:type="dxa"/>
              <w:right w:w="108" w:type="dxa"/>
            </w:tcMar>
            <w:vAlign w:val="center"/>
          </w:tcPr>
          <w:p w14:paraId="571728D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708" w:type="dxa"/>
            <w:noWrap w:val="0"/>
            <w:tcMar>
              <w:left w:w="108" w:type="dxa"/>
              <w:right w:w="108" w:type="dxa"/>
            </w:tcMar>
            <w:vAlign w:val="center"/>
          </w:tcPr>
          <w:p w14:paraId="4F70D9D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567" w:type="dxa"/>
            <w:noWrap w:val="0"/>
            <w:tcMar>
              <w:left w:w="108" w:type="dxa"/>
              <w:right w:w="108" w:type="dxa"/>
            </w:tcMar>
            <w:vAlign w:val="center"/>
          </w:tcPr>
          <w:p w14:paraId="0D567C8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851" w:type="dxa"/>
            <w:noWrap w:val="0"/>
            <w:tcMar>
              <w:left w:w="108" w:type="dxa"/>
              <w:right w:w="108" w:type="dxa"/>
            </w:tcMar>
            <w:vAlign w:val="center"/>
          </w:tcPr>
          <w:p w14:paraId="7B9C3B6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r>
      <w:tr w14:paraId="0B8643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845A453">
            <w:pPr>
              <w:rPr>
                <w:rFonts w:ascii="黑体" w:hAnsi="黑体" w:eastAsia="黑体"/>
                <w:color w:val="auto"/>
                <w:szCs w:val="21"/>
              </w:rPr>
            </w:pPr>
          </w:p>
        </w:tc>
        <w:tc>
          <w:tcPr>
            <w:tcW w:w="1701" w:type="dxa"/>
            <w:vMerge w:val="continue"/>
            <w:noWrap w:val="0"/>
            <w:tcMar>
              <w:left w:w="108" w:type="dxa"/>
              <w:right w:w="108" w:type="dxa"/>
            </w:tcMar>
            <w:vAlign w:val="center"/>
          </w:tcPr>
          <w:p w14:paraId="730883A5">
            <w:pPr>
              <w:keepNext w:val="0"/>
              <w:keepLines w:val="0"/>
              <w:pageBreakBefore w:val="0"/>
              <w:widowControl/>
              <w:kinsoku/>
              <w:wordWrap/>
              <w:overflowPunct/>
              <w:topLinePunct w:val="0"/>
              <w:autoSpaceDE/>
              <w:autoSpaceDN/>
              <w:bidi w:val="0"/>
              <w:adjustRightInd/>
              <w:snapToGrid/>
              <w:spacing w:line="400" w:lineRule="exact"/>
              <w:textAlignment w:val="auto"/>
              <w:rPr>
                <w:rFonts w:ascii="黑体" w:hAnsi="黑体" w:eastAsia="黑体"/>
                <w:color w:val="auto"/>
                <w:szCs w:val="21"/>
              </w:rPr>
            </w:pPr>
          </w:p>
        </w:tc>
        <w:tc>
          <w:tcPr>
            <w:tcW w:w="2976" w:type="dxa"/>
            <w:noWrap w:val="0"/>
            <w:tcMar>
              <w:left w:w="108" w:type="dxa"/>
              <w:right w:w="108" w:type="dxa"/>
            </w:tcMar>
            <w:vAlign w:val="center"/>
          </w:tcPr>
          <w:p w14:paraId="670F98FE">
            <w:pPr>
              <w:keepNext w:val="0"/>
              <w:keepLines w:val="0"/>
              <w:pageBreakBefore w:val="0"/>
              <w:widowControl/>
              <w:kinsoku/>
              <w:wordWrap/>
              <w:overflowPunct/>
              <w:topLinePunct w:val="0"/>
              <w:autoSpaceDE/>
              <w:autoSpaceDN/>
              <w:bidi w:val="0"/>
              <w:adjustRightInd/>
              <w:snapToGrid/>
              <w:spacing w:line="400" w:lineRule="exact"/>
              <w:textAlignment w:val="auto"/>
              <w:rPr>
                <w:rFonts w:ascii="仿宋_GB2312" w:hAnsi="黑体" w:eastAsia="仿宋_GB2312"/>
                <w:color w:val="auto"/>
                <w:kern w:val="0"/>
                <w:szCs w:val="21"/>
              </w:rPr>
            </w:pPr>
            <w:r>
              <w:rPr>
                <w:rFonts w:hint="eastAsia" w:ascii="仿宋_GB2312" w:hAnsi="黑体" w:eastAsia="仿宋_GB2312"/>
                <w:color w:val="auto"/>
                <w:kern w:val="0"/>
                <w:szCs w:val="21"/>
              </w:rPr>
              <w:t>6.</w:t>
            </w:r>
            <w:bookmarkStart w:id="4" w:name="_Hlk66974555"/>
            <w:r>
              <w:rPr>
                <w:rFonts w:hint="eastAsia" w:ascii="仿宋_GB2312" w:hAnsi="黑体" w:eastAsia="仿宋_GB2312"/>
                <w:color w:val="auto"/>
                <w:kern w:val="0"/>
                <w:szCs w:val="21"/>
              </w:rPr>
              <w:t>属于四类过程性信息</w:t>
            </w:r>
            <w:bookmarkEnd w:id="4"/>
          </w:p>
        </w:tc>
        <w:tc>
          <w:tcPr>
            <w:tcW w:w="829" w:type="dxa"/>
            <w:noWrap w:val="0"/>
            <w:tcMar>
              <w:left w:w="108" w:type="dxa"/>
              <w:right w:w="108" w:type="dxa"/>
            </w:tcMar>
            <w:vAlign w:val="center"/>
          </w:tcPr>
          <w:p w14:paraId="7ED9C56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567" w:type="dxa"/>
            <w:noWrap w:val="0"/>
            <w:tcMar>
              <w:left w:w="108" w:type="dxa"/>
              <w:right w:w="108" w:type="dxa"/>
            </w:tcMar>
            <w:vAlign w:val="center"/>
          </w:tcPr>
          <w:p w14:paraId="01ECF82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567" w:type="dxa"/>
            <w:noWrap w:val="0"/>
            <w:tcMar>
              <w:left w:w="108" w:type="dxa"/>
              <w:right w:w="108" w:type="dxa"/>
            </w:tcMar>
            <w:vAlign w:val="center"/>
          </w:tcPr>
          <w:p w14:paraId="6AA3AD1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731" w:type="dxa"/>
            <w:noWrap w:val="0"/>
            <w:tcMar>
              <w:left w:w="108" w:type="dxa"/>
              <w:right w:w="108" w:type="dxa"/>
            </w:tcMar>
            <w:vAlign w:val="center"/>
          </w:tcPr>
          <w:p w14:paraId="4D87C97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708" w:type="dxa"/>
            <w:noWrap w:val="0"/>
            <w:tcMar>
              <w:left w:w="108" w:type="dxa"/>
              <w:right w:w="108" w:type="dxa"/>
            </w:tcMar>
            <w:vAlign w:val="center"/>
          </w:tcPr>
          <w:p w14:paraId="6ABD8CA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567" w:type="dxa"/>
            <w:noWrap w:val="0"/>
            <w:tcMar>
              <w:left w:w="108" w:type="dxa"/>
              <w:right w:w="108" w:type="dxa"/>
            </w:tcMar>
            <w:vAlign w:val="center"/>
          </w:tcPr>
          <w:p w14:paraId="5AA92BE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851" w:type="dxa"/>
            <w:noWrap w:val="0"/>
            <w:tcMar>
              <w:left w:w="108" w:type="dxa"/>
              <w:right w:w="108" w:type="dxa"/>
            </w:tcMar>
            <w:vAlign w:val="center"/>
          </w:tcPr>
          <w:p w14:paraId="0F26791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r>
      <w:tr w14:paraId="56F96A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6A10C8C">
            <w:pPr>
              <w:rPr>
                <w:rFonts w:ascii="黑体" w:hAnsi="黑体" w:eastAsia="黑体"/>
                <w:color w:val="auto"/>
                <w:szCs w:val="21"/>
              </w:rPr>
            </w:pPr>
          </w:p>
        </w:tc>
        <w:tc>
          <w:tcPr>
            <w:tcW w:w="1701" w:type="dxa"/>
            <w:vMerge w:val="continue"/>
            <w:noWrap w:val="0"/>
            <w:tcMar>
              <w:left w:w="108" w:type="dxa"/>
              <w:right w:w="108" w:type="dxa"/>
            </w:tcMar>
            <w:vAlign w:val="center"/>
          </w:tcPr>
          <w:p w14:paraId="0458D707">
            <w:pPr>
              <w:keepNext w:val="0"/>
              <w:keepLines w:val="0"/>
              <w:pageBreakBefore w:val="0"/>
              <w:widowControl/>
              <w:kinsoku/>
              <w:wordWrap/>
              <w:overflowPunct/>
              <w:topLinePunct w:val="0"/>
              <w:autoSpaceDE/>
              <w:autoSpaceDN/>
              <w:bidi w:val="0"/>
              <w:adjustRightInd/>
              <w:snapToGrid/>
              <w:spacing w:line="400" w:lineRule="exact"/>
              <w:textAlignment w:val="auto"/>
              <w:rPr>
                <w:rFonts w:ascii="黑体" w:hAnsi="黑体" w:eastAsia="黑体"/>
                <w:color w:val="auto"/>
                <w:szCs w:val="21"/>
              </w:rPr>
            </w:pPr>
          </w:p>
        </w:tc>
        <w:tc>
          <w:tcPr>
            <w:tcW w:w="2976" w:type="dxa"/>
            <w:noWrap w:val="0"/>
            <w:tcMar>
              <w:left w:w="108" w:type="dxa"/>
              <w:right w:w="108" w:type="dxa"/>
            </w:tcMar>
            <w:vAlign w:val="center"/>
          </w:tcPr>
          <w:p w14:paraId="7E2A6DE8">
            <w:pPr>
              <w:keepNext w:val="0"/>
              <w:keepLines w:val="0"/>
              <w:pageBreakBefore w:val="0"/>
              <w:widowControl/>
              <w:kinsoku/>
              <w:wordWrap/>
              <w:overflowPunct/>
              <w:topLinePunct w:val="0"/>
              <w:autoSpaceDE/>
              <w:autoSpaceDN/>
              <w:bidi w:val="0"/>
              <w:adjustRightInd/>
              <w:snapToGrid/>
              <w:spacing w:line="400" w:lineRule="exact"/>
              <w:textAlignment w:val="auto"/>
              <w:rPr>
                <w:rFonts w:ascii="仿宋_GB2312" w:hAnsi="黑体" w:eastAsia="仿宋_GB2312"/>
                <w:color w:val="auto"/>
                <w:kern w:val="0"/>
                <w:szCs w:val="21"/>
              </w:rPr>
            </w:pPr>
            <w:r>
              <w:rPr>
                <w:rFonts w:hint="eastAsia" w:ascii="仿宋_GB2312" w:hAnsi="黑体" w:eastAsia="仿宋_GB2312"/>
                <w:color w:val="auto"/>
                <w:kern w:val="0"/>
                <w:szCs w:val="21"/>
              </w:rPr>
              <w:t>7.属于行政执法案卷</w:t>
            </w:r>
          </w:p>
        </w:tc>
        <w:tc>
          <w:tcPr>
            <w:tcW w:w="829" w:type="dxa"/>
            <w:noWrap w:val="0"/>
            <w:tcMar>
              <w:left w:w="108" w:type="dxa"/>
              <w:right w:w="108" w:type="dxa"/>
            </w:tcMar>
            <w:vAlign w:val="center"/>
          </w:tcPr>
          <w:p w14:paraId="7B7027F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567" w:type="dxa"/>
            <w:noWrap w:val="0"/>
            <w:tcMar>
              <w:left w:w="108" w:type="dxa"/>
              <w:right w:w="108" w:type="dxa"/>
            </w:tcMar>
            <w:vAlign w:val="center"/>
          </w:tcPr>
          <w:p w14:paraId="4C6609D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567" w:type="dxa"/>
            <w:noWrap w:val="0"/>
            <w:tcMar>
              <w:left w:w="108" w:type="dxa"/>
              <w:right w:w="108" w:type="dxa"/>
            </w:tcMar>
            <w:vAlign w:val="center"/>
          </w:tcPr>
          <w:p w14:paraId="67826BF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731" w:type="dxa"/>
            <w:noWrap w:val="0"/>
            <w:tcMar>
              <w:left w:w="108" w:type="dxa"/>
              <w:right w:w="108" w:type="dxa"/>
            </w:tcMar>
            <w:vAlign w:val="center"/>
          </w:tcPr>
          <w:p w14:paraId="1C9E615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708" w:type="dxa"/>
            <w:noWrap w:val="0"/>
            <w:tcMar>
              <w:left w:w="108" w:type="dxa"/>
              <w:right w:w="108" w:type="dxa"/>
            </w:tcMar>
            <w:vAlign w:val="center"/>
          </w:tcPr>
          <w:p w14:paraId="77D12BF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567" w:type="dxa"/>
            <w:noWrap w:val="0"/>
            <w:tcMar>
              <w:left w:w="108" w:type="dxa"/>
              <w:right w:w="108" w:type="dxa"/>
            </w:tcMar>
            <w:vAlign w:val="center"/>
          </w:tcPr>
          <w:p w14:paraId="2E4FDC6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851" w:type="dxa"/>
            <w:noWrap w:val="0"/>
            <w:tcMar>
              <w:left w:w="108" w:type="dxa"/>
              <w:right w:w="108" w:type="dxa"/>
            </w:tcMar>
            <w:vAlign w:val="center"/>
          </w:tcPr>
          <w:p w14:paraId="5297752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r>
      <w:tr w14:paraId="2F6BBD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EEB0363">
            <w:pPr>
              <w:rPr>
                <w:rFonts w:ascii="黑体" w:hAnsi="黑体" w:eastAsia="黑体"/>
                <w:color w:val="auto"/>
                <w:szCs w:val="21"/>
              </w:rPr>
            </w:pPr>
          </w:p>
        </w:tc>
        <w:tc>
          <w:tcPr>
            <w:tcW w:w="1701" w:type="dxa"/>
            <w:vMerge w:val="continue"/>
            <w:noWrap w:val="0"/>
            <w:tcMar>
              <w:left w:w="108" w:type="dxa"/>
              <w:right w:w="108" w:type="dxa"/>
            </w:tcMar>
            <w:vAlign w:val="center"/>
          </w:tcPr>
          <w:p w14:paraId="5F2CC705">
            <w:pPr>
              <w:keepNext w:val="0"/>
              <w:keepLines w:val="0"/>
              <w:pageBreakBefore w:val="0"/>
              <w:widowControl/>
              <w:kinsoku/>
              <w:wordWrap/>
              <w:overflowPunct/>
              <w:topLinePunct w:val="0"/>
              <w:autoSpaceDE/>
              <w:autoSpaceDN/>
              <w:bidi w:val="0"/>
              <w:adjustRightInd/>
              <w:snapToGrid/>
              <w:spacing w:line="400" w:lineRule="exact"/>
              <w:textAlignment w:val="auto"/>
              <w:rPr>
                <w:rFonts w:ascii="黑体" w:hAnsi="黑体" w:eastAsia="黑体"/>
                <w:color w:val="auto"/>
                <w:szCs w:val="21"/>
              </w:rPr>
            </w:pPr>
          </w:p>
        </w:tc>
        <w:tc>
          <w:tcPr>
            <w:tcW w:w="2976" w:type="dxa"/>
            <w:noWrap w:val="0"/>
            <w:tcMar>
              <w:left w:w="108" w:type="dxa"/>
              <w:right w:w="108" w:type="dxa"/>
            </w:tcMar>
            <w:vAlign w:val="center"/>
          </w:tcPr>
          <w:p w14:paraId="7576D9E1">
            <w:pPr>
              <w:keepNext w:val="0"/>
              <w:keepLines w:val="0"/>
              <w:pageBreakBefore w:val="0"/>
              <w:widowControl/>
              <w:kinsoku/>
              <w:wordWrap/>
              <w:overflowPunct/>
              <w:topLinePunct w:val="0"/>
              <w:autoSpaceDE/>
              <w:autoSpaceDN/>
              <w:bidi w:val="0"/>
              <w:adjustRightInd/>
              <w:snapToGrid/>
              <w:spacing w:line="400" w:lineRule="exact"/>
              <w:textAlignment w:val="auto"/>
              <w:rPr>
                <w:rFonts w:ascii="仿宋_GB2312" w:hAnsi="黑体" w:eastAsia="仿宋_GB2312"/>
                <w:color w:val="auto"/>
                <w:kern w:val="0"/>
                <w:szCs w:val="21"/>
              </w:rPr>
            </w:pPr>
            <w:r>
              <w:rPr>
                <w:rFonts w:hint="eastAsia" w:ascii="仿宋_GB2312" w:hAnsi="黑体" w:eastAsia="仿宋_GB2312"/>
                <w:color w:val="auto"/>
                <w:kern w:val="0"/>
                <w:szCs w:val="21"/>
              </w:rPr>
              <w:t>8.</w:t>
            </w:r>
            <w:bookmarkStart w:id="5" w:name="_Hlk66975211"/>
            <w:r>
              <w:rPr>
                <w:rFonts w:hint="eastAsia" w:ascii="仿宋_GB2312" w:hAnsi="黑体" w:eastAsia="仿宋_GB2312"/>
                <w:color w:val="auto"/>
                <w:kern w:val="0"/>
                <w:szCs w:val="21"/>
              </w:rPr>
              <w:t>属于行政查询事项</w:t>
            </w:r>
            <w:bookmarkEnd w:id="5"/>
          </w:p>
        </w:tc>
        <w:tc>
          <w:tcPr>
            <w:tcW w:w="829" w:type="dxa"/>
            <w:noWrap w:val="0"/>
            <w:tcMar>
              <w:left w:w="108" w:type="dxa"/>
              <w:right w:w="108" w:type="dxa"/>
            </w:tcMar>
            <w:vAlign w:val="center"/>
          </w:tcPr>
          <w:p w14:paraId="31145FD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567" w:type="dxa"/>
            <w:noWrap w:val="0"/>
            <w:tcMar>
              <w:left w:w="108" w:type="dxa"/>
              <w:right w:w="108" w:type="dxa"/>
            </w:tcMar>
            <w:vAlign w:val="center"/>
          </w:tcPr>
          <w:p w14:paraId="4DB46CC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567" w:type="dxa"/>
            <w:noWrap w:val="0"/>
            <w:tcMar>
              <w:left w:w="108" w:type="dxa"/>
              <w:right w:w="108" w:type="dxa"/>
            </w:tcMar>
            <w:vAlign w:val="center"/>
          </w:tcPr>
          <w:p w14:paraId="3B17393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731" w:type="dxa"/>
            <w:noWrap w:val="0"/>
            <w:tcMar>
              <w:left w:w="108" w:type="dxa"/>
              <w:right w:w="108" w:type="dxa"/>
            </w:tcMar>
            <w:vAlign w:val="center"/>
          </w:tcPr>
          <w:p w14:paraId="0931C38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708" w:type="dxa"/>
            <w:noWrap w:val="0"/>
            <w:tcMar>
              <w:left w:w="108" w:type="dxa"/>
              <w:right w:w="108" w:type="dxa"/>
            </w:tcMar>
            <w:vAlign w:val="center"/>
          </w:tcPr>
          <w:p w14:paraId="667AEB6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567" w:type="dxa"/>
            <w:noWrap w:val="0"/>
            <w:tcMar>
              <w:left w:w="108" w:type="dxa"/>
              <w:right w:w="108" w:type="dxa"/>
            </w:tcMar>
            <w:vAlign w:val="center"/>
          </w:tcPr>
          <w:p w14:paraId="0325A4E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851" w:type="dxa"/>
            <w:noWrap w:val="0"/>
            <w:tcMar>
              <w:left w:w="108" w:type="dxa"/>
              <w:right w:w="108" w:type="dxa"/>
            </w:tcMar>
            <w:vAlign w:val="center"/>
          </w:tcPr>
          <w:p w14:paraId="7E203D4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r>
      <w:tr w14:paraId="60CBA7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72" w:hRule="exact"/>
          <w:jc w:val="center"/>
        </w:trPr>
        <w:tc>
          <w:tcPr>
            <w:tcW w:w="416" w:type="dxa"/>
            <w:vMerge w:val="continue"/>
            <w:noWrap w:val="0"/>
            <w:tcMar>
              <w:left w:w="108" w:type="dxa"/>
              <w:right w:w="108" w:type="dxa"/>
            </w:tcMar>
            <w:vAlign w:val="center"/>
          </w:tcPr>
          <w:p w14:paraId="4F526A78">
            <w:pPr>
              <w:rPr>
                <w:rFonts w:ascii="黑体" w:hAnsi="黑体" w:eastAsia="黑体"/>
                <w:color w:val="auto"/>
                <w:szCs w:val="21"/>
              </w:rPr>
            </w:pPr>
          </w:p>
        </w:tc>
        <w:tc>
          <w:tcPr>
            <w:tcW w:w="1701" w:type="dxa"/>
            <w:vMerge w:val="restart"/>
            <w:noWrap w:val="0"/>
            <w:tcMar>
              <w:left w:w="108" w:type="dxa"/>
              <w:right w:w="108" w:type="dxa"/>
            </w:tcMar>
            <w:vAlign w:val="center"/>
          </w:tcPr>
          <w:p w14:paraId="44B91134">
            <w:pPr>
              <w:keepNext w:val="0"/>
              <w:keepLines w:val="0"/>
              <w:pageBreakBefore w:val="0"/>
              <w:widowControl/>
              <w:kinsoku/>
              <w:wordWrap/>
              <w:overflowPunct/>
              <w:topLinePunct w:val="0"/>
              <w:autoSpaceDE/>
              <w:autoSpaceDN/>
              <w:bidi w:val="0"/>
              <w:adjustRightInd/>
              <w:snapToGrid/>
              <w:spacing w:line="400" w:lineRule="exact"/>
              <w:ind w:left="-107" w:leftChars="-51"/>
              <w:textAlignment w:val="auto"/>
              <w:rPr>
                <w:rFonts w:ascii="黑体" w:hAnsi="黑体" w:eastAsia="黑体"/>
                <w:color w:val="auto"/>
                <w:szCs w:val="21"/>
              </w:rPr>
            </w:pPr>
            <w:r>
              <w:rPr>
                <w:rFonts w:hint="eastAsia" w:ascii="黑体" w:hAnsi="黑体" w:eastAsia="黑体"/>
                <w:color w:val="auto"/>
                <w:kern w:val="0"/>
                <w:szCs w:val="21"/>
              </w:rPr>
              <w:t>（四）无法提供</w:t>
            </w:r>
          </w:p>
        </w:tc>
        <w:tc>
          <w:tcPr>
            <w:tcW w:w="2976" w:type="dxa"/>
            <w:noWrap w:val="0"/>
            <w:tcMar>
              <w:left w:w="108" w:type="dxa"/>
              <w:right w:w="108" w:type="dxa"/>
            </w:tcMar>
            <w:vAlign w:val="center"/>
          </w:tcPr>
          <w:p w14:paraId="404CF31E">
            <w:pPr>
              <w:keepNext w:val="0"/>
              <w:keepLines w:val="0"/>
              <w:pageBreakBefore w:val="0"/>
              <w:widowControl/>
              <w:kinsoku/>
              <w:wordWrap/>
              <w:overflowPunct/>
              <w:topLinePunct w:val="0"/>
              <w:autoSpaceDE/>
              <w:autoSpaceDN/>
              <w:bidi w:val="0"/>
              <w:adjustRightInd/>
              <w:snapToGrid/>
              <w:spacing w:line="400" w:lineRule="exact"/>
              <w:textAlignment w:val="auto"/>
              <w:rPr>
                <w:rFonts w:ascii="仿宋_GB2312" w:hAnsi="黑体" w:eastAsia="仿宋_GB2312"/>
                <w:color w:val="auto"/>
                <w:kern w:val="0"/>
                <w:szCs w:val="21"/>
              </w:rPr>
            </w:pPr>
            <w:r>
              <w:rPr>
                <w:rFonts w:hint="eastAsia" w:ascii="仿宋_GB2312" w:hAnsi="黑体" w:eastAsia="仿宋_GB2312"/>
                <w:color w:val="auto"/>
                <w:kern w:val="0"/>
                <w:szCs w:val="21"/>
              </w:rPr>
              <w:t>1.本机关不掌握相关政府信息</w:t>
            </w:r>
          </w:p>
        </w:tc>
        <w:tc>
          <w:tcPr>
            <w:tcW w:w="829" w:type="dxa"/>
            <w:noWrap w:val="0"/>
            <w:tcMar>
              <w:left w:w="108" w:type="dxa"/>
              <w:right w:w="108" w:type="dxa"/>
            </w:tcMar>
            <w:vAlign w:val="center"/>
          </w:tcPr>
          <w:p w14:paraId="32E7B2B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10</w:t>
            </w:r>
          </w:p>
        </w:tc>
        <w:tc>
          <w:tcPr>
            <w:tcW w:w="567" w:type="dxa"/>
            <w:noWrap w:val="0"/>
            <w:tcMar>
              <w:left w:w="108" w:type="dxa"/>
              <w:right w:w="108" w:type="dxa"/>
            </w:tcMar>
            <w:vAlign w:val="center"/>
          </w:tcPr>
          <w:p w14:paraId="7A47D06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567" w:type="dxa"/>
            <w:noWrap w:val="0"/>
            <w:tcMar>
              <w:left w:w="108" w:type="dxa"/>
              <w:right w:w="108" w:type="dxa"/>
            </w:tcMar>
            <w:vAlign w:val="center"/>
          </w:tcPr>
          <w:p w14:paraId="483AC46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731" w:type="dxa"/>
            <w:noWrap w:val="0"/>
            <w:tcMar>
              <w:left w:w="108" w:type="dxa"/>
              <w:right w:w="108" w:type="dxa"/>
            </w:tcMar>
            <w:vAlign w:val="center"/>
          </w:tcPr>
          <w:p w14:paraId="0902FB6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708" w:type="dxa"/>
            <w:noWrap w:val="0"/>
            <w:tcMar>
              <w:left w:w="108" w:type="dxa"/>
              <w:right w:w="108" w:type="dxa"/>
            </w:tcMar>
            <w:vAlign w:val="center"/>
          </w:tcPr>
          <w:p w14:paraId="0F29E9A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567" w:type="dxa"/>
            <w:noWrap w:val="0"/>
            <w:tcMar>
              <w:left w:w="108" w:type="dxa"/>
              <w:right w:w="108" w:type="dxa"/>
            </w:tcMar>
            <w:vAlign w:val="center"/>
          </w:tcPr>
          <w:p w14:paraId="22912E0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851" w:type="dxa"/>
            <w:noWrap w:val="0"/>
            <w:tcMar>
              <w:left w:w="108" w:type="dxa"/>
              <w:right w:w="108" w:type="dxa"/>
            </w:tcMar>
            <w:vAlign w:val="center"/>
          </w:tcPr>
          <w:p w14:paraId="30C9A16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10</w:t>
            </w:r>
          </w:p>
        </w:tc>
      </w:tr>
      <w:tr w14:paraId="3D56CA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AF94332">
            <w:pPr>
              <w:rPr>
                <w:rFonts w:ascii="黑体" w:hAnsi="黑体" w:eastAsia="黑体"/>
                <w:color w:val="auto"/>
                <w:szCs w:val="21"/>
              </w:rPr>
            </w:pPr>
          </w:p>
        </w:tc>
        <w:tc>
          <w:tcPr>
            <w:tcW w:w="1701" w:type="dxa"/>
            <w:vMerge w:val="continue"/>
            <w:noWrap w:val="0"/>
            <w:tcMar>
              <w:left w:w="108" w:type="dxa"/>
              <w:right w:w="108" w:type="dxa"/>
            </w:tcMar>
            <w:vAlign w:val="center"/>
          </w:tcPr>
          <w:p w14:paraId="2D9E26F1">
            <w:pPr>
              <w:keepNext w:val="0"/>
              <w:keepLines w:val="0"/>
              <w:pageBreakBefore w:val="0"/>
              <w:widowControl/>
              <w:kinsoku/>
              <w:wordWrap/>
              <w:overflowPunct/>
              <w:topLinePunct w:val="0"/>
              <w:autoSpaceDE/>
              <w:autoSpaceDN/>
              <w:bidi w:val="0"/>
              <w:adjustRightInd/>
              <w:snapToGrid/>
              <w:spacing w:line="400" w:lineRule="exact"/>
              <w:ind w:left="-107" w:leftChars="-51"/>
              <w:textAlignment w:val="auto"/>
              <w:rPr>
                <w:rFonts w:ascii="黑体" w:hAnsi="黑体" w:eastAsia="黑体"/>
                <w:color w:val="auto"/>
                <w:szCs w:val="21"/>
              </w:rPr>
            </w:pPr>
          </w:p>
        </w:tc>
        <w:tc>
          <w:tcPr>
            <w:tcW w:w="2976" w:type="dxa"/>
            <w:noWrap w:val="0"/>
            <w:tcMar>
              <w:left w:w="108" w:type="dxa"/>
              <w:right w:w="108" w:type="dxa"/>
            </w:tcMar>
            <w:vAlign w:val="center"/>
          </w:tcPr>
          <w:p w14:paraId="150B4373">
            <w:pPr>
              <w:keepNext w:val="0"/>
              <w:keepLines w:val="0"/>
              <w:pageBreakBefore w:val="0"/>
              <w:widowControl/>
              <w:kinsoku/>
              <w:wordWrap/>
              <w:overflowPunct/>
              <w:topLinePunct w:val="0"/>
              <w:autoSpaceDE/>
              <w:autoSpaceDN/>
              <w:bidi w:val="0"/>
              <w:adjustRightInd/>
              <w:snapToGrid/>
              <w:spacing w:line="400" w:lineRule="exact"/>
              <w:textAlignment w:val="auto"/>
              <w:rPr>
                <w:rFonts w:ascii="仿宋_GB2312" w:hAnsi="黑体" w:eastAsia="仿宋_GB2312"/>
                <w:color w:val="auto"/>
                <w:kern w:val="0"/>
                <w:szCs w:val="21"/>
              </w:rPr>
            </w:pPr>
            <w:r>
              <w:rPr>
                <w:rFonts w:hint="eastAsia" w:ascii="仿宋_GB2312" w:hAnsi="黑体" w:eastAsia="仿宋_GB2312"/>
                <w:color w:val="auto"/>
                <w:kern w:val="0"/>
                <w:szCs w:val="21"/>
              </w:rPr>
              <w:t>2.</w:t>
            </w:r>
            <w:bookmarkStart w:id="6" w:name="_Hlk66975392"/>
            <w:r>
              <w:rPr>
                <w:rFonts w:hint="eastAsia" w:ascii="仿宋_GB2312" w:hAnsi="黑体" w:eastAsia="仿宋_GB2312"/>
                <w:color w:val="auto"/>
                <w:kern w:val="0"/>
                <w:szCs w:val="21"/>
              </w:rPr>
              <w:t>没有现成信息需要另行制作</w:t>
            </w:r>
            <w:bookmarkEnd w:id="6"/>
          </w:p>
        </w:tc>
        <w:tc>
          <w:tcPr>
            <w:tcW w:w="829" w:type="dxa"/>
            <w:noWrap w:val="0"/>
            <w:tcMar>
              <w:left w:w="108" w:type="dxa"/>
              <w:right w:w="108" w:type="dxa"/>
            </w:tcMar>
            <w:vAlign w:val="center"/>
          </w:tcPr>
          <w:p w14:paraId="6AD77FB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567" w:type="dxa"/>
            <w:noWrap w:val="0"/>
            <w:tcMar>
              <w:left w:w="108" w:type="dxa"/>
              <w:right w:w="108" w:type="dxa"/>
            </w:tcMar>
            <w:vAlign w:val="center"/>
          </w:tcPr>
          <w:p w14:paraId="3E3769E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567" w:type="dxa"/>
            <w:noWrap w:val="0"/>
            <w:tcMar>
              <w:left w:w="108" w:type="dxa"/>
              <w:right w:w="108" w:type="dxa"/>
            </w:tcMar>
            <w:vAlign w:val="center"/>
          </w:tcPr>
          <w:p w14:paraId="2F7241E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731" w:type="dxa"/>
            <w:noWrap w:val="0"/>
            <w:tcMar>
              <w:left w:w="108" w:type="dxa"/>
              <w:right w:w="108" w:type="dxa"/>
            </w:tcMar>
            <w:vAlign w:val="center"/>
          </w:tcPr>
          <w:p w14:paraId="3C785BB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708" w:type="dxa"/>
            <w:noWrap w:val="0"/>
            <w:tcMar>
              <w:left w:w="108" w:type="dxa"/>
              <w:right w:w="108" w:type="dxa"/>
            </w:tcMar>
            <w:vAlign w:val="center"/>
          </w:tcPr>
          <w:p w14:paraId="3E37433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567" w:type="dxa"/>
            <w:noWrap w:val="0"/>
            <w:tcMar>
              <w:left w:w="108" w:type="dxa"/>
              <w:right w:w="108" w:type="dxa"/>
            </w:tcMar>
            <w:vAlign w:val="center"/>
          </w:tcPr>
          <w:p w14:paraId="0BF9FA2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851" w:type="dxa"/>
            <w:noWrap w:val="0"/>
            <w:tcMar>
              <w:left w:w="108" w:type="dxa"/>
              <w:right w:w="108" w:type="dxa"/>
            </w:tcMar>
            <w:vAlign w:val="center"/>
          </w:tcPr>
          <w:p w14:paraId="0A8562D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r>
      <w:tr w14:paraId="0C21FD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52" w:hRule="exact"/>
          <w:jc w:val="center"/>
        </w:trPr>
        <w:tc>
          <w:tcPr>
            <w:tcW w:w="416" w:type="dxa"/>
            <w:vMerge w:val="continue"/>
            <w:noWrap w:val="0"/>
            <w:tcMar>
              <w:left w:w="108" w:type="dxa"/>
              <w:right w:w="108" w:type="dxa"/>
            </w:tcMar>
            <w:vAlign w:val="center"/>
          </w:tcPr>
          <w:p w14:paraId="2C3E7A27">
            <w:pPr>
              <w:rPr>
                <w:rFonts w:ascii="黑体" w:hAnsi="黑体" w:eastAsia="黑体"/>
                <w:color w:val="auto"/>
                <w:szCs w:val="21"/>
              </w:rPr>
            </w:pPr>
          </w:p>
        </w:tc>
        <w:tc>
          <w:tcPr>
            <w:tcW w:w="1701" w:type="dxa"/>
            <w:vMerge w:val="continue"/>
            <w:noWrap w:val="0"/>
            <w:tcMar>
              <w:left w:w="108" w:type="dxa"/>
              <w:right w:w="108" w:type="dxa"/>
            </w:tcMar>
            <w:vAlign w:val="center"/>
          </w:tcPr>
          <w:p w14:paraId="697ACC9F">
            <w:pPr>
              <w:keepNext w:val="0"/>
              <w:keepLines w:val="0"/>
              <w:pageBreakBefore w:val="0"/>
              <w:widowControl/>
              <w:kinsoku/>
              <w:wordWrap/>
              <w:overflowPunct/>
              <w:topLinePunct w:val="0"/>
              <w:autoSpaceDE/>
              <w:autoSpaceDN/>
              <w:bidi w:val="0"/>
              <w:adjustRightInd/>
              <w:snapToGrid/>
              <w:spacing w:line="400" w:lineRule="exact"/>
              <w:ind w:left="-107" w:leftChars="-51"/>
              <w:textAlignment w:val="auto"/>
              <w:rPr>
                <w:rFonts w:ascii="黑体" w:hAnsi="黑体" w:eastAsia="黑体"/>
                <w:color w:val="auto"/>
                <w:szCs w:val="21"/>
              </w:rPr>
            </w:pPr>
          </w:p>
        </w:tc>
        <w:tc>
          <w:tcPr>
            <w:tcW w:w="2976" w:type="dxa"/>
            <w:noWrap w:val="0"/>
            <w:tcMar>
              <w:left w:w="108" w:type="dxa"/>
              <w:right w:w="108" w:type="dxa"/>
            </w:tcMar>
            <w:vAlign w:val="center"/>
          </w:tcPr>
          <w:p w14:paraId="5A3630AF">
            <w:pPr>
              <w:keepNext w:val="0"/>
              <w:keepLines w:val="0"/>
              <w:pageBreakBefore w:val="0"/>
              <w:widowControl/>
              <w:kinsoku/>
              <w:wordWrap/>
              <w:overflowPunct/>
              <w:topLinePunct w:val="0"/>
              <w:autoSpaceDE/>
              <w:autoSpaceDN/>
              <w:bidi w:val="0"/>
              <w:adjustRightInd/>
              <w:snapToGrid/>
              <w:spacing w:line="400" w:lineRule="exact"/>
              <w:textAlignment w:val="auto"/>
              <w:rPr>
                <w:rFonts w:ascii="仿宋_GB2312" w:hAnsi="黑体" w:eastAsia="仿宋_GB2312"/>
                <w:color w:val="auto"/>
                <w:kern w:val="0"/>
                <w:szCs w:val="21"/>
              </w:rPr>
            </w:pPr>
            <w:r>
              <w:rPr>
                <w:rFonts w:hint="eastAsia" w:ascii="仿宋_GB2312" w:hAnsi="黑体" w:eastAsia="仿宋_GB2312"/>
                <w:color w:val="auto"/>
                <w:kern w:val="0"/>
                <w:szCs w:val="21"/>
              </w:rPr>
              <w:t>3.</w:t>
            </w:r>
            <w:bookmarkStart w:id="7" w:name="_Hlk66975466"/>
            <w:r>
              <w:rPr>
                <w:rFonts w:hint="eastAsia" w:ascii="仿宋_GB2312" w:hAnsi="黑体" w:eastAsia="仿宋_GB2312"/>
                <w:color w:val="auto"/>
                <w:kern w:val="0"/>
                <w:szCs w:val="21"/>
              </w:rPr>
              <w:t>补正后申请内容仍不明确</w:t>
            </w:r>
            <w:bookmarkEnd w:id="7"/>
          </w:p>
        </w:tc>
        <w:tc>
          <w:tcPr>
            <w:tcW w:w="829" w:type="dxa"/>
            <w:noWrap w:val="0"/>
            <w:tcMar>
              <w:left w:w="108" w:type="dxa"/>
              <w:right w:w="108" w:type="dxa"/>
            </w:tcMar>
            <w:vAlign w:val="center"/>
          </w:tcPr>
          <w:p w14:paraId="73EBF93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567" w:type="dxa"/>
            <w:noWrap w:val="0"/>
            <w:tcMar>
              <w:left w:w="108" w:type="dxa"/>
              <w:right w:w="108" w:type="dxa"/>
            </w:tcMar>
            <w:vAlign w:val="center"/>
          </w:tcPr>
          <w:p w14:paraId="733E7E0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567" w:type="dxa"/>
            <w:noWrap w:val="0"/>
            <w:tcMar>
              <w:left w:w="108" w:type="dxa"/>
              <w:right w:w="108" w:type="dxa"/>
            </w:tcMar>
            <w:vAlign w:val="center"/>
          </w:tcPr>
          <w:p w14:paraId="2330A76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731" w:type="dxa"/>
            <w:noWrap w:val="0"/>
            <w:tcMar>
              <w:left w:w="108" w:type="dxa"/>
              <w:right w:w="108" w:type="dxa"/>
            </w:tcMar>
            <w:vAlign w:val="center"/>
          </w:tcPr>
          <w:p w14:paraId="486ADCB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708" w:type="dxa"/>
            <w:noWrap w:val="0"/>
            <w:tcMar>
              <w:left w:w="108" w:type="dxa"/>
              <w:right w:w="108" w:type="dxa"/>
            </w:tcMar>
            <w:vAlign w:val="center"/>
          </w:tcPr>
          <w:p w14:paraId="2A8790D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567" w:type="dxa"/>
            <w:noWrap w:val="0"/>
            <w:tcMar>
              <w:left w:w="108" w:type="dxa"/>
              <w:right w:w="108" w:type="dxa"/>
            </w:tcMar>
            <w:vAlign w:val="center"/>
          </w:tcPr>
          <w:p w14:paraId="3D6554D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851" w:type="dxa"/>
            <w:noWrap w:val="0"/>
            <w:tcMar>
              <w:left w:w="108" w:type="dxa"/>
              <w:right w:w="108" w:type="dxa"/>
            </w:tcMar>
            <w:vAlign w:val="center"/>
          </w:tcPr>
          <w:p w14:paraId="1DD6CEC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r>
      <w:tr w14:paraId="2F005D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11" w:hRule="exact"/>
          <w:jc w:val="center"/>
        </w:trPr>
        <w:tc>
          <w:tcPr>
            <w:tcW w:w="416" w:type="dxa"/>
            <w:vMerge w:val="continue"/>
            <w:noWrap w:val="0"/>
            <w:tcMar>
              <w:left w:w="108" w:type="dxa"/>
              <w:right w:w="108" w:type="dxa"/>
            </w:tcMar>
            <w:vAlign w:val="center"/>
          </w:tcPr>
          <w:p w14:paraId="1F1B2E2C">
            <w:pPr>
              <w:rPr>
                <w:rFonts w:ascii="黑体" w:hAnsi="黑体" w:eastAsia="黑体"/>
                <w:color w:val="auto"/>
                <w:szCs w:val="21"/>
              </w:rPr>
            </w:pPr>
          </w:p>
        </w:tc>
        <w:tc>
          <w:tcPr>
            <w:tcW w:w="1701" w:type="dxa"/>
            <w:vMerge w:val="restart"/>
            <w:noWrap w:val="0"/>
            <w:tcMar>
              <w:left w:w="108" w:type="dxa"/>
              <w:right w:w="108" w:type="dxa"/>
            </w:tcMar>
            <w:vAlign w:val="center"/>
          </w:tcPr>
          <w:p w14:paraId="5A59438D">
            <w:pPr>
              <w:keepNext w:val="0"/>
              <w:keepLines w:val="0"/>
              <w:pageBreakBefore w:val="0"/>
              <w:widowControl/>
              <w:kinsoku/>
              <w:wordWrap/>
              <w:overflowPunct/>
              <w:topLinePunct w:val="0"/>
              <w:autoSpaceDE/>
              <w:autoSpaceDN/>
              <w:bidi w:val="0"/>
              <w:adjustRightInd/>
              <w:snapToGrid/>
              <w:spacing w:line="400" w:lineRule="exact"/>
              <w:ind w:left="-107" w:leftChars="-51"/>
              <w:textAlignment w:val="auto"/>
              <w:rPr>
                <w:rFonts w:ascii="黑体" w:hAnsi="黑体" w:eastAsia="黑体"/>
                <w:color w:val="auto"/>
                <w:szCs w:val="21"/>
              </w:rPr>
            </w:pPr>
            <w:r>
              <w:rPr>
                <w:rFonts w:hint="eastAsia" w:ascii="黑体" w:hAnsi="黑体" w:eastAsia="黑体"/>
                <w:color w:val="auto"/>
                <w:kern w:val="0"/>
                <w:szCs w:val="21"/>
              </w:rPr>
              <w:t>（五）不予处理</w:t>
            </w:r>
          </w:p>
        </w:tc>
        <w:tc>
          <w:tcPr>
            <w:tcW w:w="2976" w:type="dxa"/>
            <w:noWrap w:val="0"/>
            <w:tcMar>
              <w:left w:w="108" w:type="dxa"/>
              <w:right w:w="108" w:type="dxa"/>
            </w:tcMar>
            <w:vAlign w:val="center"/>
          </w:tcPr>
          <w:p w14:paraId="1C695E1E">
            <w:pPr>
              <w:keepNext w:val="0"/>
              <w:keepLines w:val="0"/>
              <w:pageBreakBefore w:val="0"/>
              <w:widowControl/>
              <w:kinsoku/>
              <w:wordWrap/>
              <w:overflowPunct/>
              <w:topLinePunct w:val="0"/>
              <w:autoSpaceDE/>
              <w:autoSpaceDN/>
              <w:bidi w:val="0"/>
              <w:adjustRightInd/>
              <w:snapToGrid/>
              <w:spacing w:line="400" w:lineRule="exact"/>
              <w:textAlignment w:val="auto"/>
              <w:rPr>
                <w:rFonts w:ascii="仿宋_GB2312" w:hAnsi="黑体" w:eastAsia="仿宋_GB2312"/>
                <w:color w:val="auto"/>
                <w:kern w:val="0"/>
                <w:szCs w:val="21"/>
              </w:rPr>
            </w:pPr>
            <w:r>
              <w:rPr>
                <w:rFonts w:hint="eastAsia" w:ascii="仿宋_GB2312" w:hAnsi="黑体" w:eastAsia="仿宋_GB2312"/>
                <w:color w:val="auto"/>
                <w:kern w:val="0"/>
                <w:szCs w:val="21"/>
              </w:rPr>
              <w:t>1.</w:t>
            </w:r>
            <w:bookmarkStart w:id="8" w:name="_Hlk66975537"/>
            <w:r>
              <w:rPr>
                <w:rFonts w:hint="eastAsia" w:ascii="仿宋_GB2312" w:hAnsi="黑体" w:eastAsia="仿宋_GB2312"/>
                <w:color w:val="auto"/>
                <w:kern w:val="0"/>
                <w:szCs w:val="21"/>
              </w:rPr>
              <w:t>信访举报投诉类申请</w:t>
            </w:r>
            <w:bookmarkEnd w:id="8"/>
          </w:p>
        </w:tc>
        <w:tc>
          <w:tcPr>
            <w:tcW w:w="829" w:type="dxa"/>
            <w:noWrap w:val="0"/>
            <w:tcMar>
              <w:left w:w="108" w:type="dxa"/>
              <w:right w:w="108" w:type="dxa"/>
            </w:tcMar>
            <w:vAlign w:val="center"/>
          </w:tcPr>
          <w:p w14:paraId="0CCEFD8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567" w:type="dxa"/>
            <w:noWrap w:val="0"/>
            <w:tcMar>
              <w:left w:w="108" w:type="dxa"/>
              <w:right w:w="108" w:type="dxa"/>
            </w:tcMar>
            <w:vAlign w:val="center"/>
          </w:tcPr>
          <w:p w14:paraId="5E84C94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567" w:type="dxa"/>
            <w:noWrap w:val="0"/>
            <w:tcMar>
              <w:left w:w="108" w:type="dxa"/>
              <w:right w:w="108" w:type="dxa"/>
            </w:tcMar>
            <w:vAlign w:val="center"/>
          </w:tcPr>
          <w:p w14:paraId="58BD9D0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731" w:type="dxa"/>
            <w:noWrap w:val="0"/>
            <w:tcMar>
              <w:left w:w="108" w:type="dxa"/>
              <w:right w:w="108" w:type="dxa"/>
            </w:tcMar>
            <w:vAlign w:val="center"/>
          </w:tcPr>
          <w:p w14:paraId="158A653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708" w:type="dxa"/>
            <w:noWrap w:val="0"/>
            <w:tcMar>
              <w:left w:w="108" w:type="dxa"/>
              <w:right w:w="108" w:type="dxa"/>
            </w:tcMar>
            <w:vAlign w:val="center"/>
          </w:tcPr>
          <w:p w14:paraId="269C7E7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567" w:type="dxa"/>
            <w:noWrap w:val="0"/>
            <w:tcMar>
              <w:left w:w="108" w:type="dxa"/>
              <w:right w:w="108" w:type="dxa"/>
            </w:tcMar>
            <w:vAlign w:val="center"/>
          </w:tcPr>
          <w:p w14:paraId="173274F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851" w:type="dxa"/>
            <w:noWrap w:val="0"/>
            <w:tcMar>
              <w:left w:w="108" w:type="dxa"/>
              <w:right w:w="108" w:type="dxa"/>
            </w:tcMar>
            <w:vAlign w:val="center"/>
          </w:tcPr>
          <w:p w14:paraId="3C591AA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r>
      <w:tr w14:paraId="773422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07" w:hRule="exact"/>
          <w:jc w:val="center"/>
        </w:trPr>
        <w:tc>
          <w:tcPr>
            <w:tcW w:w="416" w:type="dxa"/>
            <w:vMerge w:val="continue"/>
            <w:noWrap w:val="0"/>
            <w:tcMar>
              <w:left w:w="108" w:type="dxa"/>
              <w:right w:w="108" w:type="dxa"/>
            </w:tcMar>
            <w:vAlign w:val="center"/>
          </w:tcPr>
          <w:p w14:paraId="0F58E245">
            <w:pPr>
              <w:rPr>
                <w:rFonts w:ascii="黑体" w:hAnsi="黑体" w:eastAsia="黑体"/>
                <w:color w:val="auto"/>
                <w:szCs w:val="21"/>
              </w:rPr>
            </w:pPr>
          </w:p>
        </w:tc>
        <w:tc>
          <w:tcPr>
            <w:tcW w:w="1701" w:type="dxa"/>
            <w:vMerge w:val="continue"/>
            <w:noWrap w:val="0"/>
            <w:tcMar>
              <w:left w:w="108" w:type="dxa"/>
              <w:right w:w="108" w:type="dxa"/>
            </w:tcMar>
            <w:vAlign w:val="center"/>
          </w:tcPr>
          <w:p w14:paraId="3F81782F">
            <w:pPr>
              <w:keepNext w:val="0"/>
              <w:keepLines w:val="0"/>
              <w:pageBreakBefore w:val="0"/>
              <w:widowControl/>
              <w:kinsoku/>
              <w:wordWrap/>
              <w:overflowPunct/>
              <w:topLinePunct w:val="0"/>
              <w:autoSpaceDE/>
              <w:autoSpaceDN/>
              <w:bidi w:val="0"/>
              <w:adjustRightInd/>
              <w:snapToGrid/>
              <w:spacing w:line="400" w:lineRule="exact"/>
              <w:textAlignment w:val="auto"/>
              <w:rPr>
                <w:rFonts w:ascii="黑体" w:hAnsi="黑体" w:eastAsia="黑体"/>
                <w:color w:val="auto"/>
                <w:szCs w:val="21"/>
              </w:rPr>
            </w:pPr>
          </w:p>
        </w:tc>
        <w:tc>
          <w:tcPr>
            <w:tcW w:w="2976" w:type="dxa"/>
            <w:noWrap w:val="0"/>
            <w:tcMar>
              <w:left w:w="108" w:type="dxa"/>
              <w:right w:w="108" w:type="dxa"/>
            </w:tcMar>
            <w:vAlign w:val="center"/>
          </w:tcPr>
          <w:p w14:paraId="0DED35EF">
            <w:pPr>
              <w:keepNext w:val="0"/>
              <w:keepLines w:val="0"/>
              <w:pageBreakBefore w:val="0"/>
              <w:widowControl/>
              <w:kinsoku/>
              <w:wordWrap/>
              <w:overflowPunct/>
              <w:topLinePunct w:val="0"/>
              <w:autoSpaceDE/>
              <w:autoSpaceDN/>
              <w:bidi w:val="0"/>
              <w:adjustRightInd/>
              <w:snapToGrid/>
              <w:spacing w:line="400" w:lineRule="exact"/>
              <w:textAlignment w:val="auto"/>
              <w:rPr>
                <w:rFonts w:ascii="仿宋_GB2312" w:hAnsi="黑体" w:eastAsia="仿宋_GB2312"/>
                <w:color w:val="auto"/>
                <w:kern w:val="0"/>
                <w:szCs w:val="21"/>
              </w:rPr>
            </w:pPr>
            <w:r>
              <w:rPr>
                <w:rFonts w:hint="eastAsia" w:ascii="仿宋_GB2312" w:hAnsi="黑体" w:eastAsia="仿宋_GB2312"/>
                <w:color w:val="auto"/>
                <w:kern w:val="0"/>
                <w:szCs w:val="21"/>
              </w:rPr>
              <w:t>2.重复申请</w:t>
            </w:r>
          </w:p>
        </w:tc>
        <w:tc>
          <w:tcPr>
            <w:tcW w:w="829" w:type="dxa"/>
            <w:noWrap w:val="0"/>
            <w:tcMar>
              <w:left w:w="108" w:type="dxa"/>
              <w:right w:w="108" w:type="dxa"/>
            </w:tcMar>
            <w:vAlign w:val="center"/>
          </w:tcPr>
          <w:p w14:paraId="04BD163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567" w:type="dxa"/>
            <w:noWrap w:val="0"/>
            <w:tcMar>
              <w:left w:w="108" w:type="dxa"/>
              <w:right w:w="108" w:type="dxa"/>
            </w:tcMar>
            <w:vAlign w:val="center"/>
          </w:tcPr>
          <w:p w14:paraId="4C57145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567" w:type="dxa"/>
            <w:noWrap w:val="0"/>
            <w:tcMar>
              <w:left w:w="108" w:type="dxa"/>
              <w:right w:w="108" w:type="dxa"/>
            </w:tcMar>
            <w:vAlign w:val="center"/>
          </w:tcPr>
          <w:p w14:paraId="29171BD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731" w:type="dxa"/>
            <w:noWrap w:val="0"/>
            <w:tcMar>
              <w:left w:w="108" w:type="dxa"/>
              <w:right w:w="108" w:type="dxa"/>
            </w:tcMar>
            <w:vAlign w:val="center"/>
          </w:tcPr>
          <w:p w14:paraId="13A839B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708" w:type="dxa"/>
            <w:noWrap w:val="0"/>
            <w:tcMar>
              <w:left w:w="108" w:type="dxa"/>
              <w:right w:w="108" w:type="dxa"/>
            </w:tcMar>
            <w:vAlign w:val="center"/>
          </w:tcPr>
          <w:p w14:paraId="070822D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567" w:type="dxa"/>
            <w:noWrap w:val="0"/>
            <w:tcMar>
              <w:left w:w="108" w:type="dxa"/>
              <w:right w:w="108" w:type="dxa"/>
            </w:tcMar>
            <w:vAlign w:val="center"/>
          </w:tcPr>
          <w:p w14:paraId="0A105F5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851" w:type="dxa"/>
            <w:noWrap w:val="0"/>
            <w:tcMar>
              <w:left w:w="108" w:type="dxa"/>
              <w:right w:w="108" w:type="dxa"/>
            </w:tcMar>
            <w:vAlign w:val="center"/>
          </w:tcPr>
          <w:p w14:paraId="6063285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r>
      <w:tr w14:paraId="7E2A3A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0489B34">
            <w:pPr>
              <w:rPr>
                <w:rFonts w:ascii="黑体" w:hAnsi="黑体" w:eastAsia="黑体"/>
                <w:color w:val="auto"/>
                <w:szCs w:val="21"/>
              </w:rPr>
            </w:pPr>
          </w:p>
        </w:tc>
        <w:tc>
          <w:tcPr>
            <w:tcW w:w="1701" w:type="dxa"/>
            <w:vMerge w:val="continue"/>
            <w:noWrap w:val="0"/>
            <w:tcMar>
              <w:left w:w="108" w:type="dxa"/>
              <w:right w:w="108" w:type="dxa"/>
            </w:tcMar>
            <w:vAlign w:val="center"/>
          </w:tcPr>
          <w:p w14:paraId="187B2233">
            <w:pPr>
              <w:keepNext w:val="0"/>
              <w:keepLines w:val="0"/>
              <w:pageBreakBefore w:val="0"/>
              <w:widowControl/>
              <w:kinsoku/>
              <w:wordWrap/>
              <w:overflowPunct/>
              <w:topLinePunct w:val="0"/>
              <w:autoSpaceDE/>
              <w:autoSpaceDN/>
              <w:bidi w:val="0"/>
              <w:adjustRightInd/>
              <w:snapToGrid/>
              <w:spacing w:line="400" w:lineRule="exact"/>
              <w:textAlignment w:val="auto"/>
              <w:rPr>
                <w:rFonts w:ascii="黑体" w:hAnsi="黑体" w:eastAsia="黑体"/>
                <w:color w:val="auto"/>
                <w:szCs w:val="21"/>
              </w:rPr>
            </w:pPr>
          </w:p>
        </w:tc>
        <w:tc>
          <w:tcPr>
            <w:tcW w:w="2976" w:type="dxa"/>
            <w:noWrap w:val="0"/>
            <w:tcMar>
              <w:left w:w="108" w:type="dxa"/>
              <w:right w:w="108" w:type="dxa"/>
            </w:tcMar>
            <w:vAlign w:val="center"/>
          </w:tcPr>
          <w:p w14:paraId="0977EFD6">
            <w:pPr>
              <w:keepNext w:val="0"/>
              <w:keepLines w:val="0"/>
              <w:pageBreakBefore w:val="0"/>
              <w:widowControl/>
              <w:kinsoku/>
              <w:wordWrap/>
              <w:overflowPunct/>
              <w:topLinePunct w:val="0"/>
              <w:autoSpaceDE/>
              <w:autoSpaceDN/>
              <w:bidi w:val="0"/>
              <w:adjustRightInd/>
              <w:snapToGrid/>
              <w:spacing w:line="400" w:lineRule="exact"/>
              <w:textAlignment w:val="auto"/>
              <w:rPr>
                <w:rFonts w:ascii="仿宋_GB2312" w:hAnsi="黑体" w:eastAsia="仿宋_GB2312"/>
                <w:color w:val="auto"/>
                <w:szCs w:val="21"/>
              </w:rPr>
            </w:pPr>
            <w:r>
              <w:rPr>
                <w:rFonts w:hint="eastAsia" w:ascii="仿宋_GB2312" w:hAnsi="黑体" w:eastAsia="仿宋_GB2312"/>
                <w:color w:val="auto"/>
                <w:kern w:val="0"/>
                <w:szCs w:val="21"/>
              </w:rPr>
              <w:t>3.要求提供公开出版物</w:t>
            </w:r>
          </w:p>
        </w:tc>
        <w:tc>
          <w:tcPr>
            <w:tcW w:w="829" w:type="dxa"/>
            <w:noWrap w:val="0"/>
            <w:tcMar>
              <w:left w:w="108" w:type="dxa"/>
              <w:right w:w="108" w:type="dxa"/>
            </w:tcMar>
            <w:vAlign w:val="center"/>
          </w:tcPr>
          <w:p w14:paraId="55CAD15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567" w:type="dxa"/>
            <w:noWrap w:val="0"/>
            <w:tcMar>
              <w:left w:w="108" w:type="dxa"/>
              <w:right w:w="108" w:type="dxa"/>
            </w:tcMar>
            <w:vAlign w:val="center"/>
          </w:tcPr>
          <w:p w14:paraId="0588B36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567" w:type="dxa"/>
            <w:noWrap w:val="0"/>
            <w:tcMar>
              <w:left w:w="108" w:type="dxa"/>
              <w:right w:w="108" w:type="dxa"/>
            </w:tcMar>
            <w:vAlign w:val="center"/>
          </w:tcPr>
          <w:p w14:paraId="1B01BC4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731" w:type="dxa"/>
            <w:noWrap w:val="0"/>
            <w:tcMar>
              <w:left w:w="108" w:type="dxa"/>
              <w:right w:w="108" w:type="dxa"/>
            </w:tcMar>
            <w:vAlign w:val="center"/>
          </w:tcPr>
          <w:p w14:paraId="0F0334C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708" w:type="dxa"/>
            <w:noWrap w:val="0"/>
            <w:tcMar>
              <w:left w:w="108" w:type="dxa"/>
              <w:right w:w="108" w:type="dxa"/>
            </w:tcMar>
            <w:vAlign w:val="center"/>
          </w:tcPr>
          <w:p w14:paraId="2F18A13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567" w:type="dxa"/>
            <w:noWrap w:val="0"/>
            <w:tcMar>
              <w:left w:w="108" w:type="dxa"/>
              <w:right w:w="108" w:type="dxa"/>
            </w:tcMar>
            <w:vAlign w:val="center"/>
          </w:tcPr>
          <w:p w14:paraId="3889043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851" w:type="dxa"/>
            <w:noWrap w:val="0"/>
            <w:tcMar>
              <w:left w:w="108" w:type="dxa"/>
              <w:right w:w="108" w:type="dxa"/>
            </w:tcMar>
            <w:vAlign w:val="center"/>
          </w:tcPr>
          <w:p w14:paraId="5537E8B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r>
      <w:tr w14:paraId="09D4C0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noWrap w:val="0"/>
            <w:tcMar>
              <w:left w:w="108" w:type="dxa"/>
              <w:right w:w="108" w:type="dxa"/>
            </w:tcMar>
            <w:vAlign w:val="center"/>
          </w:tcPr>
          <w:p w14:paraId="7F317139">
            <w:pPr>
              <w:rPr>
                <w:rFonts w:ascii="黑体" w:hAnsi="黑体" w:eastAsia="黑体"/>
                <w:color w:val="auto"/>
                <w:szCs w:val="21"/>
              </w:rPr>
            </w:pPr>
          </w:p>
        </w:tc>
        <w:tc>
          <w:tcPr>
            <w:tcW w:w="1701" w:type="dxa"/>
            <w:vMerge w:val="continue"/>
            <w:noWrap w:val="0"/>
            <w:tcMar>
              <w:left w:w="108" w:type="dxa"/>
              <w:right w:w="108" w:type="dxa"/>
            </w:tcMar>
            <w:vAlign w:val="center"/>
          </w:tcPr>
          <w:p w14:paraId="24258ECC">
            <w:pPr>
              <w:keepNext w:val="0"/>
              <w:keepLines w:val="0"/>
              <w:pageBreakBefore w:val="0"/>
              <w:widowControl/>
              <w:kinsoku/>
              <w:wordWrap/>
              <w:overflowPunct/>
              <w:topLinePunct w:val="0"/>
              <w:autoSpaceDE/>
              <w:autoSpaceDN/>
              <w:bidi w:val="0"/>
              <w:adjustRightInd/>
              <w:snapToGrid/>
              <w:spacing w:line="400" w:lineRule="exact"/>
              <w:textAlignment w:val="auto"/>
              <w:rPr>
                <w:rFonts w:ascii="黑体" w:hAnsi="黑体" w:eastAsia="黑体"/>
                <w:color w:val="auto"/>
                <w:szCs w:val="21"/>
              </w:rPr>
            </w:pPr>
          </w:p>
        </w:tc>
        <w:tc>
          <w:tcPr>
            <w:tcW w:w="2976" w:type="dxa"/>
            <w:noWrap w:val="0"/>
            <w:tcMar>
              <w:left w:w="108" w:type="dxa"/>
              <w:right w:w="108" w:type="dxa"/>
            </w:tcMar>
            <w:vAlign w:val="center"/>
          </w:tcPr>
          <w:p w14:paraId="5116673C">
            <w:pPr>
              <w:keepNext w:val="0"/>
              <w:keepLines w:val="0"/>
              <w:pageBreakBefore w:val="0"/>
              <w:widowControl/>
              <w:kinsoku/>
              <w:wordWrap/>
              <w:overflowPunct/>
              <w:topLinePunct w:val="0"/>
              <w:autoSpaceDE/>
              <w:autoSpaceDN/>
              <w:bidi w:val="0"/>
              <w:adjustRightInd/>
              <w:snapToGrid/>
              <w:spacing w:line="400" w:lineRule="exact"/>
              <w:textAlignment w:val="auto"/>
              <w:rPr>
                <w:rFonts w:ascii="仿宋_GB2312" w:hAnsi="黑体" w:eastAsia="仿宋_GB2312"/>
                <w:color w:val="auto"/>
                <w:szCs w:val="21"/>
              </w:rPr>
            </w:pPr>
            <w:r>
              <w:rPr>
                <w:rFonts w:hint="eastAsia" w:ascii="仿宋_GB2312" w:hAnsi="黑体" w:eastAsia="仿宋_GB2312"/>
                <w:color w:val="auto"/>
                <w:kern w:val="0"/>
                <w:szCs w:val="21"/>
              </w:rPr>
              <w:t>4.无正当理由大量反复申请</w:t>
            </w:r>
          </w:p>
        </w:tc>
        <w:tc>
          <w:tcPr>
            <w:tcW w:w="829" w:type="dxa"/>
            <w:noWrap w:val="0"/>
            <w:tcMar>
              <w:left w:w="108" w:type="dxa"/>
              <w:right w:w="108" w:type="dxa"/>
            </w:tcMar>
            <w:vAlign w:val="center"/>
          </w:tcPr>
          <w:p w14:paraId="474F8A0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567" w:type="dxa"/>
            <w:noWrap w:val="0"/>
            <w:tcMar>
              <w:left w:w="108" w:type="dxa"/>
              <w:right w:w="108" w:type="dxa"/>
            </w:tcMar>
            <w:vAlign w:val="center"/>
          </w:tcPr>
          <w:p w14:paraId="6492280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567" w:type="dxa"/>
            <w:noWrap w:val="0"/>
            <w:tcMar>
              <w:left w:w="108" w:type="dxa"/>
              <w:right w:w="108" w:type="dxa"/>
            </w:tcMar>
            <w:vAlign w:val="center"/>
          </w:tcPr>
          <w:p w14:paraId="7747383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731" w:type="dxa"/>
            <w:noWrap w:val="0"/>
            <w:tcMar>
              <w:left w:w="108" w:type="dxa"/>
              <w:right w:w="108" w:type="dxa"/>
            </w:tcMar>
            <w:vAlign w:val="center"/>
          </w:tcPr>
          <w:p w14:paraId="2E9B6FE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708" w:type="dxa"/>
            <w:noWrap w:val="0"/>
            <w:tcMar>
              <w:left w:w="108" w:type="dxa"/>
              <w:right w:w="108" w:type="dxa"/>
            </w:tcMar>
            <w:vAlign w:val="center"/>
          </w:tcPr>
          <w:p w14:paraId="5FE0106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567" w:type="dxa"/>
            <w:noWrap w:val="0"/>
            <w:tcMar>
              <w:left w:w="108" w:type="dxa"/>
              <w:right w:w="108" w:type="dxa"/>
            </w:tcMar>
            <w:vAlign w:val="center"/>
          </w:tcPr>
          <w:p w14:paraId="270E427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851" w:type="dxa"/>
            <w:noWrap w:val="0"/>
            <w:tcMar>
              <w:left w:w="108" w:type="dxa"/>
              <w:right w:w="108" w:type="dxa"/>
            </w:tcMar>
            <w:vAlign w:val="center"/>
          </w:tcPr>
          <w:p w14:paraId="56CA7E2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r>
      <w:tr w14:paraId="64416B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1654B6D4">
            <w:pPr>
              <w:rPr>
                <w:rFonts w:ascii="黑体" w:hAnsi="黑体" w:eastAsia="黑体"/>
                <w:color w:val="auto"/>
                <w:szCs w:val="21"/>
              </w:rPr>
            </w:pPr>
          </w:p>
        </w:tc>
        <w:tc>
          <w:tcPr>
            <w:tcW w:w="1701" w:type="dxa"/>
            <w:vMerge w:val="continue"/>
            <w:noWrap w:val="0"/>
            <w:tcMar>
              <w:left w:w="108" w:type="dxa"/>
              <w:right w:w="108" w:type="dxa"/>
            </w:tcMar>
            <w:vAlign w:val="center"/>
          </w:tcPr>
          <w:p w14:paraId="58390B50">
            <w:pPr>
              <w:keepNext w:val="0"/>
              <w:keepLines w:val="0"/>
              <w:pageBreakBefore w:val="0"/>
              <w:widowControl/>
              <w:kinsoku/>
              <w:wordWrap/>
              <w:overflowPunct/>
              <w:topLinePunct w:val="0"/>
              <w:autoSpaceDE/>
              <w:autoSpaceDN/>
              <w:bidi w:val="0"/>
              <w:adjustRightInd/>
              <w:snapToGrid/>
              <w:spacing w:line="400" w:lineRule="exact"/>
              <w:textAlignment w:val="auto"/>
              <w:rPr>
                <w:rFonts w:ascii="黑体" w:hAnsi="黑体" w:eastAsia="黑体"/>
                <w:color w:val="auto"/>
                <w:szCs w:val="21"/>
              </w:rPr>
            </w:pPr>
          </w:p>
        </w:tc>
        <w:tc>
          <w:tcPr>
            <w:tcW w:w="2976" w:type="dxa"/>
            <w:noWrap w:val="0"/>
            <w:tcMar>
              <w:left w:w="108" w:type="dxa"/>
              <w:right w:w="108" w:type="dxa"/>
            </w:tcMar>
            <w:vAlign w:val="center"/>
          </w:tcPr>
          <w:p w14:paraId="0DF35D49">
            <w:pPr>
              <w:keepNext w:val="0"/>
              <w:keepLines w:val="0"/>
              <w:pageBreakBefore w:val="0"/>
              <w:widowControl/>
              <w:kinsoku/>
              <w:wordWrap/>
              <w:overflowPunct/>
              <w:topLinePunct w:val="0"/>
              <w:autoSpaceDE/>
              <w:autoSpaceDN/>
              <w:bidi w:val="0"/>
              <w:adjustRightInd/>
              <w:snapToGrid/>
              <w:spacing w:line="400" w:lineRule="exact"/>
              <w:textAlignment w:val="auto"/>
              <w:rPr>
                <w:rFonts w:ascii="仿宋_GB2312" w:hAnsi="黑体" w:eastAsia="仿宋_GB2312"/>
                <w:color w:val="auto"/>
                <w:kern w:val="0"/>
                <w:szCs w:val="21"/>
              </w:rPr>
            </w:pPr>
            <w:r>
              <w:rPr>
                <w:rFonts w:hint="eastAsia" w:ascii="仿宋_GB2312" w:hAnsi="黑体" w:eastAsia="仿宋_GB2312"/>
                <w:color w:val="auto"/>
                <w:kern w:val="0"/>
                <w:szCs w:val="21"/>
              </w:rPr>
              <w:t>5.要求行政机关确认或重新</w:t>
            </w:r>
          </w:p>
          <w:p w14:paraId="03367C60">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rPr>
                <w:rFonts w:ascii="仿宋_GB2312" w:hAnsi="黑体" w:eastAsia="仿宋_GB2312"/>
                <w:color w:val="auto"/>
                <w:szCs w:val="21"/>
              </w:rPr>
            </w:pPr>
            <w:r>
              <w:rPr>
                <w:rFonts w:hint="eastAsia" w:ascii="仿宋_GB2312" w:hAnsi="黑体" w:eastAsia="仿宋_GB2312"/>
                <w:color w:val="auto"/>
                <w:kern w:val="0"/>
                <w:szCs w:val="21"/>
              </w:rPr>
              <w:t>出具已获取信息</w:t>
            </w:r>
          </w:p>
        </w:tc>
        <w:tc>
          <w:tcPr>
            <w:tcW w:w="829" w:type="dxa"/>
            <w:noWrap w:val="0"/>
            <w:tcMar>
              <w:left w:w="108" w:type="dxa"/>
              <w:right w:w="108" w:type="dxa"/>
            </w:tcMar>
            <w:vAlign w:val="center"/>
          </w:tcPr>
          <w:p w14:paraId="6C02A9D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567" w:type="dxa"/>
            <w:noWrap w:val="0"/>
            <w:tcMar>
              <w:left w:w="108" w:type="dxa"/>
              <w:right w:w="108" w:type="dxa"/>
            </w:tcMar>
            <w:vAlign w:val="center"/>
          </w:tcPr>
          <w:p w14:paraId="7FB3F44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567" w:type="dxa"/>
            <w:noWrap w:val="0"/>
            <w:tcMar>
              <w:left w:w="108" w:type="dxa"/>
              <w:right w:w="108" w:type="dxa"/>
            </w:tcMar>
            <w:vAlign w:val="center"/>
          </w:tcPr>
          <w:p w14:paraId="2576B03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731" w:type="dxa"/>
            <w:noWrap w:val="0"/>
            <w:tcMar>
              <w:left w:w="108" w:type="dxa"/>
              <w:right w:w="108" w:type="dxa"/>
            </w:tcMar>
            <w:vAlign w:val="center"/>
          </w:tcPr>
          <w:p w14:paraId="3AD199A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708" w:type="dxa"/>
            <w:noWrap w:val="0"/>
            <w:tcMar>
              <w:left w:w="108" w:type="dxa"/>
              <w:right w:w="108" w:type="dxa"/>
            </w:tcMar>
            <w:vAlign w:val="center"/>
          </w:tcPr>
          <w:p w14:paraId="0043C1A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567" w:type="dxa"/>
            <w:noWrap w:val="0"/>
            <w:tcMar>
              <w:left w:w="108" w:type="dxa"/>
              <w:right w:w="108" w:type="dxa"/>
            </w:tcMar>
            <w:vAlign w:val="center"/>
          </w:tcPr>
          <w:p w14:paraId="3C5ECB2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851" w:type="dxa"/>
            <w:noWrap w:val="0"/>
            <w:tcMar>
              <w:left w:w="108" w:type="dxa"/>
              <w:right w:w="108" w:type="dxa"/>
            </w:tcMar>
            <w:vAlign w:val="center"/>
          </w:tcPr>
          <w:p w14:paraId="7997D0F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r>
      <w:tr w14:paraId="604A45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7DDD7A7B">
            <w:pPr>
              <w:rPr>
                <w:rFonts w:ascii="黑体" w:hAnsi="黑体" w:eastAsia="黑体"/>
                <w:color w:val="auto"/>
                <w:szCs w:val="21"/>
              </w:rPr>
            </w:pPr>
          </w:p>
        </w:tc>
        <w:tc>
          <w:tcPr>
            <w:tcW w:w="1701" w:type="dxa"/>
            <w:vMerge w:val="restart"/>
            <w:noWrap w:val="0"/>
            <w:tcMar>
              <w:left w:w="108" w:type="dxa"/>
              <w:right w:w="108" w:type="dxa"/>
            </w:tcMar>
            <w:vAlign w:val="center"/>
          </w:tcPr>
          <w:p w14:paraId="752A771B">
            <w:pPr>
              <w:keepNext w:val="0"/>
              <w:keepLines w:val="0"/>
              <w:pageBreakBefore w:val="0"/>
              <w:widowControl/>
              <w:kinsoku/>
              <w:wordWrap/>
              <w:overflowPunct/>
              <w:topLinePunct w:val="0"/>
              <w:autoSpaceDE/>
              <w:autoSpaceDN/>
              <w:bidi w:val="0"/>
              <w:adjustRightInd/>
              <w:snapToGrid/>
              <w:spacing w:line="400" w:lineRule="exact"/>
              <w:textAlignment w:val="auto"/>
              <w:rPr>
                <w:rFonts w:ascii="黑体" w:hAnsi="黑体" w:eastAsia="黑体"/>
                <w:color w:val="auto"/>
                <w:kern w:val="0"/>
                <w:szCs w:val="21"/>
              </w:rPr>
            </w:pPr>
            <w:r>
              <w:rPr>
                <w:rFonts w:hint="eastAsia" w:ascii="黑体" w:hAnsi="黑体" w:eastAsia="黑体"/>
                <w:color w:val="auto"/>
                <w:kern w:val="0"/>
                <w:szCs w:val="21"/>
              </w:rPr>
              <w:t>（六）其他处理</w:t>
            </w:r>
          </w:p>
        </w:tc>
        <w:tc>
          <w:tcPr>
            <w:tcW w:w="2976" w:type="dxa"/>
            <w:noWrap w:val="0"/>
            <w:vAlign w:val="center"/>
          </w:tcPr>
          <w:p w14:paraId="1E1E8F43">
            <w:pPr>
              <w:keepNext w:val="0"/>
              <w:keepLines w:val="0"/>
              <w:pageBreakBefore w:val="0"/>
              <w:widowControl/>
              <w:kinsoku/>
              <w:wordWrap/>
              <w:overflowPunct/>
              <w:topLinePunct w:val="0"/>
              <w:autoSpaceDE/>
              <w:autoSpaceDN/>
              <w:bidi w:val="0"/>
              <w:adjustRightInd/>
              <w:snapToGrid/>
              <w:spacing w:line="400" w:lineRule="exact"/>
              <w:textAlignment w:val="auto"/>
              <w:rPr>
                <w:rFonts w:ascii="仿宋_GB2312" w:hAnsi="楷体" w:eastAsia="仿宋_GB2312"/>
                <w:color w:val="auto"/>
              </w:rPr>
            </w:pPr>
            <w:r>
              <w:rPr>
                <w:rFonts w:hint="eastAsia" w:ascii="仿宋_GB2312" w:hAnsi="楷体" w:eastAsia="仿宋_GB2312"/>
                <w:color w:val="auto"/>
              </w:rPr>
              <w:t>1.申请人无正当理由逾期不补正、行政机关不再处理其政府信息公开申请</w:t>
            </w:r>
          </w:p>
        </w:tc>
        <w:tc>
          <w:tcPr>
            <w:tcW w:w="829" w:type="dxa"/>
            <w:noWrap w:val="0"/>
            <w:tcMar>
              <w:left w:w="108" w:type="dxa"/>
              <w:right w:w="108" w:type="dxa"/>
            </w:tcMar>
            <w:vAlign w:val="center"/>
          </w:tcPr>
          <w:p w14:paraId="317AB66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567" w:type="dxa"/>
            <w:noWrap w:val="0"/>
            <w:tcMar>
              <w:left w:w="108" w:type="dxa"/>
              <w:right w:w="108" w:type="dxa"/>
            </w:tcMar>
            <w:vAlign w:val="center"/>
          </w:tcPr>
          <w:p w14:paraId="7BD933C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567" w:type="dxa"/>
            <w:noWrap w:val="0"/>
            <w:tcMar>
              <w:left w:w="108" w:type="dxa"/>
              <w:right w:w="108" w:type="dxa"/>
            </w:tcMar>
            <w:vAlign w:val="center"/>
          </w:tcPr>
          <w:p w14:paraId="01158E1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731" w:type="dxa"/>
            <w:noWrap w:val="0"/>
            <w:tcMar>
              <w:left w:w="108" w:type="dxa"/>
              <w:right w:w="108" w:type="dxa"/>
            </w:tcMar>
            <w:vAlign w:val="center"/>
          </w:tcPr>
          <w:p w14:paraId="24D77DC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708" w:type="dxa"/>
            <w:noWrap w:val="0"/>
            <w:tcMar>
              <w:left w:w="108" w:type="dxa"/>
              <w:right w:w="108" w:type="dxa"/>
            </w:tcMar>
            <w:vAlign w:val="center"/>
          </w:tcPr>
          <w:p w14:paraId="7764CDE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567" w:type="dxa"/>
            <w:noWrap w:val="0"/>
            <w:tcMar>
              <w:left w:w="108" w:type="dxa"/>
              <w:right w:w="108" w:type="dxa"/>
            </w:tcMar>
            <w:vAlign w:val="center"/>
          </w:tcPr>
          <w:p w14:paraId="2FA5DC1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851" w:type="dxa"/>
            <w:noWrap w:val="0"/>
            <w:tcMar>
              <w:left w:w="108" w:type="dxa"/>
              <w:right w:w="108" w:type="dxa"/>
            </w:tcMar>
            <w:vAlign w:val="center"/>
          </w:tcPr>
          <w:p w14:paraId="412DF9E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r>
      <w:tr w14:paraId="7589E8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1DAC8B8E">
            <w:pPr>
              <w:rPr>
                <w:rFonts w:ascii="黑体" w:hAnsi="黑体" w:eastAsia="黑体"/>
                <w:color w:val="auto"/>
                <w:szCs w:val="21"/>
              </w:rPr>
            </w:pPr>
          </w:p>
        </w:tc>
        <w:tc>
          <w:tcPr>
            <w:tcW w:w="1701" w:type="dxa"/>
            <w:vMerge w:val="continue"/>
            <w:noWrap w:val="0"/>
            <w:tcMar>
              <w:left w:w="108" w:type="dxa"/>
              <w:right w:w="108" w:type="dxa"/>
            </w:tcMar>
            <w:vAlign w:val="center"/>
          </w:tcPr>
          <w:p w14:paraId="2C26A31B">
            <w:pPr>
              <w:keepNext w:val="0"/>
              <w:keepLines w:val="0"/>
              <w:pageBreakBefore w:val="0"/>
              <w:widowControl/>
              <w:kinsoku/>
              <w:wordWrap/>
              <w:overflowPunct/>
              <w:topLinePunct w:val="0"/>
              <w:autoSpaceDE/>
              <w:autoSpaceDN/>
              <w:bidi w:val="0"/>
              <w:adjustRightInd/>
              <w:snapToGrid/>
              <w:spacing w:line="400" w:lineRule="exact"/>
              <w:textAlignment w:val="auto"/>
              <w:rPr>
                <w:rFonts w:ascii="黑体" w:hAnsi="黑体" w:eastAsia="黑体"/>
                <w:color w:val="auto"/>
                <w:kern w:val="0"/>
                <w:szCs w:val="21"/>
              </w:rPr>
            </w:pPr>
          </w:p>
        </w:tc>
        <w:tc>
          <w:tcPr>
            <w:tcW w:w="2976" w:type="dxa"/>
            <w:noWrap w:val="0"/>
            <w:vAlign w:val="center"/>
          </w:tcPr>
          <w:p w14:paraId="09452825">
            <w:pPr>
              <w:keepNext w:val="0"/>
              <w:keepLines w:val="0"/>
              <w:pageBreakBefore w:val="0"/>
              <w:widowControl/>
              <w:kinsoku/>
              <w:wordWrap/>
              <w:overflowPunct/>
              <w:topLinePunct w:val="0"/>
              <w:autoSpaceDE/>
              <w:autoSpaceDN/>
              <w:bidi w:val="0"/>
              <w:adjustRightInd/>
              <w:snapToGrid/>
              <w:spacing w:line="400" w:lineRule="exact"/>
              <w:textAlignment w:val="auto"/>
              <w:rPr>
                <w:rFonts w:ascii="仿宋_GB2312" w:hAnsi="黑体" w:eastAsia="仿宋_GB2312"/>
                <w:color w:val="auto"/>
                <w:kern w:val="0"/>
                <w:szCs w:val="21"/>
              </w:rPr>
            </w:pPr>
            <w:r>
              <w:rPr>
                <w:rFonts w:hint="eastAsia" w:ascii="仿宋_GB2312" w:hAnsi="楷体" w:eastAsia="仿宋_GB2312"/>
                <w:color w:val="auto"/>
              </w:rPr>
              <w:t>2.申请人逾期未按收费通知要求缴纳费用、行政机关不再处理其政府信息公开申请</w:t>
            </w:r>
          </w:p>
        </w:tc>
        <w:tc>
          <w:tcPr>
            <w:tcW w:w="829" w:type="dxa"/>
            <w:noWrap w:val="0"/>
            <w:tcMar>
              <w:left w:w="108" w:type="dxa"/>
              <w:right w:w="108" w:type="dxa"/>
            </w:tcMar>
            <w:vAlign w:val="center"/>
          </w:tcPr>
          <w:p w14:paraId="0B7D071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567" w:type="dxa"/>
            <w:noWrap w:val="0"/>
            <w:tcMar>
              <w:left w:w="108" w:type="dxa"/>
              <w:right w:w="108" w:type="dxa"/>
            </w:tcMar>
            <w:vAlign w:val="center"/>
          </w:tcPr>
          <w:p w14:paraId="400809A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567" w:type="dxa"/>
            <w:noWrap w:val="0"/>
            <w:tcMar>
              <w:left w:w="108" w:type="dxa"/>
              <w:right w:w="108" w:type="dxa"/>
            </w:tcMar>
            <w:vAlign w:val="center"/>
          </w:tcPr>
          <w:p w14:paraId="5CDB7BB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731" w:type="dxa"/>
            <w:noWrap w:val="0"/>
            <w:tcMar>
              <w:left w:w="108" w:type="dxa"/>
              <w:right w:w="108" w:type="dxa"/>
            </w:tcMar>
            <w:vAlign w:val="center"/>
          </w:tcPr>
          <w:p w14:paraId="5576FF1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708" w:type="dxa"/>
            <w:noWrap w:val="0"/>
            <w:tcMar>
              <w:left w:w="108" w:type="dxa"/>
              <w:right w:w="108" w:type="dxa"/>
            </w:tcMar>
            <w:vAlign w:val="center"/>
          </w:tcPr>
          <w:p w14:paraId="6ACF744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567" w:type="dxa"/>
            <w:noWrap w:val="0"/>
            <w:tcMar>
              <w:left w:w="108" w:type="dxa"/>
              <w:right w:w="108" w:type="dxa"/>
            </w:tcMar>
            <w:vAlign w:val="center"/>
          </w:tcPr>
          <w:p w14:paraId="0DF41AE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851" w:type="dxa"/>
            <w:noWrap w:val="0"/>
            <w:tcMar>
              <w:left w:w="108" w:type="dxa"/>
              <w:right w:w="108" w:type="dxa"/>
            </w:tcMar>
            <w:vAlign w:val="center"/>
          </w:tcPr>
          <w:p w14:paraId="57F7A66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r>
      <w:tr w14:paraId="02E1AB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416" w:type="dxa"/>
            <w:vMerge w:val="continue"/>
            <w:noWrap w:val="0"/>
            <w:tcMar>
              <w:left w:w="108" w:type="dxa"/>
              <w:right w:w="108" w:type="dxa"/>
            </w:tcMar>
            <w:vAlign w:val="center"/>
          </w:tcPr>
          <w:p w14:paraId="63DA9F5B">
            <w:pPr>
              <w:rPr>
                <w:rFonts w:ascii="黑体" w:hAnsi="黑体" w:eastAsia="黑体"/>
                <w:color w:val="auto"/>
                <w:szCs w:val="21"/>
              </w:rPr>
            </w:pPr>
          </w:p>
        </w:tc>
        <w:tc>
          <w:tcPr>
            <w:tcW w:w="1701" w:type="dxa"/>
            <w:vMerge w:val="continue"/>
            <w:noWrap w:val="0"/>
            <w:tcMar>
              <w:left w:w="108" w:type="dxa"/>
              <w:right w:w="108" w:type="dxa"/>
            </w:tcMar>
            <w:vAlign w:val="center"/>
          </w:tcPr>
          <w:p w14:paraId="06994E94">
            <w:pPr>
              <w:keepNext w:val="0"/>
              <w:keepLines w:val="0"/>
              <w:pageBreakBefore w:val="0"/>
              <w:widowControl/>
              <w:kinsoku/>
              <w:wordWrap/>
              <w:overflowPunct/>
              <w:topLinePunct w:val="0"/>
              <w:autoSpaceDE/>
              <w:autoSpaceDN/>
              <w:bidi w:val="0"/>
              <w:adjustRightInd/>
              <w:snapToGrid/>
              <w:spacing w:line="400" w:lineRule="exact"/>
              <w:textAlignment w:val="auto"/>
              <w:rPr>
                <w:rFonts w:ascii="黑体" w:hAnsi="黑体" w:eastAsia="黑体"/>
                <w:color w:val="auto"/>
                <w:kern w:val="0"/>
                <w:szCs w:val="21"/>
              </w:rPr>
            </w:pPr>
          </w:p>
        </w:tc>
        <w:tc>
          <w:tcPr>
            <w:tcW w:w="2976" w:type="dxa"/>
            <w:noWrap w:val="0"/>
            <w:vAlign w:val="center"/>
          </w:tcPr>
          <w:p w14:paraId="4F3802D4">
            <w:pPr>
              <w:keepNext w:val="0"/>
              <w:keepLines w:val="0"/>
              <w:pageBreakBefore w:val="0"/>
              <w:widowControl/>
              <w:kinsoku/>
              <w:wordWrap/>
              <w:overflowPunct/>
              <w:topLinePunct w:val="0"/>
              <w:autoSpaceDE/>
              <w:autoSpaceDN/>
              <w:bidi w:val="0"/>
              <w:adjustRightInd/>
              <w:snapToGrid/>
              <w:spacing w:line="400" w:lineRule="exact"/>
              <w:textAlignment w:val="auto"/>
              <w:rPr>
                <w:rFonts w:ascii="仿宋_GB2312" w:hAnsi="黑体" w:eastAsia="仿宋_GB2312"/>
                <w:color w:val="auto"/>
                <w:kern w:val="0"/>
                <w:szCs w:val="21"/>
              </w:rPr>
            </w:pPr>
            <w:r>
              <w:rPr>
                <w:rFonts w:hint="eastAsia" w:ascii="仿宋_GB2312" w:hAnsi="楷体" w:eastAsia="仿宋_GB2312"/>
                <w:color w:val="auto"/>
              </w:rPr>
              <w:t>3.其他</w:t>
            </w:r>
          </w:p>
        </w:tc>
        <w:tc>
          <w:tcPr>
            <w:tcW w:w="829" w:type="dxa"/>
            <w:noWrap w:val="0"/>
            <w:tcMar>
              <w:left w:w="108" w:type="dxa"/>
              <w:right w:w="108" w:type="dxa"/>
            </w:tcMar>
            <w:vAlign w:val="center"/>
          </w:tcPr>
          <w:p w14:paraId="4CF13B2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567" w:type="dxa"/>
            <w:noWrap w:val="0"/>
            <w:tcMar>
              <w:left w:w="108" w:type="dxa"/>
              <w:right w:w="108" w:type="dxa"/>
            </w:tcMar>
            <w:vAlign w:val="center"/>
          </w:tcPr>
          <w:p w14:paraId="5E89038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567" w:type="dxa"/>
            <w:noWrap w:val="0"/>
            <w:tcMar>
              <w:left w:w="108" w:type="dxa"/>
              <w:right w:w="108" w:type="dxa"/>
            </w:tcMar>
            <w:vAlign w:val="center"/>
          </w:tcPr>
          <w:p w14:paraId="548491E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731" w:type="dxa"/>
            <w:noWrap w:val="0"/>
            <w:tcMar>
              <w:left w:w="108" w:type="dxa"/>
              <w:right w:w="108" w:type="dxa"/>
            </w:tcMar>
            <w:vAlign w:val="center"/>
          </w:tcPr>
          <w:p w14:paraId="00634D0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708" w:type="dxa"/>
            <w:noWrap w:val="0"/>
            <w:tcMar>
              <w:left w:w="108" w:type="dxa"/>
              <w:right w:w="108" w:type="dxa"/>
            </w:tcMar>
            <w:vAlign w:val="center"/>
          </w:tcPr>
          <w:p w14:paraId="2D6B9BF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567" w:type="dxa"/>
            <w:noWrap w:val="0"/>
            <w:tcMar>
              <w:left w:w="108" w:type="dxa"/>
              <w:right w:w="108" w:type="dxa"/>
            </w:tcMar>
            <w:vAlign w:val="center"/>
          </w:tcPr>
          <w:p w14:paraId="1438EB3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851" w:type="dxa"/>
            <w:noWrap w:val="0"/>
            <w:tcMar>
              <w:left w:w="108" w:type="dxa"/>
              <w:right w:w="108" w:type="dxa"/>
            </w:tcMar>
            <w:vAlign w:val="center"/>
          </w:tcPr>
          <w:p w14:paraId="45D0A1B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r>
      <w:tr w14:paraId="4F38DB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1210D9A5">
            <w:pPr>
              <w:rPr>
                <w:rFonts w:ascii="黑体" w:hAnsi="黑体" w:eastAsia="黑体"/>
                <w:color w:val="auto"/>
                <w:szCs w:val="21"/>
              </w:rPr>
            </w:pPr>
          </w:p>
        </w:tc>
        <w:tc>
          <w:tcPr>
            <w:tcW w:w="4677" w:type="dxa"/>
            <w:gridSpan w:val="2"/>
            <w:noWrap w:val="0"/>
            <w:tcMar>
              <w:left w:w="108" w:type="dxa"/>
              <w:right w:w="108" w:type="dxa"/>
            </w:tcMar>
            <w:vAlign w:val="center"/>
          </w:tcPr>
          <w:p w14:paraId="2E803DBA">
            <w:pPr>
              <w:keepNext w:val="0"/>
              <w:keepLines w:val="0"/>
              <w:pageBreakBefore w:val="0"/>
              <w:widowControl/>
              <w:kinsoku/>
              <w:wordWrap/>
              <w:overflowPunct/>
              <w:topLinePunct w:val="0"/>
              <w:autoSpaceDE/>
              <w:autoSpaceDN/>
              <w:bidi w:val="0"/>
              <w:adjustRightInd/>
              <w:snapToGrid/>
              <w:spacing w:line="400" w:lineRule="exact"/>
              <w:textAlignment w:val="auto"/>
              <w:rPr>
                <w:rFonts w:ascii="黑体" w:hAnsi="黑体" w:eastAsia="黑体"/>
                <w:color w:val="auto"/>
                <w:kern w:val="0"/>
                <w:szCs w:val="21"/>
              </w:rPr>
            </w:pPr>
            <w:r>
              <w:rPr>
                <w:rFonts w:hint="eastAsia" w:ascii="黑体" w:hAnsi="黑体" w:eastAsia="黑体"/>
                <w:color w:val="auto"/>
                <w:kern w:val="0"/>
                <w:szCs w:val="21"/>
              </w:rPr>
              <w:t>（七）总计</w:t>
            </w:r>
          </w:p>
        </w:tc>
        <w:tc>
          <w:tcPr>
            <w:tcW w:w="829" w:type="dxa"/>
            <w:noWrap w:val="0"/>
            <w:tcMar>
              <w:left w:w="108" w:type="dxa"/>
              <w:right w:w="108" w:type="dxa"/>
            </w:tcMar>
            <w:vAlign w:val="center"/>
          </w:tcPr>
          <w:p w14:paraId="741DE23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highlight w:val="none"/>
                <w:lang w:val="en-US" w:eastAsia="zh-CN"/>
              </w:rPr>
            </w:pPr>
            <w:r>
              <w:rPr>
                <w:rFonts w:hint="eastAsia" w:ascii="仿宋_GB2312" w:hAnsi="宋体" w:eastAsia="仿宋_GB2312" w:cs="宋体"/>
                <w:color w:val="auto"/>
                <w:kern w:val="0"/>
                <w:szCs w:val="21"/>
                <w:highlight w:val="none"/>
                <w:lang w:val="en-US" w:eastAsia="zh-CN"/>
              </w:rPr>
              <w:t>14</w:t>
            </w:r>
          </w:p>
        </w:tc>
        <w:tc>
          <w:tcPr>
            <w:tcW w:w="567" w:type="dxa"/>
            <w:noWrap w:val="0"/>
            <w:tcMar>
              <w:left w:w="108" w:type="dxa"/>
              <w:right w:w="108" w:type="dxa"/>
            </w:tcMar>
            <w:vAlign w:val="center"/>
          </w:tcPr>
          <w:p w14:paraId="1D5E707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highlight w:val="none"/>
                <w:lang w:val="en-US" w:eastAsia="zh-CN"/>
              </w:rPr>
            </w:pPr>
            <w:r>
              <w:rPr>
                <w:rFonts w:hint="eastAsia" w:ascii="仿宋_GB2312" w:hAnsi="宋体" w:eastAsia="仿宋_GB2312" w:cs="宋体"/>
                <w:color w:val="auto"/>
                <w:kern w:val="0"/>
                <w:szCs w:val="21"/>
                <w:highlight w:val="none"/>
                <w:lang w:val="en-US" w:eastAsia="zh-CN"/>
              </w:rPr>
              <w:t>0</w:t>
            </w:r>
          </w:p>
        </w:tc>
        <w:tc>
          <w:tcPr>
            <w:tcW w:w="567" w:type="dxa"/>
            <w:noWrap w:val="0"/>
            <w:tcMar>
              <w:left w:w="108" w:type="dxa"/>
              <w:right w:w="108" w:type="dxa"/>
            </w:tcMar>
            <w:vAlign w:val="center"/>
          </w:tcPr>
          <w:p w14:paraId="1F173EC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highlight w:val="none"/>
                <w:lang w:val="en-US" w:eastAsia="zh-CN"/>
              </w:rPr>
            </w:pPr>
            <w:r>
              <w:rPr>
                <w:rFonts w:hint="eastAsia" w:ascii="仿宋_GB2312" w:hAnsi="宋体" w:eastAsia="仿宋_GB2312" w:cs="宋体"/>
                <w:color w:val="auto"/>
                <w:kern w:val="0"/>
                <w:szCs w:val="21"/>
                <w:highlight w:val="none"/>
                <w:lang w:val="en-US" w:eastAsia="zh-CN"/>
              </w:rPr>
              <w:t>0</w:t>
            </w:r>
          </w:p>
        </w:tc>
        <w:tc>
          <w:tcPr>
            <w:tcW w:w="731" w:type="dxa"/>
            <w:noWrap w:val="0"/>
            <w:tcMar>
              <w:left w:w="108" w:type="dxa"/>
              <w:right w:w="108" w:type="dxa"/>
            </w:tcMar>
            <w:vAlign w:val="center"/>
          </w:tcPr>
          <w:p w14:paraId="0442AA1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highlight w:val="none"/>
                <w:lang w:val="en-US" w:eastAsia="zh-CN"/>
              </w:rPr>
            </w:pPr>
            <w:r>
              <w:rPr>
                <w:rFonts w:hint="eastAsia" w:ascii="仿宋_GB2312" w:hAnsi="宋体" w:eastAsia="仿宋_GB2312" w:cs="宋体"/>
                <w:color w:val="auto"/>
                <w:kern w:val="0"/>
                <w:szCs w:val="21"/>
                <w:highlight w:val="none"/>
                <w:lang w:val="en-US" w:eastAsia="zh-CN"/>
              </w:rPr>
              <w:t>0</w:t>
            </w:r>
          </w:p>
        </w:tc>
        <w:tc>
          <w:tcPr>
            <w:tcW w:w="708" w:type="dxa"/>
            <w:noWrap w:val="0"/>
            <w:tcMar>
              <w:left w:w="108" w:type="dxa"/>
              <w:right w:w="108" w:type="dxa"/>
            </w:tcMar>
            <w:vAlign w:val="center"/>
          </w:tcPr>
          <w:p w14:paraId="5730FE9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highlight w:val="none"/>
                <w:lang w:val="en-US" w:eastAsia="zh-CN"/>
              </w:rPr>
            </w:pPr>
            <w:r>
              <w:rPr>
                <w:rFonts w:hint="eastAsia" w:ascii="仿宋_GB2312" w:hAnsi="宋体" w:eastAsia="仿宋_GB2312" w:cs="宋体"/>
                <w:color w:val="auto"/>
                <w:kern w:val="0"/>
                <w:szCs w:val="21"/>
                <w:highlight w:val="none"/>
                <w:lang w:val="en-US" w:eastAsia="zh-CN"/>
              </w:rPr>
              <w:t>0</w:t>
            </w:r>
          </w:p>
        </w:tc>
        <w:tc>
          <w:tcPr>
            <w:tcW w:w="567" w:type="dxa"/>
            <w:noWrap w:val="0"/>
            <w:tcMar>
              <w:left w:w="108" w:type="dxa"/>
              <w:right w:w="108" w:type="dxa"/>
            </w:tcMar>
            <w:vAlign w:val="center"/>
          </w:tcPr>
          <w:p w14:paraId="240DA45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highlight w:val="none"/>
                <w:lang w:val="en-US" w:eastAsia="zh-CN"/>
              </w:rPr>
            </w:pPr>
            <w:r>
              <w:rPr>
                <w:rFonts w:hint="eastAsia" w:ascii="仿宋_GB2312" w:hAnsi="宋体" w:eastAsia="仿宋_GB2312" w:cs="宋体"/>
                <w:color w:val="auto"/>
                <w:kern w:val="0"/>
                <w:szCs w:val="21"/>
                <w:highlight w:val="none"/>
                <w:lang w:val="en-US" w:eastAsia="zh-CN"/>
              </w:rPr>
              <w:t>0</w:t>
            </w:r>
          </w:p>
        </w:tc>
        <w:tc>
          <w:tcPr>
            <w:tcW w:w="851" w:type="dxa"/>
            <w:noWrap w:val="0"/>
            <w:tcMar>
              <w:left w:w="108" w:type="dxa"/>
              <w:right w:w="108" w:type="dxa"/>
            </w:tcMar>
            <w:vAlign w:val="center"/>
          </w:tcPr>
          <w:p w14:paraId="0FC7EB3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highlight w:val="none"/>
                <w:lang w:val="en-US" w:eastAsia="zh-CN"/>
              </w:rPr>
            </w:pPr>
            <w:r>
              <w:rPr>
                <w:rFonts w:hint="eastAsia" w:ascii="仿宋_GB2312" w:hAnsi="宋体" w:eastAsia="仿宋_GB2312" w:cs="宋体"/>
                <w:color w:val="auto"/>
                <w:kern w:val="0"/>
                <w:szCs w:val="21"/>
                <w:highlight w:val="none"/>
                <w:lang w:val="en-US" w:eastAsia="zh-CN"/>
              </w:rPr>
              <w:t>14</w:t>
            </w:r>
          </w:p>
        </w:tc>
      </w:tr>
      <w:tr w14:paraId="60C4D6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14:paraId="261ADB1A">
            <w:pPr>
              <w:keepNext w:val="0"/>
              <w:keepLines w:val="0"/>
              <w:pageBreakBefore w:val="0"/>
              <w:widowControl/>
              <w:kinsoku/>
              <w:wordWrap/>
              <w:overflowPunct/>
              <w:topLinePunct w:val="0"/>
              <w:autoSpaceDE/>
              <w:autoSpaceDN/>
              <w:bidi w:val="0"/>
              <w:adjustRightInd/>
              <w:snapToGrid/>
              <w:spacing w:line="400" w:lineRule="exact"/>
              <w:textAlignment w:val="auto"/>
              <w:rPr>
                <w:rFonts w:ascii="黑体" w:hAnsi="黑体" w:eastAsia="黑体"/>
                <w:color w:val="auto"/>
                <w:kern w:val="0"/>
                <w:szCs w:val="21"/>
              </w:rPr>
            </w:pPr>
            <w:r>
              <w:rPr>
                <w:rFonts w:hint="eastAsia" w:ascii="黑体" w:hAnsi="黑体" w:eastAsia="黑体"/>
                <w:color w:val="auto"/>
                <w:kern w:val="0"/>
                <w:szCs w:val="21"/>
              </w:rPr>
              <w:t>四、结转下年度继续办理</w:t>
            </w:r>
          </w:p>
        </w:tc>
        <w:tc>
          <w:tcPr>
            <w:tcW w:w="829" w:type="dxa"/>
            <w:noWrap w:val="0"/>
            <w:tcMar>
              <w:left w:w="108" w:type="dxa"/>
              <w:right w:w="108" w:type="dxa"/>
            </w:tcMar>
            <w:vAlign w:val="center"/>
          </w:tcPr>
          <w:p w14:paraId="180332E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567" w:type="dxa"/>
            <w:noWrap w:val="0"/>
            <w:tcMar>
              <w:left w:w="108" w:type="dxa"/>
              <w:right w:w="108" w:type="dxa"/>
            </w:tcMar>
            <w:vAlign w:val="center"/>
          </w:tcPr>
          <w:p w14:paraId="3397E8B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567" w:type="dxa"/>
            <w:noWrap w:val="0"/>
            <w:tcMar>
              <w:left w:w="108" w:type="dxa"/>
              <w:right w:w="108" w:type="dxa"/>
            </w:tcMar>
            <w:vAlign w:val="center"/>
          </w:tcPr>
          <w:p w14:paraId="647D74F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731" w:type="dxa"/>
            <w:noWrap w:val="0"/>
            <w:tcMar>
              <w:left w:w="108" w:type="dxa"/>
              <w:right w:w="108" w:type="dxa"/>
            </w:tcMar>
            <w:vAlign w:val="center"/>
          </w:tcPr>
          <w:p w14:paraId="12E133E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708" w:type="dxa"/>
            <w:noWrap w:val="0"/>
            <w:tcMar>
              <w:left w:w="108" w:type="dxa"/>
              <w:right w:w="108" w:type="dxa"/>
            </w:tcMar>
            <w:vAlign w:val="center"/>
          </w:tcPr>
          <w:p w14:paraId="211B13E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567" w:type="dxa"/>
            <w:noWrap w:val="0"/>
            <w:tcMar>
              <w:left w:w="108" w:type="dxa"/>
              <w:right w:w="108" w:type="dxa"/>
            </w:tcMar>
            <w:vAlign w:val="center"/>
          </w:tcPr>
          <w:p w14:paraId="25BE38C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851" w:type="dxa"/>
            <w:noWrap w:val="0"/>
            <w:tcMar>
              <w:left w:w="108" w:type="dxa"/>
              <w:right w:w="108" w:type="dxa"/>
            </w:tcMar>
            <w:vAlign w:val="center"/>
          </w:tcPr>
          <w:p w14:paraId="6080B3C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r>
    </w:tbl>
    <w:p w14:paraId="0BED349C">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600" w:lineRule="exact"/>
        <w:ind w:leftChars="200" w:right="0" w:rightChars="0"/>
        <w:textAlignment w:val="auto"/>
        <w:rPr>
          <w:rFonts w:hint="eastAsia" w:ascii="黑体" w:hAnsi="宋体" w:eastAsia="黑体" w:cs="黑体"/>
          <w:sz w:val="32"/>
          <w:szCs w:val="32"/>
          <w:shd w:val="clear" w:fill="FFFFFF"/>
          <w:lang w:val="en-US" w:eastAsia="zh-CN"/>
        </w:rPr>
      </w:pPr>
    </w:p>
    <w:p w14:paraId="4DC73A28">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600" w:lineRule="exact"/>
        <w:ind w:leftChars="0" w:right="0" w:rightChars="0" w:firstLine="640" w:firstLineChars="200"/>
        <w:textAlignment w:val="auto"/>
        <w:rPr>
          <w:rFonts w:hint="eastAsia" w:ascii="黑体" w:hAnsi="宋体" w:eastAsia="黑体" w:cs="黑体"/>
          <w:spacing w:val="0"/>
          <w:sz w:val="32"/>
          <w:szCs w:val="32"/>
          <w:shd w:val="clear" w:fill="FFFFFF"/>
        </w:rPr>
      </w:pPr>
      <w:r>
        <w:rPr>
          <w:rFonts w:hint="eastAsia" w:ascii="黑体" w:hAnsi="宋体" w:eastAsia="黑体" w:cs="黑体"/>
          <w:sz w:val="32"/>
          <w:szCs w:val="32"/>
          <w:shd w:val="clear" w:fill="FFFFFF"/>
          <w:lang w:val="en-US" w:eastAsia="zh-CN"/>
        </w:rPr>
        <w:t>四、</w:t>
      </w:r>
      <w:r>
        <w:rPr>
          <w:rFonts w:hint="eastAsia" w:ascii="黑体" w:hAnsi="黑体" w:eastAsia="黑体" w:cs="宋体"/>
          <w:color w:val="auto"/>
          <w:sz w:val="32"/>
          <w:szCs w:val="32"/>
          <w:shd w:val="clear" w:color="auto" w:fill="FFFFFF"/>
        </w:rPr>
        <w:t>政府信息公开行政复议、行政诉讼情况</w:t>
      </w:r>
    </w:p>
    <w:tbl>
      <w:tblPr>
        <w:tblStyle w:val="6"/>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579"/>
        <w:gridCol w:w="579"/>
        <w:gridCol w:w="579"/>
        <w:gridCol w:w="579"/>
        <w:gridCol w:w="631"/>
        <w:gridCol w:w="528"/>
        <w:gridCol w:w="582"/>
        <w:gridCol w:w="582"/>
        <w:gridCol w:w="582"/>
        <w:gridCol w:w="582"/>
        <w:gridCol w:w="581"/>
        <w:gridCol w:w="582"/>
        <w:gridCol w:w="582"/>
        <w:gridCol w:w="583"/>
        <w:gridCol w:w="583"/>
      </w:tblGrid>
      <w:tr w14:paraId="11C4A64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2947"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2082C2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kern w:val="0"/>
                <w:sz w:val="21"/>
                <w:szCs w:val="21"/>
              </w:rPr>
              <w:t>行政复议</w:t>
            </w:r>
          </w:p>
        </w:tc>
        <w:tc>
          <w:tcPr>
            <w:tcW w:w="5767" w:type="dxa"/>
            <w:gridSpan w:val="10"/>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9694B41">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21"/>
                <w:szCs w:val="21"/>
              </w:rPr>
            </w:pPr>
            <w:r>
              <w:rPr>
                <w:rFonts w:hint="eastAsia" w:ascii="黑体" w:hAnsi="黑体" w:eastAsia="黑体" w:cs="黑体"/>
                <w:kern w:val="0"/>
                <w:sz w:val="21"/>
                <w:szCs w:val="21"/>
              </w:rPr>
              <w:t>行政诉讼</w:t>
            </w:r>
          </w:p>
        </w:tc>
      </w:tr>
      <w:tr w14:paraId="2E98D66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579" w:type="dxa"/>
            <w:vMerge w:val="restart"/>
            <w:tcBorders>
              <w:top w:val="nil"/>
              <w:left w:val="single" w:color="auto" w:sz="6" w:space="0"/>
              <w:right w:val="single" w:color="auto" w:sz="6" w:space="0"/>
            </w:tcBorders>
            <w:shd w:val="clear" w:color="auto" w:fill="auto"/>
            <w:tcMar>
              <w:top w:w="0" w:type="dxa"/>
              <w:left w:w="105" w:type="dxa"/>
              <w:bottom w:w="0" w:type="dxa"/>
              <w:right w:w="105" w:type="dxa"/>
            </w:tcMar>
            <w:vAlign w:val="center"/>
          </w:tcPr>
          <w:p w14:paraId="68C13BA2">
            <w:pPr>
              <w:keepNext w:val="0"/>
              <w:keepLines w:val="0"/>
              <w:pageBreakBefore w:val="0"/>
              <w:widowControl/>
              <w:kinsoku/>
              <w:wordWrap/>
              <w:overflowPunct/>
              <w:topLinePunct w:val="0"/>
              <w:autoSpaceDE/>
              <w:autoSpaceDN/>
              <w:bidi w:val="0"/>
              <w:adjustRightInd/>
              <w:snapToGrid/>
              <w:spacing w:line="600" w:lineRule="exact"/>
              <w:ind w:left="-149" w:leftChars="-71" w:right="-170" w:rightChars="-81"/>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结果</w:t>
            </w:r>
          </w:p>
          <w:p w14:paraId="5BE57BF4">
            <w:pPr>
              <w:keepNext w:val="0"/>
              <w:keepLines w:val="0"/>
              <w:pageBreakBefore w:val="0"/>
              <w:widowControl/>
              <w:kinsoku/>
              <w:wordWrap/>
              <w:overflowPunct/>
              <w:topLinePunct w:val="0"/>
              <w:autoSpaceDE/>
              <w:autoSpaceDN/>
              <w:bidi w:val="0"/>
              <w:adjustRightInd/>
              <w:snapToGrid/>
              <w:spacing w:line="600" w:lineRule="exact"/>
              <w:ind w:left="-149" w:leftChars="-71" w:right="-170" w:rightChars="-81"/>
              <w:jc w:val="center"/>
              <w:textAlignment w:val="auto"/>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kern w:val="0"/>
                <w:sz w:val="21"/>
                <w:szCs w:val="21"/>
              </w:rPr>
              <w:t>维持</w:t>
            </w:r>
          </w:p>
        </w:tc>
        <w:tc>
          <w:tcPr>
            <w:tcW w:w="579" w:type="dxa"/>
            <w:vMerge w:val="restart"/>
            <w:tcBorders>
              <w:top w:val="nil"/>
              <w:left w:val="nil"/>
              <w:right w:val="single" w:color="auto" w:sz="6" w:space="0"/>
            </w:tcBorders>
            <w:shd w:val="clear" w:color="auto" w:fill="auto"/>
            <w:tcMar>
              <w:top w:w="0" w:type="dxa"/>
              <w:left w:w="105" w:type="dxa"/>
              <w:bottom w:w="0" w:type="dxa"/>
              <w:right w:w="105" w:type="dxa"/>
            </w:tcMar>
            <w:vAlign w:val="center"/>
          </w:tcPr>
          <w:p w14:paraId="4884D62D">
            <w:pPr>
              <w:keepNext w:val="0"/>
              <w:keepLines w:val="0"/>
              <w:pageBreakBefore w:val="0"/>
              <w:widowControl/>
              <w:kinsoku/>
              <w:wordWrap/>
              <w:overflowPunct/>
              <w:topLinePunct w:val="0"/>
              <w:autoSpaceDE/>
              <w:autoSpaceDN/>
              <w:bidi w:val="0"/>
              <w:adjustRightInd/>
              <w:snapToGrid/>
              <w:spacing w:line="600" w:lineRule="exact"/>
              <w:ind w:left="-43" w:leftChars="-21" w:right="-132" w:rightChars="-63" w:hanging="1" w:firstLineChars="0"/>
              <w:jc w:val="center"/>
              <w:textAlignment w:val="auto"/>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kern w:val="0"/>
                <w:sz w:val="21"/>
                <w:szCs w:val="21"/>
              </w:rPr>
              <w:t>结果纠正</w:t>
            </w:r>
          </w:p>
        </w:tc>
        <w:tc>
          <w:tcPr>
            <w:tcW w:w="579" w:type="dxa"/>
            <w:vMerge w:val="restart"/>
            <w:tcBorders>
              <w:top w:val="single" w:color="auto" w:sz="6" w:space="0"/>
              <w:left w:val="nil"/>
              <w:right w:val="single" w:color="auto" w:sz="6" w:space="0"/>
            </w:tcBorders>
            <w:shd w:val="clear" w:color="auto" w:fill="auto"/>
            <w:tcMar>
              <w:top w:w="0" w:type="dxa"/>
              <w:left w:w="105" w:type="dxa"/>
              <w:bottom w:w="0" w:type="dxa"/>
              <w:right w:w="105" w:type="dxa"/>
            </w:tcMar>
            <w:vAlign w:val="center"/>
          </w:tcPr>
          <w:p w14:paraId="0FB34743">
            <w:pPr>
              <w:keepNext w:val="0"/>
              <w:keepLines w:val="0"/>
              <w:pageBreakBefore w:val="0"/>
              <w:widowControl/>
              <w:kinsoku/>
              <w:wordWrap/>
              <w:overflowPunct/>
              <w:topLinePunct w:val="0"/>
              <w:autoSpaceDE/>
              <w:autoSpaceDN/>
              <w:bidi w:val="0"/>
              <w:adjustRightInd/>
              <w:snapToGrid/>
              <w:spacing w:line="600" w:lineRule="exact"/>
              <w:ind w:left="-82" w:leftChars="-39" w:right="-97" w:rightChars="-46"/>
              <w:jc w:val="center"/>
              <w:textAlignment w:val="auto"/>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kern w:val="0"/>
                <w:sz w:val="21"/>
                <w:szCs w:val="21"/>
              </w:rPr>
              <w:t>其他结果</w:t>
            </w:r>
          </w:p>
        </w:tc>
        <w:tc>
          <w:tcPr>
            <w:tcW w:w="579" w:type="dxa"/>
            <w:vMerge w:val="restart"/>
            <w:tcBorders>
              <w:top w:val="single" w:color="auto" w:sz="6" w:space="0"/>
              <w:left w:val="nil"/>
              <w:right w:val="single" w:color="auto" w:sz="6" w:space="0"/>
            </w:tcBorders>
            <w:shd w:val="clear" w:color="auto" w:fill="auto"/>
            <w:tcMar>
              <w:top w:w="0" w:type="dxa"/>
              <w:left w:w="105" w:type="dxa"/>
              <w:bottom w:w="0" w:type="dxa"/>
              <w:right w:w="105" w:type="dxa"/>
            </w:tcMar>
            <w:vAlign w:val="center"/>
          </w:tcPr>
          <w:p w14:paraId="290FC8B3">
            <w:pPr>
              <w:keepNext w:val="0"/>
              <w:keepLines w:val="0"/>
              <w:pageBreakBefore w:val="0"/>
              <w:widowControl/>
              <w:kinsoku/>
              <w:wordWrap/>
              <w:overflowPunct/>
              <w:topLinePunct w:val="0"/>
              <w:autoSpaceDE/>
              <w:autoSpaceDN/>
              <w:bidi w:val="0"/>
              <w:adjustRightInd/>
              <w:snapToGrid/>
              <w:spacing w:line="600" w:lineRule="exact"/>
              <w:ind w:left="-118" w:leftChars="-56" w:right="-118" w:rightChars="-56"/>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尚未</w:t>
            </w:r>
          </w:p>
          <w:p w14:paraId="6FA924DC">
            <w:pPr>
              <w:keepNext w:val="0"/>
              <w:keepLines w:val="0"/>
              <w:pageBreakBefore w:val="0"/>
              <w:widowControl/>
              <w:kinsoku/>
              <w:wordWrap/>
              <w:overflowPunct/>
              <w:topLinePunct w:val="0"/>
              <w:autoSpaceDE/>
              <w:autoSpaceDN/>
              <w:bidi w:val="0"/>
              <w:adjustRightInd/>
              <w:snapToGrid/>
              <w:spacing w:line="600" w:lineRule="exact"/>
              <w:ind w:left="-118" w:leftChars="-56" w:right="-118" w:rightChars="-56"/>
              <w:jc w:val="center"/>
              <w:textAlignment w:val="auto"/>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kern w:val="0"/>
                <w:sz w:val="21"/>
                <w:szCs w:val="21"/>
              </w:rPr>
              <w:t>审结</w:t>
            </w:r>
          </w:p>
        </w:tc>
        <w:tc>
          <w:tcPr>
            <w:tcW w:w="631" w:type="dxa"/>
            <w:vMerge w:val="restart"/>
            <w:tcBorders>
              <w:top w:val="single" w:color="auto" w:sz="6" w:space="0"/>
              <w:left w:val="nil"/>
              <w:right w:val="single" w:color="auto" w:sz="6" w:space="0"/>
            </w:tcBorders>
            <w:shd w:val="clear" w:color="auto" w:fill="auto"/>
            <w:tcMar>
              <w:top w:w="0" w:type="dxa"/>
              <w:left w:w="105" w:type="dxa"/>
              <w:bottom w:w="0" w:type="dxa"/>
              <w:right w:w="105" w:type="dxa"/>
            </w:tcMar>
            <w:vAlign w:val="center"/>
          </w:tcPr>
          <w:p w14:paraId="1EEFCCEB">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总</w:t>
            </w:r>
          </w:p>
          <w:p w14:paraId="2F5B100E">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kern w:val="0"/>
                <w:sz w:val="21"/>
                <w:szCs w:val="21"/>
              </w:rPr>
              <w:t>计</w:t>
            </w:r>
          </w:p>
        </w:tc>
        <w:tc>
          <w:tcPr>
            <w:tcW w:w="2856"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8C12192">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21"/>
                <w:szCs w:val="21"/>
              </w:rPr>
            </w:pPr>
            <w:r>
              <w:rPr>
                <w:rFonts w:hint="eastAsia" w:ascii="黑体" w:hAnsi="黑体" w:eastAsia="黑体" w:cs="黑体"/>
                <w:kern w:val="0"/>
                <w:sz w:val="21"/>
                <w:szCs w:val="21"/>
              </w:rPr>
              <w:t>未经复议直接起诉</w:t>
            </w:r>
          </w:p>
        </w:tc>
        <w:tc>
          <w:tcPr>
            <w:tcW w:w="2911"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C4347F2">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21"/>
                <w:szCs w:val="21"/>
              </w:rPr>
            </w:pPr>
            <w:r>
              <w:rPr>
                <w:rFonts w:hint="eastAsia" w:ascii="黑体" w:hAnsi="黑体" w:eastAsia="黑体" w:cs="黑体"/>
                <w:kern w:val="0"/>
                <w:sz w:val="21"/>
                <w:szCs w:val="21"/>
              </w:rPr>
              <w:t>复议后起诉</w:t>
            </w:r>
          </w:p>
        </w:tc>
      </w:tr>
      <w:tr w14:paraId="697508E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579" w:type="dxa"/>
            <w:vMerge w:val="continue"/>
            <w:tcBorders>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55182EB">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000000" w:themeColor="text1"/>
                <w:sz w:val="21"/>
                <w:szCs w:val="21"/>
                <w14:textFill>
                  <w14:solidFill>
                    <w14:schemeClr w14:val="tx1"/>
                  </w14:solidFill>
                </w14:textFill>
              </w:rPr>
            </w:pPr>
          </w:p>
        </w:tc>
        <w:tc>
          <w:tcPr>
            <w:tcW w:w="579" w:type="dxa"/>
            <w:vMerge w:val="continue"/>
            <w:tcBorders>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6DA7C34">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000000" w:themeColor="text1"/>
                <w:sz w:val="21"/>
                <w:szCs w:val="21"/>
                <w14:textFill>
                  <w14:solidFill>
                    <w14:schemeClr w14:val="tx1"/>
                  </w14:solidFill>
                </w14:textFill>
              </w:rPr>
            </w:pPr>
          </w:p>
        </w:tc>
        <w:tc>
          <w:tcPr>
            <w:tcW w:w="579" w:type="dxa"/>
            <w:vMerge w:val="continue"/>
            <w:tcBorders>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86E98EC">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000000" w:themeColor="text1"/>
                <w:sz w:val="21"/>
                <w:szCs w:val="21"/>
                <w14:textFill>
                  <w14:solidFill>
                    <w14:schemeClr w14:val="tx1"/>
                  </w14:solidFill>
                </w14:textFill>
              </w:rPr>
            </w:pPr>
          </w:p>
        </w:tc>
        <w:tc>
          <w:tcPr>
            <w:tcW w:w="579" w:type="dxa"/>
            <w:vMerge w:val="continue"/>
            <w:tcBorders>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CB96F0C">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000000" w:themeColor="text1"/>
                <w:sz w:val="21"/>
                <w:szCs w:val="21"/>
                <w14:textFill>
                  <w14:solidFill>
                    <w14:schemeClr w14:val="tx1"/>
                  </w14:solidFill>
                </w14:textFill>
              </w:rPr>
            </w:pPr>
          </w:p>
        </w:tc>
        <w:tc>
          <w:tcPr>
            <w:tcW w:w="631" w:type="dxa"/>
            <w:vMerge w:val="continue"/>
            <w:tcBorders>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55B0949">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000000" w:themeColor="text1"/>
                <w:sz w:val="21"/>
                <w:szCs w:val="21"/>
                <w14:textFill>
                  <w14:solidFill>
                    <w14:schemeClr w14:val="tx1"/>
                  </w14:solidFill>
                </w14:textFill>
              </w:rPr>
            </w:pPr>
          </w:p>
        </w:tc>
        <w:tc>
          <w:tcPr>
            <w:tcW w:w="528"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22E8FEE">
            <w:pPr>
              <w:keepNext w:val="0"/>
              <w:keepLines w:val="0"/>
              <w:pageBreakBefore w:val="0"/>
              <w:widowControl/>
              <w:kinsoku/>
              <w:wordWrap/>
              <w:overflowPunct/>
              <w:topLinePunct w:val="0"/>
              <w:autoSpaceDE/>
              <w:autoSpaceDN/>
              <w:bidi w:val="0"/>
              <w:adjustRightInd/>
              <w:snapToGrid/>
              <w:spacing w:line="600" w:lineRule="exact"/>
              <w:ind w:left="-105" w:leftChars="-50" w:right="-126" w:rightChars="-60"/>
              <w:jc w:val="center"/>
              <w:textAlignment w:val="auto"/>
              <w:rPr>
                <w:rFonts w:hint="eastAsia" w:ascii="黑体" w:hAnsi="黑体" w:eastAsia="黑体" w:cs="黑体"/>
                <w:sz w:val="21"/>
                <w:szCs w:val="21"/>
              </w:rPr>
            </w:pPr>
            <w:r>
              <w:rPr>
                <w:rFonts w:hint="eastAsia" w:ascii="黑体" w:hAnsi="黑体" w:eastAsia="黑体" w:cs="黑体"/>
                <w:kern w:val="0"/>
                <w:sz w:val="21"/>
                <w:szCs w:val="21"/>
              </w:rPr>
              <w:t>结果维持</w:t>
            </w:r>
          </w:p>
        </w:tc>
        <w:tc>
          <w:tcPr>
            <w:tcW w:w="58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85DFFEE">
            <w:pPr>
              <w:keepNext w:val="0"/>
              <w:keepLines w:val="0"/>
              <w:pageBreakBefore w:val="0"/>
              <w:widowControl/>
              <w:kinsoku/>
              <w:wordWrap/>
              <w:overflowPunct/>
              <w:topLinePunct w:val="0"/>
              <w:autoSpaceDE/>
              <w:autoSpaceDN/>
              <w:bidi w:val="0"/>
              <w:adjustRightInd/>
              <w:snapToGrid/>
              <w:spacing w:line="600" w:lineRule="exact"/>
              <w:ind w:left="-86" w:leftChars="-41" w:right="-88" w:rightChars="-42"/>
              <w:jc w:val="center"/>
              <w:textAlignment w:val="auto"/>
              <w:rPr>
                <w:rFonts w:hint="eastAsia" w:ascii="黑体" w:hAnsi="黑体" w:eastAsia="黑体" w:cs="黑体"/>
                <w:sz w:val="21"/>
                <w:szCs w:val="21"/>
              </w:rPr>
            </w:pPr>
            <w:r>
              <w:rPr>
                <w:rFonts w:hint="eastAsia" w:ascii="黑体" w:hAnsi="黑体" w:eastAsia="黑体" w:cs="黑体"/>
                <w:kern w:val="0"/>
                <w:sz w:val="21"/>
                <w:szCs w:val="21"/>
              </w:rPr>
              <w:t>结果纠正</w:t>
            </w:r>
          </w:p>
        </w:tc>
        <w:tc>
          <w:tcPr>
            <w:tcW w:w="58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D48633C">
            <w:pPr>
              <w:keepNext w:val="0"/>
              <w:keepLines w:val="0"/>
              <w:pageBreakBefore w:val="0"/>
              <w:widowControl/>
              <w:kinsoku/>
              <w:wordWrap/>
              <w:overflowPunct/>
              <w:topLinePunct w:val="0"/>
              <w:autoSpaceDE/>
              <w:autoSpaceDN/>
              <w:bidi w:val="0"/>
              <w:adjustRightInd/>
              <w:snapToGrid/>
              <w:spacing w:line="600" w:lineRule="exact"/>
              <w:ind w:left="-126" w:leftChars="-60" w:right="-136" w:rightChars="-65"/>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其他</w:t>
            </w:r>
          </w:p>
          <w:p w14:paraId="47646F8E">
            <w:pPr>
              <w:keepNext w:val="0"/>
              <w:keepLines w:val="0"/>
              <w:pageBreakBefore w:val="0"/>
              <w:widowControl/>
              <w:kinsoku/>
              <w:wordWrap/>
              <w:overflowPunct/>
              <w:topLinePunct w:val="0"/>
              <w:autoSpaceDE/>
              <w:autoSpaceDN/>
              <w:bidi w:val="0"/>
              <w:adjustRightInd/>
              <w:snapToGrid/>
              <w:spacing w:line="600" w:lineRule="exact"/>
              <w:ind w:left="-126" w:leftChars="-60" w:right="-136" w:rightChars="-65"/>
              <w:jc w:val="center"/>
              <w:textAlignment w:val="auto"/>
              <w:rPr>
                <w:rFonts w:hint="eastAsia" w:ascii="黑体" w:hAnsi="黑体" w:eastAsia="黑体" w:cs="黑体"/>
                <w:sz w:val="21"/>
                <w:szCs w:val="21"/>
              </w:rPr>
            </w:pPr>
            <w:r>
              <w:rPr>
                <w:rFonts w:hint="eastAsia" w:ascii="黑体" w:hAnsi="黑体" w:eastAsia="黑体" w:cs="黑体"/>
                <w:kern w:val="0"/>
                <w:sz w:val="21"/>
                <w:szCs w:val="21"/>
              </w:rPr>
              <w:t>结果</w:t>
            </w:r>
          </w:p>
        </w:tc>
        <w:tc>
          <w:tcPr>
            <w:tcW w:w="58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7844CA2">
            <w:pPr>
              <w:keepNext w:val="0"/>
              <w:keepLines w:val="0"/>
              <w:pageBreakBefore w:val="0"/>
              <w:widowControl/>
              <w:kinsoku/>
              <w:wordWrap/>
              <w:overflowPunct/>
              <w:topLinePunct w:val="0"/>
              <w:autoSpaceDE/>
              <w:autoSpaceDN/>
              <w:bidi w:val="0"/>
              <w:adjustRightInd/>
              <w:snapToGrid/>
              <w:spacing w:line="600" w:lineRule="exact"/>
              <w:ind w:left="-164" w:leftChars="-78" w:right="-153" w:rightChars="-73"/>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尚未</w:t>
            </w:r>
          </w:p>
          <w:p w14:paraId="61E3D8C1">
            <w:pPr>
              <w:keepNext w:val="0"/>
              <w:keepLines w:val="0"/>
              <w:pageBreakBefore w:val="0"/>
              <w:widowControl/>
              <w:kinsoku/>
              <w:wordWrap/>
              <w:overflowPunct/>
              <w:topLinePunct w:val="0"/>
              <w:autoSpaceDE/>
              <w:autoSpaceDN/>
              <w:bidi w:val="0"/>
              <w:adjustRightInd/>
              <w:snapToGrid/>
              <w:spacing w:line="600" w:lineRule="exact"/>
              <w:ind w:left="-164" w:leftChars="-78" w:right="-153" w:rightChars="-73"/>
              <w:jc w:val="center"/>
              <w:textAlignment w:val="auto"/>
              <w:rPr>
                <w:rFonts w:hint="eastAsia" w:ascii="黑体" w:hAnsi="黑体" w:eastAsia="黑体" w:cs="黑体"/>
                <w:sz w:val="21"/>
                <w:szCs w:val="21"/>
              </w:rPr>
            </w:pPr>
            <w:r>
              <w:rPr>
                <w:rFonts w:hint="eastAsia" w:ascii="黑体" w:hAnsi="黑体" w:eastAsia="黑体" w:cs="黑体"/>
                <w:kern w:val="0"/>
                <w:sz w:val="21"/>
                <w:szCs w:val="21"/>
              </w:rPr>
              <w:t>审结</w:t>
            </w:r>
          </w:p>
        </w:tc>
        <w:tc>
          <w:tcPr>
            <w:tcW w:w="58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26FF21A">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21"/>
                <w:szCs w:val="21"/>
              </w:rPr>
            </w:pPr>
            <w:r>
              <w:rPr>
                <w:rFonts w:hint="eastAsia" w:ascii="黑体" w:hAnsi="黑体" w:eastAsia="黑体" w:cs="黑体"/>
                <w:kern w:val="0"/>
                <w:sz w:val="21"/>
                <w:szCs w:val="21"/>
              </w:rPr>
              <w:t>总计</w:t>
            </w:r>
          </w:p>
        </w:tc>
        <w:tc>
          <w:tcPr>
            <w:tcW w:w="581"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E709B17">
            <w:pPr>
              <w:keepNext w:val="0"/>
              <w:keepLines w:val="0"/>
              <w:pageBreakBefore w:val="0"/>
              <w:widowControl/>
              <w:kinsoku/>
              <w:wordWrap/>
              <w:overflowPunct/>
              <w:topLinePunct w:val="0"/>
              <w:autoSpaceDE/>
              <w:autoSpaceDN/>
              <w:bidi w:val="0"/>
              <w:adjustRightInd/>
              <w:snapToGrid/>
              <w:spacing w:line="600" w:lineRule="exact"/>
              <w:ind w:left="-99" w:leftChars="-47" w:right="-78" w:rightChars="-37"/>
              <w:jc w:val="center"/>
              <w:textAlignment w:val="auto"/>
              <w:rPr>
                <w:rFonts w:hint="eastAsia" w:ascii="黑体" w:hAnsi="黑体" w:eastAsia="黑体" w:cs="黑体"/>
                <w:sz w:val="21"/>
                <w:szCs w:val="21"/>
              </w:rPr>
            </w:pPr>
            <w:r>
              <w:rPr>
                <w:rFonts w:hint="eastAsia" w:ascii="黑体" w:hAnsi="黑体" w:eastAsia="黑体" w:cs="黑体"/>
                <w:kern w:val="0"/>
                <w:sz w:val="21"/>
                <w:szCs w:val="21"/>
              </w:rPr>
              <w:t>结果维持</w:t>
            </w:r>
          </w:p>
        </w:tc>
        <w:tc>
          <w:tcPr>
            <w:tcW w:w="58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AF1C2B5">
            <w:pPr>
              <w:keepNext w:val="0"/>
              <w:keepLines w:val="0"/>
              <w:pageBreakBefore w:val="0"/>
              <w:widowControl/>
              <w:kinsoku/>
              <w:wordWrap/>
              <w:overflowPunct/>
              <w:topLinePunct w:val="0"/>
              <w:autoSpaceDE/>
              <w:autoSpaceDN/>
              <w:bidi w:val="0"/>
              <w:adjustRightInd/>
              <w:snapToGrid/>
              <w:spacing w:line="600" w:lineRule="exact"/>
              <w:ind w:left="-136" w:leftChars="-65" w:right="-124" w:rightChars="-59"/>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结果</w:t>
            </w:r>
          </w:p>
          <w:p w14:paraId="35B4BEC4">
            <w:pPr>
              <w:keepNext w:val="0"/>
              <w:keepLines w:val="0"/>
              <w:pageBreakBefore w:val="0"/>
              <w:widowControl/>
              <w:kinsoku/>
              <w:wordWrap/>
              <w:overflowPunct/>
              <w:topLinePunct w:val="0"/>
              <w:autoSpaceDE/>
              <w:autoSpaceDN/>
              <w:bidi w:val="0"/>
              <w:adjustRightInd/>
              <w:snapToGrid/>
              <w:spacing w:line="600" w:lineRule="exact"/>
              <w:ind w:left="-136" w:leftChars="-65" w:right="-124" w:rightChars="-59"/>
              <w:jc w:val="center"/>
              <w:textAlignment w:val="auto"/>
              <w:rPr>
                <w:rFonts w:hint="eastAsia" w:ascii="黑体" w:hAnsi="黑体" w:eastAsia="黑体" w:cs="黑体"/>
                <w:sz w:val="21"/>
                <w:szCs w:val="21"/>
              </w:rPr>
            </w:pPr>
            <w:r>
              <w:rPr>
                <w:rFonts w:hint="eastAsia" w:ascii="黑体" w:hAnsi="黑体" w:eastAsia="黑体" w:cs="黑体"/>
                <w:kern w:val="0"/>
                <w:sz w:val="21"/>
                <w:szCs w:val="21"/>
              </w:rPr>
              <w:t>纠正</w:t>
            </w:r>
          </w:p>
        </w:tc>
        <w:tc>
          <w:tcPr>
            <w:tcW w:w="58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F9B097D">
            <w:pPr>
              <w:keepNext w:val="0"/>
              <w:keepLines w:val="0"/>
              <w:pageBreakBefore w:val="0"/>
              <w:widowControl/>
              <w:kinsoku/>
              <w:wordWrap/>
              <w:overflowPunct/>
              <w:topLinePunct w:val="0"/>
              <w:autoSpaceDE/>
              <w:autoSpaceDN/>
              <w:bidi w:val="0"/>
              <w:adjustRightInd/>
              <w:snapToGrid/>
              <w:spacing w:line="600" w:lineRule="exact"/>
              <w:ind w:left="-173" w:leftChars="-83" w:right="-134" w:rightChars="-64" w:hanging="1"/>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其他</w:t>
            </w:r>
          </w:p>
          <w:p w14:paraId="463E2B83">
            <w:pPr>
              <w:keepNext w:val="0"/>
              <w:keepLines w:val="0"/>
              <w:pageBreakBefore w:val="0"/>
              <w:widowControl/>
              <w:kinsoku/>
              <w:wordWrap/>
              <w:overflowPunct/>
              <w:topLinePunct w:val="0"/>
              <w:autoSpaceDE/>
              <w:autoSpaceDN/>
              <w:bidi w:val="0"/>
              <w:adjustRightInd/>
              <w:snapToGrid/>
              <w:spacing w:line="600" w:lineRule="exact"/>
              <w:ind w:left="-173" w:leftChars="-83" w:right="-134" w:rightChars="-64" w:hanging="1" w:firstLineChars="0"/>
              <w:jc w:val="center"/>
              <w:textAlignment w:val="auto"/>
              <w:rPr>
                <w:rFonts w:hint="eastAsia" w:ascii="黑体" w:hAnsi="黑体" w:eastAsia="黑体" w:cs="黑体"/>
                <w:sz w:val="21"/>
                <w:szCs w:val="21"/>
              </w:rPr>
            </w:pPr>
            <w:r>
              <w:rPr>
                <w:rFonts w:hint="eastAsia" w:ascii="黑体" w:hAnsi="黑体" w:eastAsia="黑体" w:cs="黑体"/>
                <w:kern w:val="0"/>
                <w:sz w:val="21"/>
                <w:szCs w:val="21"/>
              </w:rPr>
              <w:t>结果</w:t>
            </w:r>
          </w:p>
        </w:tc>
        <w:tc>
          <w:tcPr>
            <w:tcW w:w="583"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3D1DDFA">
            <w:pPr>
              <w:keepNext w:val="0"/>
              <w:keepLines w:val="0"/>
              <w:pageBreakBefore w:val="0"/>
              <w:widowControl/>
              <w:kinsoku/>
              <w:wordWrap/>
              <w:overflowPunct/>
              <w:topLinePunct w:val="0"/>
              <w:autoSpaceDE/>
              <w:autoSpaceDN/>
              <w:bidi w:val="0"/>
              <w:adjustRightInd/>
              <w:snapToGrid/>
              <w:spacing w:line="600" w:lineRule="exact"/>
              <w:ind w:left="-67" w:leftChars="-33" w:right="-105" w:rightChars="-50" w:hanging="2" w:hangingChars="1"/>
              <w:jc w:val="center"/>
              <w:textAlignment w:val="auto"/>
              <w:rPr>
                <w:rFonts w:hint="eastAsia" w:ascii="黑体" w:hAnsi="黑体" w:eastAsia="黑体" w:cs="黑体"/>
                <w:sz w:val="21"/>
                <w:szCs w:val="21"/>
              </w:rPr>
            </w:pPr>
            <w:r>
              <w:rPr>
                <w:rFonts w:hint="eastAsia" w:ascii="黑体" w:hAnsi="黑体" w:eastAsia="黑体" w:cs="黑体"/>
                <w:kern w:val="0"/>
                <w:sz w:val="21"/>
                <w:szCs w:val="21"/>
              </w:rPr>
              <w:t>尚未审结</w:t>
            </w:r>
          </w:p>
        </w:tc>
        <w:tc>
          <w:tcPr>
            <w:tcW w:w="583"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D8776BA">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21"/>
                <w:szCs w:val="21"/>
              </w:rPr>
            </w:pPr>
            <w:r>
              <w:rPr>
                <w:rFonts w:hint="eastAsia" w:ascii="黑体" w:hAnsi="黑体" w:eastAsia="黑体" w:cs="黑体"/>
                <w:kern w:val="0"/>
                <w:sz w:val="21"/>
                <w:szCs w:val="21"/>
              </w:rPr>
              <w:t>总计</w:t>
            </w:r>
          </w:p>
        </w:tc>
      </w:tr>
      <w:tr w14:paraId="36C00F5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 w:hRule="atLeast"/>
          <w:jc w:val="center"/>
        </w:trPr>
        <w:tc>
          <w:tcPr>
            <w:tcW w:w="579" w:type="dxa"/>
            <w:tcBorders>
              <w:top w:val="nil"/>
              <w:left w:val="single" w:color="auto" w:sz="6" w:space="0"/>
              <w:right w:val="single" w:color="auto" w:sz="6" w:space="0"/>
            </w:tcBorders>
            <w:shd w:val="clear" w:color="auto" w:fill="auto"/>
            <w:tcMar>
              <w:top w:w="0" w:type="dxa"/>
              <w:left w:w="105" w:type="dxa"/>
              <w:bottom w:w="0" w:type="dxa"/>
              <w:right w:w="105" w:type="dxa"/>
            </w:tcMar>
            <w:vAlign w:val="center"/>
          </w:tcPr>
          <w:p w14:paraId="389AD5AF">
            <w:pPr>
              <w:keepNext w:val="0"/>
              <w:keepLines w:val="0"/>
              <w:pageBreakBefore w:val="0"/>
              <w:widowControl/>
              <w:kinsoku/>
              <w:wordWrap/>
              <w:overflowPunct/>
              <w:topLinePunct w:val="0"/>
              <w:autoSpaceDE/>
              <w:autoSpaceDN/>
              <w:bidi w:val="0"/>
              <w:adjustRightInd/>
              <w:snapToGrid/>
              <w:spacing w:after="180" w:line="600" w:lineRule="exact"/>
              <w:jc w:val="center"/>
              <w:textAlignment w:val="auto"/>
              <w:rPr>
                <w:rFonts w:hint="default" w:ascii="Times New Roman" w:hAnsi="Times New Roman" w:eastAsia="黑体" w:cs="Times New Roman"/>
                <w:sz w:val="21"/>
                <w:szCs w:val="21"/>
                <w:lang w:val="en-US" w:eastAsia="zh-CN"/>
              </w:rPr>
            </w:pPr>
            <w:r>
              <w:rPr>
                <w:rFonts w:hint="eastAsia" w:ascii="Times New Roman" w:hAnsi="Times New Roman" w:eastAsia="黑体" w:cs="Times New Roman"/>
                <w:sz w:val="21"/>
                <w:szCs w:val="21"/>
                <w:lang w:val="en-US" w:eastAsia="zh-CN"/>
              </w:rPr>
              <w:t>1</w:t>
            </w:r>
          </w:p>
        </w:tc>
        <w:tc>
          <w:tcPr>
            <w:tcW w:w="579" w:type="dxa"/>
            <w:tcBorders>
              <w:top w:val="nil"/>
              <w:left w:val="nil"/>
              <w:right w:val="single" w:color="auto" w:sz="6" w:space="0"/>
            </w:tcBorders>
            <w:shd w:val="clear" w:color="auto" w:fill="auto"/>
            <w:tcMar>
              <w:top w:w="0" w:type="dxa"/>
              <w:left w:w="105" w:type="dxa"/>
              <w:bottom w:w="0" w:type="dxa"/>
              <w:right w:w="105" w:type="dxa"/>
            </w:tcMar>
            <w:vAlign w:val="center"/>
          </w:tcPr>
          <w:p w14:paraId="6E89E949">
            <w:pPr>
              <w:keepNext w:val="0"/>
              <w:keepLines w:val="0"/>
              <w:pageBreakBefore w:val="0"/>
              <w:widowControl/>
              <w:kinsoku/>
              <w:wordWrap/>
              <w:overflowPunct/>
              <w:topLinePunct w:val="0"/>
              <w:autoSpaceDE/>
              <w:autoSpaceDN/>
              <w:bidi w:val="0"/>
              <w:adjustRightInd/>
              <w:snapToGrid/>
              <w:spacing w:after="180" w:line="600" w:lineRule="exact"/>
              <w:jc w:val="center"/>
              <w:textAlignment w:val="auto"/>
              <w:rPr>
                <w:rFonts w:hint="default" w:ascii="Times New Roman" w:hAnsi="Times New Roman" w:eastAsia="黑体" w:cs="Times New Roman"/>
                <w:sz w:val="21"/>
                <w:szCs w:val="21"/>
                <w:lang w:val="en-US" w:eastAsia="zh-CN"/>
              </w:rPr>
            </w:pPr>
            <w:r>
              <w:rPr>
                <w:rFonts w:hint="eastAsia" w:ascii="Times New Roman" w:hAnsi="Times New Roman" w:eastAsia="黑体" w:cs="Times New Roman"/>
                <w:sz w:val="21"/>
                <w:szCs w:val="21"/>
                <w:highlight w:val="none"/>
                <w:lang w:val="en-US" w:eastAsia="zh-CN"/>
              </w:rPr>
              <w:t>0</w:t>
            </w:r>
          </w:p>
        </w:tc>
        <w:tc>
          <w:tcPr>
            <w:tcW w:w="579" w:type="dxa"/>
            <w:tcBorders>
              <w:top w:val="nil"/>
              <w:left w:val="nil"/>
              <w:right w:val="single" w:color="auto" w:sz="6" w:space="0"/>
            </w:tcBorders>
            <w:shd w:val="clear" w:color="auto" w:fill="auto"/>
            <w:tcMar>
              <w:top w:w="0" w:type="dxa"/>
              <w:left w:w="105" w:type="dxa"/>
              <w:bottom w:w="0" w:type="dxa"/>
              <w:right w:w="105" w:type="dxa"/>
            </w:tcMar>
            <w:vAlign w:val="center"/>
          </w:tcPr>
          <w:p w14:paraId="19E01969">
            <w:pPr>
              <w:keepNext w:val="0"/>
              <w:keepLines w:val="0"/>
              <w:pageBreakBefore w:val="0"/>
              <w:widowControl/>
              <w:kinsoku/>
              <w:wordWrap/>
              <w:overflowPunct/>
              <w:topLinePunct w:val="0"/>
              <w:autoSpaceDE/>
              <w:autoSpaceDN/>
              <w:bidi w:val="0"/>
              <w:adjustRightInd/>
              <w:snapToGrid/>
              <w:spacing w:after="180" w:line="600" w:lineRule="exact"/>
              <w:jc w:val="center"/>
              <w:textAlignment w:val="auto"/>
              <w:rPr>
                <w:rFonts w:hint="default" w:ascii="Times New Roman" w:hAnsi="Times New Roman" w:eastAsia="黑体" w:cs="Times New Roman"/>
                <w:sz w:val="21"/>
                <w:szCs w:val="21"/>
                <w:highlight w:val="yellow"/>
                <w:lang w:val="en-US" w:eastAsia="zh-CN"/>
              </w:rPr>
            </w:pPr>
            <w:r>
              <w:rPr>
                <w:rFonts w:hint="default" w:ascii="Times New Roman" w:hAnsi="Times New Roman" w:eastAsia="黑体" w:cs="Times New Roman"/>
                <w:sz w:val="21"/>
                <w:szCs w:val="21"/>
                <w:highlight w:val="none"/>
                <w:lang w:val="en-US" w:eastAsia="zh-CN"/>
              </w:rPr>
              <w:t>0</w:t>
            </w:r>
          </w:p>
        </w:tc>
        <w:tc>
          <w:tcPr>
            <w:tcW w:w="579" w:type="dxa"/>
            <w:tcBorders>
              <w:top w:val="nil"/>
              <w:left w:val="nil"/>
              <w:right w:val="single" w:color="auto" w:sz="6" w:space="0"/>
            </w:tcBorders>
            <w:shd w:val="clear" w:color="auto" w:fill="auto"/>
            <w:tcMar>
              <w:top w:w="0" w:type="dxa"/>
              <w:left w:w="105" w:type="dxa"/>
              <w:bottom w:w="0" w:type="dxa"/>
              <w:right w:w="105" w:type="dxa"/>
            </w:tcMar>
            <w:vAlign w:val="center"/>
          </w:tcPr>
          <w:p w14:paraId="7FA88093">
            <w:pPr>
              <w:keepNext w:val="0"/>
              <w:keepLines w:val="0"/>
              <w:pageBreakBefore w:val="0"/>
              <w:widowControl/>
              <w:kinsoku/>
              <w:wordWrap/>
              <w:overflowPunct/>
              <w:topLinePunct w:val="0"/>
              <w:autoSpaceDE/>
              <w:autoSpaceDN/>
              <w:bidi w:val="0"/>
              <w:adjustRightInd/>
              <w:snapToGrid/>
              <w:spacing w:after="180" w:line="600" w:lineRule="exact"/>
              <w:jc w:val="center"/>
              <w:textAlignment w:val="auto"/>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0</w:t>
            </w:r>
          </w:p>
        </w:tc>
        <w:tc>
          <w:tcPr>
            <w:tcW w:w="631" w:type="dxa"/>
            <w:tcBorders>
              <w:top w:val="nil"/>
              <w:left w:val="nil"/>
              <w:right w:val="single" w:color="auto" w:sz="6" w:space="0"/>
            </w:tcBorders>
            <w:shd w:val="clear" w:color="auto" w:fill="auto"/>
            <w:tcMar>
              <w:top w:w="0" w:type="dxa"/>
              <w:left w:w="105" w:type="dxa"/>
              <w:bottom w:w="0" w:type="dxa"/>
              <w:right w:w="105" w:type="dxa"/>
            </w:tcMar>
            <w:vAlign w:val="center"/>
          </w:tcPr>
          <w:p w14:paraId="2188ED97">
            <w:pPr>
              <w:keepNext w:val="0"/>
              <w:keepLines w:val="0"/>
              <w:pageBreakBefore w:val="0"/>
              <w:widowControl/>
              <w:kinsoku/>
              <w:wordWrap/>
              <w:overflowPunct/>
              <w:topLinePunct w:val="0"/>
              <w:autoSpaceDE/>
              <w:autoSpaceDN/>
              <w:bidi w:val="0"/>
              <w:adjustRightInd/>
              <w:snapToGrid/>
              <w:spacing w:after="180" w:line="600" w:lineRule="exact"/>
              <w:jc w:val="center"/>
              <w:textAlignment w:val="auto"/>
              <w:rPr>
                <w:rFonts w:hint="default" w:ascii="Times New Roman" w:hAnsi="Times New Roman" w:eastAsia="黑体" w:cs="Times New Roman"/>
                <w:sz w:val="21"/>
                <w:szCs w:val="21"/>
                <w:lang w:val="en-US" w:eastAsia="zh-CN"/>
              </w:rPr>
            </w:pPr>
            <w:r>
              <w:rPr>
                <w:rFonts w:hint="eastAsia" w:ascii="Times New Roman" w:hAnsi="Times New Roman" w:eastAsia="黑体" w:cs="Times New Roman"/>
                <w:sz w:val="21"/>
                <w:szCs w:val="21"/>
                <w:highlight w:val="none"/>
                <w:lang w:val="en-US" w:eastAsia="zh-CN"/>
              </w:rPr>
              <w:t>1</w:t>
            </w:r>
          </w:p>
        </w:tc>
        <w:tc>
          <w:tcPr>
            <w:tcW w:w="52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D535C5D">
            <w:pPr>
              <w:keepNext w:val="0"/>
              <w:keepLines w:val="0"/>
              <w:pageBreakBefore w:val="0"/>
              <w:widowControl/>
              <w:kinsoku/>
              <w:wordWrap/>
              <w:overflowPunct/>
              <w:topLinePunct w:val="0"/>
              <w:autoSpaceDE/>
              <w:autoSpaceDN/>
              <w:bidi w:val="0"/>
              <w:adjustRightInd/>
              <w:snapToGrid/>
              <w:spacing w:after="180" w:line="600" w:lineRule="exact"/>
              <w:jc w:val="center"/>
              <w:textAlignment w:val="auto"/>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0</w:t>
            </w:r>
          </w:p>
        </w:tc>
        <w:tc>
          <w:tcPr>
            <w:tcW w:w="58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21295FD">
            <w:pPr>
              <w:keepNext w:val="0"/>
              <w:keepLines w:val="0"/>
              <w:pageBreakBefore w:val="0"/>
              <w:widowControl/>
              <w:kinsoku/>
              <w:wordWrap/>
              <w:overflowPunct/>
              <w:topLinePunct w:val="0"/>
              <w:autoSpaceDE/>
              <w:autoSpaceDN/>
              <w:bidi w:val="0"/>
              <w:adjustRightInd/>
              <w:snapToGrid/>
              <w:spacing w:after="180" w:line="600" w:lineRule="exact"/>
              <w:jc w:val="center"/>
              <w:textAlignment w:val="auto"/>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0</w:t>
            </w:r>
          </w:p>
        </w:tc>
        <w:tc>
          <w:tcPr>
            <w:tcW w:w="58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C897176">
            <w:pPr>
              <w:keepNext w:val="0"/>
              <w:keepLines w:val="0"/>
              <w:pageBreakBefore w:val="0"/>
              <w:widowControl/>
              <w:kinsoku/>
              <w:wordWrap/>
              <w:overflowPunct/>
              <w:topLinePunct w:val="0"/>
              <w:autoSpaceDE/>
              <w:autoSpaceDN/>
              <w:bidi w:val="0"/>
              <w:adjustRightInd/>
              <w:snapToGrid/>
              <w:spacing w:after="180" w:line="600" w:lineRule="exact"/>
              <w:jc w:val="center"/>
              <w:textAlignment w:val="auto"/>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0</w:t>
            </w:r>
          </w:p>
        </w:tc>
        <w:tc>
          <w:tcPr>
            <w:tcW w:w="58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422FDDA">
            <w:pPr>
              <w:keepNext w:val="0"/>
              <w:keepLines w:val="0"/>
              <w:pageBreakBefore w:val="0"/>
              <w:widowControl/>
              <w:kinsoku/>
              <w:wordWrap/>
              <w:overflowPunct/>
              <w:topLinePunct w:val="0"/>
              <w:autoSpaceDE/>
              <w:autoSpaceDN/>
              <w:bidi w:val="0"/>
              <w:adjustRightInd/>
              <w:snapToGrid/>
              <w:spacing w:after="180" w:line="600" w:lineRule="exact"/>
              <w:jc w:val="center"/>
              <w:textAlignment w:val="auto"/>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0</w:t>
            </w:r>
          </w:p>
        </w:tc>
        <w:tc>
          <w:tcPr>
            <w:tcW w:w="58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4F9B922">
            <w:pPr>
              <w:keepNext w:val="0"/>
              <w:keepLines w:val="0"/>
              <w:pageBreakBefore w:val="0"/>
              <w:widowControl/>
              <w:kinsoku/>
              <w:wordWrap/>
              <w:overflowPunct/>
              <w:topLinePunct w:val="0"/>
              <w:autoSpaceDE/>
              <w:autoSpaceDN/>
              <w:bidi w:val="0"/>
              <w:adjustRightInd/>
              <w:snapToGrid/>
              <w:spacing w:after="180" w:line="600" w:lineRule="exact"/>
              <w:jc w:val="center"/>
              <w:textAlignment w:val="auto"/>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0</w:t>
            </w:r>
          </w:p>
        </w:tc>
        <w:tc>
          <w:tcPr>
            <w:tcW w:w="581"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441E788">
            <w:pPr>
              <w:keepNext w:val="0"/>
              <w:keepLines w:val="0"/>
              <w:pageBreakBefore w:val="0"/>
              <w:widowControl/>
              <w:kinsoku/>
              <w:wordWrap/>
              <w:overflowPunct/>
              <w:topLinePunct w:val="0"/>
              <w:autoSpaceDE/>
              <w:autoSpaceDN/>
              <w:bidi w:val="0"/>
              <w:adjustRightInd/>
              <w:snapToGrid/>
              <w:spacing w:after="180" w:line="600" w:lineRule="exact"/>
              <w:jc w:val="center"/>
              <w:textAlignment w:val="auto"/>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0</w:t>
            </w:r>
          </w:p>
        </w:tc>
        <w:tc>
          <w:tcPr>
            <w:tcW w:w="58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BE7A7DF">
            <w:pPr>
              <w:keepNext w:val="0"/>
              <w:keepLines w:val="0"/>
              <w:pageBreakBefore w:val="0"/>
              <w:widowControl/>
              <w:kinsoku/>
              <w:wordWrap/>
              <w:overflowPunct/>
              <w:topLinePunct w:val="0"/>
              <w:autoSpaceDE/>
              <w:autoSpaceDN/>
              <w:bidi w:val="0"/>
              <w:adjustRightInd/>
              <w:snapToGrid/>
              <w:spacing w:after="180" w:line="600" w:lineRule="exact"/>
              <w:jc w:val="center"/>
              <w:textAlignment w:val="auto"/>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0</w:t>
            </w:r>
          </w:p>
        </w:tc>
        <w:tc>
          <w:tcPr>
            <w:tcW w:w="58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18E389A">
            <w:pPr>
              <w:keepNext w:val="0"/>
              <w:keepLines w:val="0"/>
              <w:pageBreakBefore w:val="0"/>
              <w:widowControl/>
              <w:kinsoku/>
              <w:wordWrap/>
              <w:overflowPunct/>
              <w:topLinePunct w:val="0"/>
              <w:autoSpaceDE/>
              <w:autoSpaceDN/>
              <w:bidi w:val="0"/>
              <w:adjustRightInd/>
              <w:snapToGrid/>
              <w:spacing w:after="180" w:line="600" w:lineRule="exact"/>
              <w:jc w:val="center"/>
              <w:textAlignment w:val="auto"/>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0</w:t>
            </w:r>
          </w:p>
        </w:tc>
        <w:tc>
          <w:tcPr>
            <w:tcW w:w="583"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D1A8C59">
            <w:pPr>
              <w:keepNext w:val="0"/>
              <w:keepLines w:val="0"/>
              <w:pageBreakBefore w:val="0"/>
              <w:widowControl/>
              <w:kinsoku/>
              <w:wordWrap/>
              <w:overflowPunct/>
              <w:topLinePunct w:val="0"/>
              <w:autoSpaceDE/>
              <w:autoSpaceDN/>
              <w:bidi w:val="0"/>
              <w:adjustRightInd/>
              <w:snapToGrid/>
              <w:spacing w:after="180" w:line="600" w:lineRule="exact"/>
              <w:jc w:val="center"/>
              <w:textAlignment w:val="auto"/>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0</w:t>
            </w:r>
          </w:p>
        </w:tc>
        <w:tc>
          <w:tcPr>
            <w:tcW w:w="583"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66EC346">
            <w:pPr>
              <w:keepNext w:val="0"/>
              <w:keepLines w:val="0"/>
              <w:pageBreakBefore w:val="0"/>
              <w:widowControl/>
              <w:kinsoku/>
              <w:wordWrap/>
              <w:overflowPunct/>
              <w:topLinePunct w:val="0"/>
              <w:autoSpaceDE/>
              <w:autoSpaceDN/>
              <w:bidi w:val="0"/>
              <w:adjustRightInd/>
              <w:snapToGrid/>
              <w:spacing w:after="180" w:line="600" w:lineRule="exact"/>
              <w:jc w:val="center"/>
              <w:textAlignment w:val="auto"/>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0</w:t>
            </w:r>
          </w:p>
        </w:tc>
      </w:tr>
    </w:tbl>
    <w:p w14:paraId="52CC8A7D">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600" w:lineRule="exact"/>
        <w:ind w:leftChars="0" w:right="0" w:rightChars="0" w:firstLine="640" w:firstLineChars="200"/>
        <w:textAlignment w:val="auto"/>
        <w:rPr>
          <w:rFonts w:hint="eastAsia" w:ascii="黑体" w:hAnsi="宋体" w:eastAsia="黑体" w:cs="黑体"/>
          <w:spacing w:val="0"/>
          <w:sz w:val="32"/>
          <w:szCs w:val="32"/>
          <w:shd w:val="clear" w:fill="FFFFFF"/>
        </w:rPr>
      </w:pPr>
      <w:r>
        <w:rPr>
          <w:rFonts w:hint="eastAsia" w:ascii="黑体" w:hAnsi="宋体" w:eastAsia="黑体" w:cs="黑体"/>
          <w:sz w:val="32"/>
          <w:szCs w:val="32"/>
          <w:shd w:val="clear" w:fill="FFFFFF"/>
          <w:lang w:val="en-US" w:eastAsia="zh-CN"/>
        </w:rPr>
        <w:t>五、</w:t>
      </w:r>
      <w:r>
        <w:rPr>
          <w:rFonts w:hint="eastAsia" w:ascii="黑体" w:hAnsi="宋体" w:eastAsia="黑体" w:cs="黑体"/>
          <w:sz w:val="32"/>
          <w:szCs w:val="32"/>
          <w:shd w:val="clear" w:fill="FFFFFF"/>
        </w:rPr>
        <w:t>存在的主要问题及改进情况</w:t>
      </w:r>
    </w:p>
    <w:p w14:paraId="2DC90608">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600" w:lineRule="exact"/>
        <w:ind w:right="0" w:righ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（一）存在问题</w:t>
      </w:r>
    </w:p>
    <w:p w14:paraId="704BA99A">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600" w:lineRule="exact"/>
        <w:ind w:right="0" w:rightChars="0" w:firstLine="640" w:firstLineChars="200"/>
        <w:textAlignment w:val="auto"/>
        <w:rPr>
          <w:rFonts w:hint="default" w:ascii="仿宋_GB2312" w:eastAsia="仿宋_GB2312" w:cs="仿宋_GB2312"/>
          <w:sz w:val="32"/>
          <w:szCs w:val="32"/>
          <w:lang w:val="en-US" w:eastAsia="zh-CN"/>
        </w:rPr>
      </w:pPr>
      <w:r>
        <w:rPr>
          <w:rFonts w:hint="eastAsia" w:ascii="仿宋_GB2312" w:eastAsia="仿宋_GB2312" w:cs="仿宋_GB2312"/>
          <w:sz w:val="32"/>
          <w:szCs w:val="32"/>
          <w:lang w:val="en-US" w:eastAsia="zh-CN"/>
        </w:rPr>
        <w:t>2025年，滕州市发展和改革局政务公开工作取得了一定进展，但仍存在一些问题和不足，</w:t>
      </w:r>
      <w:r>
        <w:rPr>
          <w:rFonts w:hint="eastAsia" w:ascii="仿宋_GB2312" w:eastAsia="仿宋_GB2312" w:cs="仿宋_GB2312"/>
          <w:b/>
          <w:bCs/>
          <w:sz w:val="32"/>
          <w:szCs w:val="32"/>
          <w:lang w:val="en-US" w:eastAsia="zh-CN"/>
        </w:rPr>
        <w:t>一是</w:t>
      </w:r>
      <w:r>
        <w:rPr>
          <w:rFonts w:hint="eastAsia" w:ascii="仿宋_GB2312" w:eastAsia="仿宋_GB2312" w:cs="仿宋_GB2312"/>
          <w:sz w:val="32"/>
          <w:szCs w:val="32"/>
          <w:lang w:val="en-US" w:eastAsia="zh-CN"/>
        </w:rPr>
        <w:t>政策解读形式有待进一步丰富；</w:t>
      </w:r>
      <w:r>
        <w:rPr>
          <w:rFonts w:hint="eastAsia" w:ascii="仿宋_GB2312" w:eastAsia="仿宋_GB2312" w:cs="仿宋_GB2312"/>
          <w:b/>
          <w:bCs/>
          <w:sz w:val="32"/>
          <w:szCs w:val="32"/>
          <w:lang w:val="en-US" w:eastAsia="zh-CN"/>
        </w:rPr>
        <w:t>二是</w:t>
      </w:r>
      <w:r>
        <w:rPr>
          <w:rFonts w:hint="eastAsia" w:ascii="仿宋_GB2312" w:eastAsia="仿宋_GB2312" w:cs="仿宋_GB2312"/>
          <w:sz w:val="32"/>
          <w:szCs w:val="32"/>
          <w:lang w:val="en-US" w:eastAsia="zh-CN"/>
        </w:rPr>
        <w:t>依申请公开办理能力需持续加强；</w:t>
      </w:r>
      <w:r>
        <w:rPr>
          <w:rFonts w:hint="eastAsia" w:ascii="仿宋_GB2312" w:eastAsia="仿宋_GB2312" w:cs="仿宋_GB2312"/>
          <w:b/>
          <w:bCs/>
          <w:sz w:val="32"/>
          <w:szCs w:val="32"/>
          <w:lang w:val="en-US" w:eastAsia="zh-CN"/>
        </w:rPr>
        <w:t>三是</w:t>
      </w:r>
      <w:r>
        <w:rPr>
          <w:rFonts w:hint="eastAsia" w:ascii="仿宋_GB2312" w:eastAsia="仿宋_GB2312" w:cs="仿宋_GB2312"/>
          <w:sz w:val="32"/>
          <w:szCs w:val="32"/>
          <w:lang w:val="en-US" w:eastAsia="zh-CN"/>
        </w:rPr>
        <w:t>信息公开工作监督考核机制需进一步完善。</w:t>
      </w:r>
    </w:p>
    <w:p w14:paraId="2B235B4E">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600" w:lineRule="exact"/>
        <w:ind w:right="0" w:rightChars="0"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（二）改进措施</w:t>
      </w:r>
    </w:p>
    <w:p w14:paraId="315E0661">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600" w:lineRule="exact"/>
        <w:ind w:right="0" w:rightChars="0" w:firstLine="643" w:firstLineChars="200"/>
        <w:textAlignment w:val="auto"/>
        <w:rPr>
          <w:rFonts w:hint="default" w:ascii="楷体_GB2312" w:hAnsi="楷体_GB2312" w:eastAsia="楷体_GB2312" w:cs="楷体_GB2312"/>
          <w:sz w:val="32"/>
          <w:szCs w:val="32"/>
          <w:lang w:val="en-US" w:eastAsia="zh-CN"/>
        </w:rPr>
      </w:pPr>
      <w:r>
        <w:rPr>
          <w:rFonts w:hint="default" w:ascii="仿宋_GB2312" w:eastAsia="仿宋_GB2312" w:cs="仿宋_GB2312"/>
          <w:b/>
          <w:bCs/>
          <w:sz w:val="32"/>
          <w:szCs w:val="32"/>
          <w:lang w:val="en-US" w:eastAsia="zh-CN"/>
        </w:rPr>
        <w:t>一是</w:t>
      </w:r>
      <w:r>
        <w:rPr>
          <w:rFonts w:hint="default" w:ascii="仿宋_GB2312" w:eastAsia="仿宋_GB2312" w:cs="仿宋_GB2312"/>
          <w:b w:val="0"/>
          <w:bCs w:val="0"/>
          <w:sz w:val="32"/>
          <w:szCs w:val="32"/>
          <w:lang w:val="en-US" w:eastAsia="zh-CN"/>
        </w:rPr>
        <w:t>深化解读回应，提升政策影响力。健全政策解读全链条管理机制，加强对热点政策的主动回应和预期引导。</w:t>
      </w:r>
      <w:r>
        <w:rPr>
          <w:rFonts w:hint="eastAsia" w:ascii="仿宋_GB2312" w:eastAsia="仿宋_GB2312" w:cs="仿宋_GB2312"/>
          <w:b/>
          <w:bCs/>
          <w:sz w:val="32"/>
          <w:szCs w:val="32"/>
          <w:lang w:val="en-US" w:eastAsia="zh-CN"/>
        </w:rPr>
        <w:t>二是</w:t>
      </w:r>
      <w:r>
        <w:rPr>
          <w:rFonts w:hint="eastAsia" w:ascii="仿宋_GB2312" w:eastAsia="仿宋_GB2312" w:cs="仿宋_GB2312"/>
          <w:sz w:val="32"/>
          <w:szCs w:val="32"/>
          <w:lang w:val="en-US" w:eastAsia="zh-CN"/>
        </w:rPr>
        <w:t>规范依申请公开，保障公众合法权益。完善依申请公开流程，加强疑难复杂申请件的会商研究，依法依规妥善处理。</w:t>
      </w:r>
      <w:r>
        <w:rPr>
          <w:rFonts w:hint="eastAsia" w:ascii="仿宋_GB2312" w:eastAsia="仿宋_GB2312" w:cs="仿宋_GB2312"/>
          <w:b/>
          <w:bCs/>
          <w:sz w:val="32"/>
          <w:szCs w:val="32"/>
          <w:lang w:val="en-US" w:eastAsia="zh-CN"/>
        </w:rPr>
        <w:t>三是</w:t>
      </w:r>
      <w:r>
        <w:rPr>
          <w:rFonts w:hint="eastAsia" w:ascii="仿宋_GB2312" w:eastAsia="仿宋_GB2312" w:cs="仿宋_GB2312"/>
          <w:b w:val="0"/>
          <w:bCs w:val="0"/>
          <w:sz w:val="32"/>
          <w:szCs w:val="32"/>
          <w:lang w:val="en-US" w:eastAsia="zh-CN"/>
        </w:rPr>
        <w:t>优化考核评价体系，形成有效约束。将信息公开工作考核结果与科室年度考核、干部评优评先直接挂钩，建立“考核—反馈—整改—提升”的良性循环</w:t>
      </w:r>
      <w:r>
        <w:rPr>
          <w:rFonts w:hint="eastAsia" w:ascii="仿宋_GB2312" w:eastAsia="仿宋_GB2312" w:cs="仿宋_GB2312"/>
          <w:sz w:val="32"/>
          <w:szCs w:val="32"/>
          <w:lang w:val="en-US" w:eastAsia="zh-CN"/>
        </w:rPr>
        <w:t>。</w:t>
      </w:r>
    </w:p>
    <w:p w14:paraId="135A0CBB">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600" w:lineRule="exact"/>
        <w:ind w:leftChars="0" w:right="0" w:rightChars="0" w:firstLine="640" w:firstLineChars="200"/>
        <w:textAlignment w:val="auto"/>
        <w:rPr>
          <w:rFonts w:hint="eastAsia" w:ascii="黑体" w:hAnsi="宋体" w:eastAsia="黑体" w:cs="黑体"/>
          <w:spacing w:val="0"/>
          <w:sz w:val="32"/>
          <w:szCs w:val="32"/>
          <w:shd w:val="clear" w:fill="FFFFFF"/>
        </w:rPr>
      </w:pPr>
      <w:r>
        <w:rPr>
          <w:rFonts w:hint="eastAsia" w:ascii="黑体" w:hAnsi="宋体" w:eastAsia="黑体" w:cs="黑体"/>
          <w:sz w:val="32"/>
          <w:szCs w:val="32"/>
          <w:lang w:val="en-US" w:eastAsia="zh-CN"/>
        </w:rPr>
        <w:t>六、</w:t>
      </w:r>
      <w:r>
        <w:rPr>
          <w:rFonts w:hint="eastAsia" w:ascii="黑体" w:hAnsi="宋体" w:eastAsia="黑体" w:cs="黑体"/>
          <w:sz w:val="32"/>
          <w:szCs w:val="32"/>
        </w:rPr>
        <w:t>其他需要报告的事项</w:t>
      </w:r>
    </w:p>
    <w:p w14:paraId="74A31C6C">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left="0" w:right="0"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收取信息处理费情况方面</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default" w:ascii="仿宋_GB2312" w:hAnsi="仿宋_GB2312" w:eastAsia="仿宋_GB2312" w:cs="仿宋_GB2312"/>
          <w:color w:val="000000" w:themeColor="text1"/>
          <w:sz w:val="32"/>
          <w:szCs w:val="32"/>
          <w:lang w:eastAsia="zh-CN"/>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lang w:eastAsia="zh-CN"/>
          <w14:textFill>
            <w14:solidFill>
              <w14:schemeClr w14:val="tx1"/>
            </w14:solidFill>
          </w14:textFill>
        </w:rPr>
        <w:t>年度，本单位未收取信息处理费。</w:t>
      </w:r>
    </w:p>
    <w:p w14:paraId="54A5B12C">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落实上级年度政务公开工作要点情况。对照《滕州市</w:t>
      </w:r>
      <w:r>
        <w:rPr>
          <w:rFonts w:hint="default" w:ascii="仿宋_GB2312" w:hAnsi="仿宋_GB2312" w:eastAsia="仿宋_GB2312" w:cs="仿宋_GB2312"/>
          <w:color w:val="000000" w:themeColor="text1"/>
          <w:sz w:val="32"/>
          <w:szCs w:val="32"/>
          <w:lang w:eastAsia="zh-CN"/>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lang w:eastAsia="zh-CN"/>
          <w14:textFill>
            <w14:solidFill>
              <w14:schemeClr w14:val="tx1"/>
            </w14:solidFill>
          </w14:textFill>
        </w:rPr>
        <w:t>年政务公开工作要点》，围绕重点领域信息公开、政务</w:t>
      </w:r>
      <w:r>
        <w:rPr>
          <w:rFonts w:hint="eastAsia" w:ascii="仿宋_GB2312" w:hAnsi="仿宋_GB2312" w:eastAsia="仿宋_GB2312" w:cs="仿宋_GB2312"/>
          <w:sz w:val="32"/>
          <w:szCs w:val="32"/>
        </w:rPr>
        <w:t>公开标准化规范化建设明确责任主体和完成时限。</w:t>
      </w:r>
    </w:p>
    <w:p w14:paraId="67F6BB4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left="0" w:right="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highlight w:val="none"/>
        </w:rPr>
        <w:t>人大代表建议和政协提案办理情况方面。</w:t>
      </w:r>
      <w:r>
        <w:rPr>
          <w:rFonts w:hint="eastAsia" w:ascii="仿宋_GB2312" w:hAnsi="仿宋_GB2312" w:eastAsia="仿宋_GB2312" w:cs="仿宋_GB2312"/>
          <w:sz w:val="32"/>
          <w:szCs w:val="32"/>
          <w:highlight w:val="none"/>
          <w:lang w:val="en-US" w:eastAsia="zh-CN"/>
        </w:rPr>
        <w:t>滕州市发展和改革局高度重视建议提案办理工作，成立专门工作小组，严格办理程序，加强与代表委员们的沟通，扎实做好承办建议提案的办理工作。</w:t>
      </w:r>
      <w:r>
        <w:rPr>
          <w:rFonts w:hint="default"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val="en-US" w:eastAsia="zh-CN"/>
        </w:rPr>
        <w:t>滕州市发展和改革局</w:t>
      </w:r>
      <w:r>
        <w:rPr>
          <w:rFonts w:hint="eastAsia" w:ascii="仿宋_GB2312" w:hAnsi="仿宋_GB2312" w:eastAsia="仿宋_GB2312" w:cs="仿宋_GB2312"/>
          <w:sz w:val="32"/>
          <w:szCs w:val="32"/>
          <w:lang w:val="en-US" w:eastAsia="zh-CN"/>
        </w:rPr>
        <w:t>共承办滕州人大代表建议2件和政协提案4件。截止7月29日已经全部办理答复，所有建议、提案办结率100%，满意率100%。人大代表和政协委员意见建议均充分协商并吸收采纳。</w:t>
      </w:r>
    </w:p>
    <w:p w14:paraId="6BF2828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开展政务公开创新方面：无。</w:t>
      </w:r>
    </w:p>
    <w:p w14:paraId="09C7387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本单位政府信息公开工作年度报告数据统计需要说明的事项：无。</w:t>
      </w:r>
    </w:p>
    <w:p w14:paraId="53D730A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其他有关文件专门要求通过政府信息公开工作年度报告予以报告的事项：无。</w:t>
      </w:r>
    </w:p>
    <w:p w14:paraId="52EA2DD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left="0" w:right="0" w:firstLine="640" w:firstLineChars="200"/>
        <w:textAlignment w:val="auto"/>
        <w:rPr>
          <w:rFonts w:hint="eastAsia" w:ascii="仿宋_GB2312" w:hAnsi="仿宋_GB2312" w:eastAsia="仿宋_GB2312" w:cs="仿宋_GB2312"/>
          <w:sz w:val="32"/>
          <w:szCs w:val="32"/>
        </w:rPr>
      </w:pPr>
    </w:p>
    <w:p w14:paraId="3D1966A5">
      <w:pPr>
        <w:pStyle w:val="5"/>
        <w:keepNext w:val="0"/>
        <w:keepLines w:val="0"/>
        <w:pageBreakBefore w:val="0"/>
        <w:widowControl/>
        <w:suppressLineNumbers w:val="0"/>
        <w:kinsoku/>
        <w:overflowPunct/>
        <w:topLinePunct w:val="0"/>
        <w:autoSpaceDE/>
        <w:autoSpaceDN/>
        <w:bidi w:val="0"/>
        <w:adjustRightInd/>
        <w:snapToGrid/>
        <w:spacing w:beforeAutospacing="0" w:line="600" w:lineRule="exact"/>
        <w:ind w:left="0" w:firstLine="645"/>
        <w:textAlignment w:val="auto"/>
        <w:rPr>
          <w:rFonts w:hint="eastAsia" w:ascii="仿宋_GB2312" w:eastAsia="仿宋_GB2312" w:cs="仿宋_GB2312"/>
          <w:sz w:val="32"/>
          <w:szCs w:val="32"/>
        </w:rPr>
      </w:pPr>
      <w:r>
        <w:rPr>
          <w:rFonts w:hint="eastAsia" w:ascii="仿宋_GB2312" w:eastAsia="仿宋_GB2312" w:cs="仿宋_GB2312"/>
          <w:sz w:val="32"/>
          <w:szCs w:val="32"/>
        </w:rPr>
        <w:t>本报告的电子版可在</w:t>
      </w:r>
      <w:r>
        <w:rPr>
          <w:rFonts w:hint="eastAsia" w:ascii="仿宋_GB2312" w:eastAsia="仿宋_GB2312" w:cs="仿宋_GB2312"/>
          <w:spacing w:val="-11"/>
          <w:sz w:val="32"/>
          <w:szCs w:val="32"/>
        </w:rPr>
        <w:t>“中国滕州</w:t>
      </w:r>
      <w:r>
        <w:rPr>
          <w:rFonts w:hint="eastAsia" w:ascii="仿宋_GB2312" w:eastAsia="仿宋_GB2312" w:cs="仿宋_GB2312"/>
          <w:spacing w:val="-11"/>
          <w:sz w:val="32"/>
          <w:szCs w:val="32"/>
          <w:lang w:eastAsia="zh-CN"/>
        </w:rPr>
        <w:t>”</w:t>
      </w:r>
      <w:r>
        <w:rPr>
          <w:rFonts w:hint="eastAsia" w:ascii="仿宋_GB2312" w:eastAsia="仿宋_GB2312" w:cs="仿宋_GB2312"/>
          <w:spacing w:val="-11"/>
          <w:sz w:val="32"/>
          <w:szCs w:val="32"/>
        </w:rPr>
        <w:t>（www.tengzhou.gov.cn）网站查询和下载。如对本报告有</w:t>
      </w:r>
      <w:r>
        <w:rPr>
          <w:rFonts w:hint="eastAsia" w:ascii="仿宋_GB2312" w:eastAsia="仿宋_GB2312" w:cs="仿宋_GB2312"/>
          <w:sz w:val="32"/>
          <w:szCs w:val="32"/>
        </w:rPr>
        <w:t>任何疑问，请与滕州市发展和改革局办公室联系。（地址：山东省滕州市北辛中路政务中心</w:t>
      </w:r>
      <w:r>
        <w:rPr>
          <w:rFonts w:hint="default" w:ascii="仿宋_GB2312" w:eastAsia="仿宋_GB2312" w:cs="仿宋_GB2312"/>
          <w:sz w:val="32"/>
          <w:szCs w:val="32"/>
        </w:rPr>
        <w:t>522</w:t>
      </w:r>
      <w:r>
        <w:rPr>
          <w:rFonts w:hint="eastAsia" w:ascii="仿宋_GB2312" w:eastAsia="仿宋_GB2312" w:cs="仿宋_GB2312"/>
          <w:sz w:val="32"/>
          <w:szCs w:val="32"/>
        </w:rPr>
        <w:t>房间，联系电话：</w:t>
      </w:r>
      <w:r>
        <w:rPr>
          <w:rFonts w:hint="default" w:ascii="仿宋_GB2312" w:eastAsia="仿宋_GB2312" w:cs="仿宋_GB2312"/>
          <w:sz w:val="32"/>
          <w:szCs w:val="32"/>
        </w:rPr>
        <w:t>0632</w:t>
      </w:r>
      <w:r>
        <w:rPr>
          <w:rFonts w:hint="eastAsia" w:ascii="仿宋_GB2312" w:eastAsia="仿宋_GB2312" w:cs="仿宋_GB2312"/>
          <w:sz w:val="32"/>
          <w:szCs w:val="32"/>
          <w:lang w:val="en-US" w:eastAsia="zh-CN"/>
        </w:rPr>
        <w:t>-</w:t>
      </w:r>
      <w:r>
        <w:rPr>
          <w:rFonts w:hint="default" w:ascii="仿宋_GB2312" w:eastAsia="仿宋_GB2312" w:cs="仿宋_GB2312"/>
          <w:sz w:val="32"/>
          <w:szCs w:val="32"/>
        </w:rPr>
        <w:t>5514858</w:t>
      </w:r>
      <w:r>
        <w:rPr>
          <w:rFonts w:hint="eastAsia" w:ascii="仿宋_GB2312" w:eastAsia="仿宋_GB2312" w:cs="仿宋_GB2312"/>
          <w:sz w:val="32"/>
          <w:szCs w:val="32"/>
        </w:rPr>
        <w:t>，电子邮箱：fagai</w:t>
      </w:r>
      <w:r>
        <w:rPr>
          <w:rFonts w:hint="default" w:ascii="仿宋_GB2312" w:eastAsia="仿宋_GB2312" w:cs="仿宋_GB2312"/>
          <w:sz w:val="32"/>
          <w:szCs w:val="32"/>
        </w:rPr>
        <w:t>5514858</w:t>
      </w:r>
      <w:r>
        <w:rPr>
          <w:rFonts w:hint="eastAsia" w:ascii="仿宋_GB2312" w:eastAsia="仿宋_GB2312" w:cs="仿宋_GB2312"/>
          <w:sz w:val="32"/>
          <w:szCs w:val="32"/>
        </w:rPr>
        <w:t>@</w:t>
      </w:r>
      <w:r>
        <w:rPr>
          <w:rFonts w:hint="default" w:ascii="仿宋_GB2312" w:eastAsia="仿宋_GB2312" w:cs="仿宋_GB2312"/>
          <w:sz w:val="32"/>
          <w:szCs w:val="32"/>
        </w:rPr>
        <w:t>163</w:t>
      </w:r>
      <w:r>
        <w:rPr>
          <w:rFonts w:hint="eastAsia" w:ascii="仿宋_GB2312" w:eastAsia="仿宋_GB2312" w:cs="仿宋_GB2312"/>
          <w:sz w:val="32"/>
          <w:szCs w:val="32"/>
        </w:rPr>
        <w:t>.com）</w:t>
      </w:r>
    </w:p>
    <w:p w14:paraId="41B5C804"/>
    <w:sectPr>
      <w:footerReference r:id="rId3" w:type="default"/>
      <w:pgSz w:w="11906" w:h="16838"/>
      <w:pgMar w:top="1701" w:right="1587" w:bottom="1701" w:left="1587"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735A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75E954">
                          <w:pPr>
                            <w:pStyle w:val="3"/>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475E954">
                    <w:pPr>
                      <w:pStyle w:val="3"/>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113093"/>
    <w:rsid w:val="06255BC2"/>
    <w:rsid w:val="090B6FB1"/>
    <w:rsid w:val="0BA15DAE"/>
    <w:rsid w:val="0D6D6326"/>
    <w:rsid w:val="0E144561"/>
    <w:rsid w:val="1B230B30"/>
    <w:rsid w:val="20FE346A"/>
    <w:rsid w:val="21ED35E0"/>
    <w:rsid w:val="25783B09"/>
    <w:rsid w:val="267C13D7"/>
    <w:rsid w:val="26A61FB0"/>
    <w:rsid w:val="29F455E1"/>
    <w:rsid w:val="30321942"/>
    <w:rsid w:val="31C14142"/>
    <w:rsid w:val="36B577CC"/>
    <w:rsid w:val="393A5AF3"/>
    <w:rsid w:val="3ADC0109"/>
    <w:rsid w:val="3F871E51"/>
    <w:rsid w:val="42210AB0"/>
    <w:rsid w:val="4557299B"/>
    <w:rsid w:val="47113093"/>
    <w:rsid w:val="476F5A39"/>
    <w:rsid w:val="4B5829CD"/>
    <w:rsid w:val="4C1F322D"/>
    <w:rsid w:val="4EC3367F"/>
    <w:rsid w:val="552503C0"/>
    <w:rsid w:val="57877110"/>
    <w:rsid w:val="5C423F4D"/>
    <w:rsid w:val="5CE96477"/>
    <w:rsid w:val="6065020A"/>
    <w:rsid w:val="63FC743F"/>
    <w:rsid w:val="660A3F5C"/>
    <w:rsid w:val="69655E7A"/>
    <w:rsid w:val="6EA1250E"/>
    <w:rsid w:val="700A670E"/>
    <w:rsid w:val="70C70DAD"/>
    <w:rsid w:val="70F50AE6"/>
    <w:rsid w:val="72A746B3"/>
    <w:rsid w:val="72C14799"/>
    <w:rsid w:val="77EB6DF0"/>
    <w:rsid w:val="7BF21DD9"/>
    <w:rsid w:val="7BFD01FD"/>
    <w:rsid w:val="7FFFCB9D"/>
    <w:rsid w:val="86F7DF9D"/>
    <w:rsid w:val="9B18FE00"/>
    <w:rsid w:val="9BDA23F5"/>
    <w:rsid w:val="9FDBC607"/>
    <w:rsid w:val="BFB946A6"/>
    <w:rsid w:val="BFFF7077"/>
    <w:rsid w:val="D7FE90D2"/>
    <w:rsid w:val="EB4FC4C3"/>
    <w:rsid w:val="FF2BF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spacing w:line="660" w:lineRule="exact"/>
      <w:ind w:firstLine="705"/>
    </w:pPr>
    <w:rPr>
      <w:rFonts w:ascii="仿宋_GB2312" w:eastAsia="仿宋_GB2312"/>
      <w:color w:val="000000"/>
      <w:sz w:val="36"/>
      <w:szCs w:val="36"/>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3091</Words>
  <Characters>3244</Characters>
  <Lines>0</Lines>
  <Paragraphs>0</Paragraphs>
  <TotalTime>13</TotalTime>
  <ScaleCrop>false</ScaleCrop>
  <LinksUpToDate>false</LinksUpToDate>
  <CharactersWithSpaces>3244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2025-01-06T17:25:00Z</dcterms:created>
  <dc:creator>昏君</dc:creator>
  <cp:lastModifiedBy>只爱包子不爱吃</cp:lastModifiedBy>
  <dcterms:modified xsi:type="dcterms:W3CDTF">2026-01-22T10:52:28Z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B91132EEEE2143FCB5B480F6E69540A0_13</vt:lpwstr>
  </property>
  <property fmtid="{D5CDD505-2E9C-101B-9397-08002B2CF9AE}" pid="4" name="KSOTemplateDocerSaveRecord">
    <vt:lpwstr>eyJoZGlkIjoiMmY4OWI1YzkyM2FiOTA2NDQ4N2MzY2NjYjljOWU0NjQiLCJ1c2VySWQiOiIyNjkzNzE4MTIifQ==</vt:lpwstr>
  </property>
</Properties>
</file>