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36B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滕州市柴胡店镇人民政府</w:t>
      </w:r>
    </w:p>
    <w:p w14:paraId="75932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2025年政府信息公开工作年度报告</w:t>
      </w:r>
    </w:p>
    <w:p w14:paraId="485A97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3F8148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i w:val="0"/>
          <w:iCs w:val="0"/>
          <w:caps w:val="0"/>
          <w:color w:val="000000"/>
          <w:spacing w:val="0"/>
          <w:sz w:val="32"/>
          <w:szCs w:val="32"/>
        </w:rPr>
        <w:t>2025年，</w:t>
      </w:r>
      <w:r>
        <w:rPr>
          <w:rFonts w:hint="eastAsia" w:ascii="仿宋_GB2312" w:hAnsi="仿宋_GB2312" w:eastAsia="仿宋_GB2312" w:cs="仿宋_GB2312"/>
          <w:i w:val="0"/>
          <w:iCs w:val="0"/>
          <w:caps w:val="0"/>
          <w:color w:val="000000"/>
          <w:spacing w:val="0"/>
          <w:sz w:val="32"/>
          <w:szCs w:val="32"/>
          <w:lang w:val="en-US" w:eastAsia="zh-CN"/>
        </w:rPr>
        <w:t>柴胡店镇</w:t>
      </w:r>
      <w:r>
        <w:rPr>
          <w:rFonts w:hint="eastAsia" w:ascii="仿宋_GB2312" w:hAnsi="仿宋_GB2312" w:eastAsia="仿宋_GB2312" w:cs="仿宋_GB2312"/>
          <w:i w:val="0"/>
          <w:iCs w:val="0"/>
          <w:caps w:val="0"/>
          <w:color w:val="000000"/>
          <w:spacing w:val="0"/>
          <w:sz w:val="32"/>
          <w:szCs w:val="32"/>
        </w:rPr>
        <w:t>认真贯彻落实《中华人民共和国政府信息公开条例》和《国务院办公厅政府信息与政务公开办公室关于印发&lt;中华人民共和国政府信息公开工作年度报告格式&gt;的通知》（国办公开办函〔2021〕30号）以及有关文件要求，锚定"提质增效、精准便民"目标，</w:t>
      </w:r>
      <w:r>
        <w:rPr>
          <w:rFonts w:hint="eastAsia" w:ascii="仿宋_GB2312" w:hAnsi="仿宋_GB2312" w:eastAsia="仿宋_GB2312" w:cs="仿宋_GB2312"/>
          <w:i w:val="0"/>
          <w:iCs w:val="0"/>
          <w:caps w:val="0"/>
          <w:color w:val="000000"/>
          <w:spacing w:val="0"/>
          <w:sz w:val="32"/>
          <w:szCs w:val="32"/>
          <w:lang w:val="en-US" w:eastAsia="zh-CN"/>
        </w:rPr>
        <w:t>全力</w:t>
      </w:r>
      <w:r>
        <w:rPr>
          <w:rFonts w:hint="eastAsia" w:ascii="仿宋_GB2312" w:hAnsi="仿宋_GB2312" w:eastAsia="仿宋_GB2312" w:cs="仿宋_GB2312"/>
          <w:i w:val="0"/>
          <w:iCs w:val="0"/>
          <w:caps w:val="0"/>
          <w:color w:val="000000"/>
          <w:spacing w:val="0"/>
          <w:sz w:val="32"/>
          <w:szCs w:val="32"/>
        </w:rPr>
        <w:t>推进政务公开各项工作落地。现将本年度工作总结如下</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z w:val="32"/>
          <w:szCs w:val="32"/>
          <w:highlight w:val="none"/>
          <w:shd w:val="clear" w:color="auto" w:fill="auto"/>
          <w:lang w:val="en-US" w:eastAsia="zh-CN"/>
        </w:rPr>
        <w:t>年报中所列数据的统计期限自2025年1月1日起至2025年12月31日止。</w:t>
      </w:r>
    </w:p>
    <w:p w14:paraId="08DAEC6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一、总体情况</w:t>
      </w:r>
    </w:p>
    <w:p w14:paraId="2E12D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年度，柴胡店镇</w:t>
      </w:r>
      <w:r>
        <w:rPr>
          <w:rFonts w:hint="eastAsia" w:ascii="仿宋_GB2312" w:hAnsi="仿宋_GB2312" w:eastAsia="仿宋_GB2312" w:cs="仿宋_GB2312"/>
          <w:i w:val="0"/>
          <w:iCs w:val="0"/>
          <w:caps w:val="0"/>
          <w:color w:val="000000"/>
          <w:spacing w:val="0"/>
          <w:sz w:val="32"/>
          <w:szCs w:val="32"/>
          <w:lang w:val="en-US" w:eastAsia="zh-CN"/>
        </w:rPr>
        <w:t>严格按照</w:t>
      </w:r>
      <w:r>
        <w:rPr>
          <w:rFonts w:hint="eastAsia" w:ascii="仿宋_GB2312" w:hAnsi="仿宋_GB2312" w:eastAsia="仿宋_GB2312" w:cs="仿宋_GB2312"/>
          <w:i w:val="0"/>
          <w:iCs w:val="0"/>
          <w:caps w:val="0"/>
          <w:color w:val="000000"/>
          <w:spacing w:val="0"/>
          <w:sz w:val="32"/>
          <w:szCs w:val="32"/>
        </w:rPr>
        <w:t>《中华人民共和国政府信息公开条例》，夯实基层工作基础，加强民主监督，密切与人民群众的联系，结合我镇工作实际，认真做好政务公开、政务服务工作，通过强化主动公开、规范依申请公开流程、完善政府信息管理机制、优化信息公开平台及加强监督保障措施，</w:t>
      </w:r>
      <w:r>
        <w:rPr>
          <w:rFonts w:hint="eastAsia" w:ascii="仿宋_GB2312" w:hAnsi="仿宋_GB2312" w:eastAsia="仿宋_GB2312" w:cs="仿宋_GB2312"/>
          <w:i w:val="0"/>
          <w:iCs w:val="0"/>
          <w:caps w:val="0"/>
          <w:color w:val="000000"/>
          <w:spacing w:val="0"/>
          <w:sz w:val="32"/>
          <w:szCs w:val="32"/>
          <w:lang w:val="en-US" w:eastAsia="zh-CN"/>
        </w:rPr>
        <w:t>不断提升政府工作透明度与公信力</w:t>
      </w:r>
      <w:r>
        <w:rPr>
          <w:rFonts w:hint="eastAsia" w:ascii="仿宋_GB2312" w:hAnsi="仿宋_GB2312" w:eastAsia="仿宋_GB2312" w:cs="仿宋_GB2312"/>
          <w:i w:val="0"/>
          <w:iCs w:val="0"/>
          <w:caps w:val="0"/>
          <w:color w:val="000000"/>
          <w:spacing w:val="0"/>
          <w:sz w:val="32"/>
          <w:szCs w:val="32"/>
        </w:rPr>
        <w:t>。</w:t>
      </w:r>
    </w:p>
    <w:p w14:paraId="1CC2E6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（一）主动公开政府信息情况</w:t>
      </w:r>
    </w:p>
    <w:p w14:paraId="47A845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宋体" w:eastAsia="仿宋_GB2312" w:cs="仿宋_GB2312"/>
          <w:b w:val="0"/>
          <w:bCs w:val="0"/>
          <w:i w:val="0"/>
          <w:iCs w:val="0"/>
          <w:caps w:val="0"/>
          <w:color w:val="000000"/>
          <w:spacing w:val="0"/>
          <w:sz w:val="32"/>
          <w:szCs w:val="32"/>
          <w:shd w:val="clear" w:fill="FFFFFF"/>
          <w:lang w:val="en-US" w:eastAsia="zh-CN"/>
        </w:rPr>
        <w:t>柴胡店镇持续</w:t>
      </w:r>
      <w:r>
        <w:rPr>
          <w:rFonts w:hint="eastAsia" w:ascii="仿宋_GB2312" w:hAnsi="宋体" w:eastAsia="仿宋_GB2312" w:cs="仿宋_GB2312"/>
          <w:b w:val="0"/>
          <w:bCs w:val="0"/>
          <w:i w:val="0"/>
          <w:iCs w:val="0"/>
          <w:caps w:val="0"/>
          <w:color w:val="000000"/>
          <w:spacing w:val="0"/>
          <w:sz w:val="32"/>
          <w:szCs w:val="32"/>
          <w:shd w:val="clear" w:fill="FFFFFF"/>
          <w:lang w:eastAsia="zh-CN"/>
        </w:rPr>
        <w:t>加大</w:t>
      </w:r>
      <w:r>
        <w:rPr>
          <w:rFonts w:hint="eastAsia" w:ascii="仿宋_GB2312" w:hAnsi="宋体" w:eastAsia="仿宋_GB2312" w:cs="仿宋_GB2312"/>
          <w:b w:val="0"/>
          <w:bCs w:val="0"/>
          <w:i w:val="0"/>
          <w:iCs w:val="0"/>
          <w:caps w:val="0"/>
          <w:color w:val="000000"/>
          <w:spacing w:val="0"/>
          <w:sz w:val="32"/>
          <w:szCs w:val="32"/>
          <w:shd w:val="clear" w:fill="FFFFFF"/>
        </w:rPr>
        <w:t>信息公开力度</w:t>
      </w:r>
      <w:r>
        <w:rPr>
          <w:rFonts w:hint="eastAsia" w:ascii="仿宋_GB2312" w:hAnsi="宋体" w:eastAsia="仿宋_GB2312" w:cs="仿宋_GB2312"/>
          <w:b w:val="0"/>
          <w:bCs w:val="0"/>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遵循公正、公平、合法、便民的原则，依法向社会主动公开政府信息，并按照上级行政机关的部署，结合本</w:t>
      </w:r>
      <w:r>
        <w:rPr>
          <w:rFonts w:hint="eastAsia" w:ascii="仿宋_GB2312" w:hAnsi="宋体" w:eastAsia="仿宋_GB2312" w:cs="仿宋_GB2312"/>
          <w:i w:val="0"/>
          <w:iCs w:val="0"/>
          <w:caps w:val="0"/>
          <w:color w:val="000000"/>
          <w:spacing w:val="0"/>
          <w:sz w:val="32"/>
          <w:szCs w:val="32"/>
          <w:shd w:val="clear" w:fill="FFFFFF"/>
          <w:lang w:eastAsia="zh-CN"/>
        </w:rPr>
        <w:t>镇</w:t>
      </w:r>
      <w:r>
        <w:rPr>
          <w:rFonts w:hint="eastAsia" w:ascii="仿宋_GB2312" w:hAnsi="宋体" w:eastAsia="仿宋_GB2312" w:cs="仿宋_GB2312"/>
          <w:i w:val="0"/>
          <w:iCs w:val="0"/>
          <w:caps w:val="0"/>
          <w:color w:val="000000"/>
          <w:spacing w:val="0"/>
          <w:sz w:val="32"/>
          <w:szCs w:val="32"/>
          <w:shd w:val="clear" w:fill="FFFFFF"/>
        </w:rPr>
        <w:t>实际，不断增加主动公开的内容。</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本年度，</w:t>
      </w:r>
      <w:r>
        <w:rPr>
          <w:rFonts w:hint="eastAsia" w:ascii="仿宋_GB2312" w:hAnsi="仿宋_GB2312" w:eastAsia="仿宋_GB2312" w:cs="仿宋_GB2312"/>
          <w:i w:val="0"/>
          <w:iCs w:val="0"/>
          <w:caps w:val="0"/>
          <w:color w:val="000000"/>
          <w:spacing w:val="0"/>
          <w:sz w:val="32"/>
          <w:szCs w:val="32"/>
          <w:highlight w:val="none"/>
        </w:rPr>
        <w:t>我镇共发布政务信息</w:t>
      </w:r>
      <w:r>
        <w:rPr>
          <w:rFonts w:hint="eastAsia" w:ascii="仿宋_GB2312" w:hAnsi="仿宋_GB2312" w:eastAsia="仿宋_GB2312" w:cs="仿宋_GB2312"/>
          <w:i w:val="0"/>
          <w:iCs w:val="0"/>
          <w:caps w:val="0"/>
          <w:color w:val="000000"/>
          <w:spacing w:val="0"/>
          <w:sz w:val="32"/>
          <w:szCs w:val="32"/>
          <w:highlight w:val="none"/>
          <w:lang w:val="en-US" w:eastAsia="zh-CN"/>
        </w:rPr>
        <w:t>683</w:t>
      </w:r>
      <w:r>
        <w:rPr>
          <w:rFonts w:hint="eastAsia" w:ascii="仿宋_GB2312" w:hAnsi="仿宋_GB2312" w:eastAsia="仿宋_GB2312" w:cs="仿宋_GB2312"/>
          <w:i w:val="0"/>
          <w:iCs w:val="0"/>
          <w:caps w:val="0"/>
          <w:color w:val="000000"/>
          <w:spacing w:val="0"/>
          <w:sz w:val="32"/>
          <w:szCs w:val="32"/>
          <w:highlight w:val="none"/>
        </w:rPr>
        <w:t>条，其中，通过滕州市政府信息公开网发布</w:t>
      </w:r>
      <w:r>
        <w:rPr>
          <w:rFonts w:hint="eastAsia" w:ascii="仿宋_GB2312" w:hAnsi="仿宋_GB2312" w:eastAsia="仿宋_GB2312" w:cs="仿宋_GB2312"/>
          <w:i w:val="0"/>
          <w:iCs w:val="0"/>
          <w:caps w:val="0"/>
          <w:color w:val="000000"/>
          <w:spacing w:val="0"/>
          <w:sz w:val="32"/>
          <w:szCs w:val="32"/>
          <w:highlight w:val="none"/>
          <w:lang w:val="en-US" w:eastAsia="zh-CN"/>
        </w:rPr>
        <w:t>19</w:t>
      </w:r>
      <w:r>
        <w:rPr>
          <w:rFonts w:hint="eastAsia" w:ascii="仿宋_GB2312" w:hAnsi="仿宋_GB2312" w:eastAsia="仿宋_GB2312" w:cs="仿宋_GB2312"/>
          <w:i w:val="0"/>
          <w:iCs w:val="0"/>
          <w:caps w:val="0"/>
          <w:color w:val="000000"/>
          <w:spacing w:val="0"/>
          <w:sz w:val="32"/>
          <w:szCs w:val="32"/>
          <w:highlight w:val="none"/>
        </w:rPr>
        <w:t>条、柴胡店镇官网发布</w:t>
      </w:r>
      <w:r>
        <w:rPr>
          <w:rFonts w:hint="eastAsia" w:ascii="仿宋_GB2312" w:hAnsi="仿宋_GB2312" w:eastAsia="仿宋_GB2312" w:cs="仿宋_GB2312"/>
          <w:i w:val="0"/>
          <w:iCs w:val="0"/>
          <w:caps w:val="0"/>
          <w:color w:val="000000"/>
          <w:spacing w:val="0"/>
          <w:sz w:val="32"/>
          <w:szCs w:val="32"/>
          <w:highlight w:val="none"/>
          <w:lang w:val="en-US" w:eastAsia="zh-CN"/>
        </w:rPr>
        <w:t>650</w:t>
      </w:r>
      <w:r>
        <w:rPr>
          <w:rFonts w:hint="eastAsia" w:ascii="仿宋_GB2312" w:hAnsi="仿宋_GB2312" w:eastAsia="仿宋_GB2312" w:cs="仿宋_GB2312"/>
          <w:i w:val="0"/>
          <w:iCs w:val="0"/>
          <w:caps w:val="0"/>
          <w:color w:val="000000"/>
          <w:spacing w:val="0"/>
          <w:sz w:val="32"/>
          <w:szCs w:val="32"/>
          <w:highlight w:val="none"/>
        </w:rPr>
        <w:t>条、线下张贴</w:t>
      </w:r>
      <w:r>
        <w:rPr>
          <w:rFonts w:hint="eastAsia" w:ascii="仿宋_GB2312" w:hAnsi="仿宋_GB2312" w:eastAsia="仿宋_GB2312" w:cs="仿宋_GB2312"/>
          <w:i w:val="0"/>
          <w:iCs w:val="0"/>
          <w:caps w:val="0"/>
          <w:color w:val="000000"/>
          <w:spacing w:val="0"/>
          <w:sz w:val="32"/>
          <w:szCs w:val="32"/>
          <w:highlight w:val="none"/>
          <w:lang w:val="en-US" w:eastAsia="zh-CN"/>
        </w:rPr>
        <w:t>14</w:t>
      </w:r>
      <w:r>
        <w:rPr>
          <w:rFonts w:hint="eastAsia" w:ascii="仿宋_GB2312" w:hAnsi="仿宋_GB2312" w:eastAsia="仿宋_GB2312" w:cs="仿宋_GB2312"/>
          <w:i w:val="0"/>
          <w:iCs w:val="0"/>
          <w:caps w:val="0"/>
          <w:color w:val="000000"/>
          <w:spacing w:val="0"/>
          <w:sz w:val="32"/>
          <w:szCs w:val="32"/>
          <w:highlight w:val="none"/>
        </w:rPr>
        <w:t>条，内容涉及基层党建、政府建设、经济发展、城乡建设、文化教育等方面。在滕州市政府信息公开网发布的信息中，通知公告</w:t>
      </w:r>
      <w:r>
        <w:rPr>
          <w:rFonts w:hint="eastAsia" w:ascii="仿宋_GB2312" w:hAnsi="仿宋_GB2312" w:eastAsia="仿宋_GB2312" w:cs="仿宋_GB2312"/>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条，政策文件1条，规划计划2条，组织管理</w:t>
      </w:r>
      <w:r>
        <w:rPr>
          <w:rFonts w:hint="eastAsia" w:ascii="仿宋_GB2312" w:hAnsi="仿宋_GB2312" w:eastAsia="仿宋_GB2312" w:cs="仿宋_GB2312"/>
          <w:i w:val="0"/>
          <w:iCs w:val="0"/>
          <w:caps w:val="0"/>
          <w:color w:val="000000"/>
          <w:spacing w:val="0"/>
          <w:sz w:val="32"/>
          <w:szCs w:val="32"/>
          <w:highlight w:val="none"/>
          <w:lang w:val="en-US" w:eastAsia="zh-CN"/>
        </w:rPr>
        <w:t>8</w:t>
      </w:r>
      <w:r>
        <w:rPr>
          <w:rFonts w:hint="eastAsia" w:ascii="仿宋_GB2312" w:hAnsi="仿宋_GB2312" w:eastAsia="仿宋_GB2312" w:cs="仿宋_GB2312"/>
          <w:i w:val="0"/>
          <w:iCs w:val="0"/>
          <w:caps w:val="0"/>
          <w:color w:val="000000"/>
          <w:spacing w:val="0"/>
          <w:sz w:val="32"/>
          <w:szCs w:val="32"/>
          <w:highlight w:val="none"/>
        </w:rPr>
        <w:t>条，公开基本目录2条。</w:t>
      </w:r>
    </w:p>
    <w:p w14:paraId="337F8945">
      <w:pPr>
        <w:pStyle w:val="4"/>
        <w:keepNext w:val="0"/>
        <w:keepLines w:val="0"/>
        <w:pageBreakBefore w:val="0"/>
        <w:widowControl/>
        <w:suppressLineNumbers w:val="0"/>
        <w:kinsoku/>
        <w:overflowPunct/>
        <w:topLinePunct w:val="0"/>
        <w:autoSpaceDE/>
        <w:autoSpaceDN/>
        <w:bidi w:val="0"/>
        <w:adjustRightInd/>
        <w:snapToGrid/>
        <w:spacing w:before="0" w:beforeAutospacing="0" w:after="20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drawing>
          <wp:anchor distT="0" distB="0" distL="114300" distR="114300" simplePos="0" relativeHeight="251659264" behindDoc="1" locked="0" layoutInCell="1" allowOverlap="1">
            <wp:simplePos x="0" y="0"/>
            <wp:positionH relativeFrom="column">
              <wp:posOffset>102870</wp:posOffset>
            </wp:positionH>
            <wp:positionV relativeFrom="paragraph">
              <wp:posOffset>2966085</wp:posOffset>
            </wp:positionV>
            <wp:extent cx="5205095" cy="2962275"/>
            <wp:effectExtent l="4445" t="4445" r="10160" b="62230"/>
            <wp:wrapNone/>
            <wp:docPr id="9" name="图表 9" descr="7b0a202020202263686172745265734964223a202232303437323232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hAnsi="仿宋_GB2312" w:eastAsia="仿宋_GB2312" w:cs="仿宋_GB2312"/>
          <w:i w:val="0"/>
          <w:iCs w:val="0"/>
          <w:caps w:val="0"/>
          <w:color w:val="000000"/>
          <w:spacing w:val="0"/>
          <w:sz w:val="32"/>
          <w:szCs w:val="32"/>
        </w:rPr>
        <w:drawing>
          <wp:anchor distT="0" distB="0" distL="114300" distR="114300" simplePos="0" relativeHeight="251660288" behindDoc="0" locked="0" layoutInCell="1" allowOverlap="1">
            <wp:simplePos x="0" y="0"/>
            <wp:positionH relativeFrom="column">
              <wp:posOffset>125095</wp:posOffset>
            </wp:positionH>
            <wp:positionV relativeFrom="paragraph">
              <wp:posOffset>62230</wp:posOffset>
            </wp:positionV>
            <wp:extent cx="5083810" cy="2875280"/>
            <wp:effectExtent l="4445" t="4445" r="17145" b="15875"/>
            <wp:wrapSquare wrapText="bothSides"/>
            <wp:docPr id="5" name="图表 5" descr="7b0a202020202263686172745265734964223a202235303035333431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B9D263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i w:val="0"/>
          <w:iCs w:val="0"/>
          <w:caps w:val="0"/>
          <w:color w:val="000000"/>
          <w:spacing w:val="0"/>
          <w:sz w:val="32"/>
          <w:szCs w:val="32"/>
        </w:rPr>
      </w:pPr>
    </w:p>
    <w:p w14:paraId="54ED09BB">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lang w:eastAsia="zh-CN"/>
        </w:rPr>
      </w:pPr>
    </w:p>
    <w:p w14:paraId="6F674989">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i w:val="0"/>
          <w:iCs w:val="0"/>
          <w:caps w:val="0"/>
          <w:color w:val="000000"/>
          <w:spacing w:val="0"/>
          <w:sz w:val="32"/>
          <w:szCs w:val="32"/>
        </w:rPr>
      </w:pPr>
    </w:p>
    <w:p w14:paraId="2BBE027D">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i w:val="0"/>
          <w:iCs w:val="0"/>
          <w:caps w:val="0"/>
          <w:color w:val="000000"/>
          <w:spacing w:val="0"/>
          <w:sz w:val="32"/>
          <w:szCs w:val="32"/>
        </w:rPr>
      </w:pPr>
    </w:p>
    <w:p w14:paraId="5389F8D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i w:val="0"/>
          <w:iCs w:val="0"/>
          <w:caps w:val="0"/>
          <w:color w:val="000000"/>
          <w:spacing w:val="0"/>
          <w:sz w:val="32"/>
          <w:szCs w:val="32"/>
        </w:rPr>
      </w:pPr>
    </w:p>
    <w:p w14:paraId="3AC34451">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p>
    <w:p w14:paraId="58B862D5">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p>
    <w:p w14:paraId="7133C5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（二）依申请公开政府信息情况</w:t>
      </w:r>
    </w:p>
    <w:p w14:paraId="75E579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柴胡店镇坚持</w:t>
      </w:r>
      <w:r>
        <w:rPr>
          <w:rFonts w:ascii="仿宋_GB2312" w:hAnsi="宋体" w:eastAsia="仿宋_GB2312" w:cs="仿宋_GB2312"/>
          <w:i w:val="0"/>
          <w:iCs w:val="0"/>
          <w:caps w:val="0"/>
          <w:color w:val="000000"/>
          <w:spacing w:val="0"/>
          <w:sz w:val="32"/>
          <w:szCs w:val="32"/>
          <w:shd w:val="clear" w:fill="FFFFFF"/>
          <w:lang w:eastAsia="zh-CN"/>
        </w:rPr>
        <w:t>根据《中华人民共和国政府信息公开条例》，</w:t>
      </w:r>
      <w:r>
        <w:rPr>
          <w:rFonts w:hint="eastAsia" w:ascii="仿宋_GB2312" w:hAnsi="宋体" w:eastAsia="仿宋_GB2312" w:cs="仿宋_GB2312"/>
          <w:i w:val="0"/>
          <w:iCs w:val="0"/>
          <w:caps w:val="0"/>
          <w:color w:val="000000"/>
          <w:spacing w:val="0"/>
          <w:sz w:val="32"/>
          <w:szCs w:val="32"/>
          <w:shd w:val="clear" w:fill="FFFFFF"/>
          <w:lang w:eastAsia="zh-CN"/>
        </w:rPr>
        <w:t>按照新条例的要求，及时修订依申请公开有关工作制度，对答复时间、答复依据、答复要求等内容及时完善。</w:t>
      </w:r>
      <w:r>
        <w:rPr>
          <w:rFonts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5</w:t>
      </w:r>
      <w:r>
        <w:rPr>
          <w:rFonts w:ascii="仿宋_GB2312" w:hAnsi="宋体" w:eastAsia="仿宋_GB2312" w:cs="仿宋_GB2312"/>
          <w:i w:val="0"/>
          <w:iCs w:val="0"/>
          <w:caps w:val="0"/>
          <w:color w:val="000000"/>
          <w:spacing w:val="0"/>
          <w:sz w:val="32"/>
          <w:szCs w:val="32"/>
          <w:shd w:val="clear" w:fill="FFFFFF"/>
        </w:rPr>
        <w:t>年，</w:t>
      </w:r>
      <w:r>
        <w:rPr>
          <w:rFonts w:hint="eastAsia" w:ascii="仿宋_GB2312" w:hAnsi="宋体" w:eastAsia="仿宋_GB2312" w:cs="仿宋_GB2312"/>
          <w:i w:val="0"/>
          <w:iCs w:val="0"/>
          <w:caps w:val="0"/>
          <w:color w:val="000000"/>
          <w:spacing w:val="0"/>
          <w:sz w:val="32"/>
          <w:szCs w:val="32"/>
          <w:shd w:val="clear" w:fill="FFFFFF"/>
          <w:lang w:val="en-US" w:eastAsia="zh-CN"/>
        </w:rPr>
        <w:t>柴胡店镇</w:t>
      </w:r>
      <w:r>
        <w:rPr>
          <w:rFonts w:ascii="仿宋_GB2312" w:hAnsi="宋体" w:eastAsia="仿宋_GB2312" w:cs="仿宋_GB2312"/>
          <w:i w:val="0"/>
          <w:iCs w:val="0"/>
          <w:caps w:val="0"/>
          <w:color w:val="000000"/>
          <w:spacing w:val="0"/>
          <w:sz w:val="32"/>
          <w:szCs w:val="32"/>
          <w:shd w:val="clear" w:fill="FFFFFF"/>
        </w:rPr>
        <w:t>共办理1条政府信息公开申请，上年结转0件，合计1件。自然人申请1件，</w:t>
      </w:r>
      <w:r>
        <w:rPr>
          <w:rFonts w:hint="eastAsia" w:ascii="仿宋_GB2312" w:hAnsi="宋体" w:eastAsia="仿宋_GB2312" w:cs="仿宋_GB2312"/>
          <w:i w:val="0"/>
          <w:iCs w:val="0"/>
          <w:caps w:val="0"/>
          <w:color w:val="000000"/>
          <w:spacing w:val="0"/>
          <w:sz w:val="32"/>
          <w:szCs w:val="32"/>
          <w:highlight w:val="none"/>
          <w:shd w:val="clear" w:fill="FFFFFF"/>
          <w:lang w:eastAsia="zh-CN"/>
        </w:rPr>
        <w:t>予以公开</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1件，</w:t>
      </w:r>
      <w:r>
        <w:rPr>
          <w:rFonts w:ascii="仿宋_GB2312" w:hAnsi="宋体" w:eastAsia="仿宋_GB2312" w:cs="仿宋_GB2312"/>
          <w:i w:val="0"/>
          <w:iCs w:val="0"/>
          <w:caps w:val="0"/>
          <w:strike w:val="0"/>
          <w:dstrike w:val="0"/>
          <w:color w:val="000000"/>
          <w:spacing w:val="0"/>
          <w:sz w:val="32"/>
          <w:szCs w:val="32"/>
          <w:highlight w:val="none"/>
          <w:shd w:val="clear" w:fill="FFFFFF"/>
        </w:rPr>
        <w:t>其他处理0</w:t>
      </w:r>
      <w:r>
        <w:rPr>
          <w:rFonts w:hint="eastAsia" w:ascii="仿宋_GB2312" w:hAnsi="宋体" w:eastAsia="仿宋_GB2312" w:cs="仿宋_GB2312"/>
          <w:i w:val="0"/>
          <w:iCs w:val="0"/>
          <w:caps w:val="0"/>
          <w:strike w:val="0"/>
          <w:dstrike w:val="0"/>
          <w:color w:val="000000"/>
          <w:spacing w:val="0"/>
          <w:sz w:val="32"/>
          <w:szCs w:val="32"/>
          <w:highlight w:val="none"/>
          <w:shd w:val="clear" w:fill="FFFFFF"/>
          <w:lang w:val="en-US" w:eastAsia="zh-CN"/>
        </w:rPr>
        <w:t>件</w:t>
      </w:r>
      <w:r>
        <w:rPr>
          <w:rFonts w:ascii="仿宋_GB2312" w:hAnsi="宋体" w:eastAsia="仿宋_GB2312" w:cs="仿宋_GB2312"/>
          <w:i w:val="0"/>
          <w:iCs w:val="0"/>
          <w:caps w:val="0"/>
          <w:color w:val="000000"/>
          <w:spacing w:val="0"/>
          <w:sz w:val="32"/>
          <w:szCs w:val="32"/>
          <w:highlight w:val="none"/>
          <w:shd w:val="clear" w:fill="FFFFFF"/>
        </w:rPr>
        <w:t>；</w:t>
      </w:r>
      <w:r>
        <w:rPr>
          <w:rFonts w:ascii="仿宋_GB2312" w:hAnsi="宋体" w:eastAsia="仿宋_GB2312" w:cs="仿宋_GB2312"/>
          <w:i w:val="0"/>
          <w:iCs w:val="0"/>
          <w:caps w:val="0"/>
          <w:color w:val="000000"/>
          <w:spacing w:val="0"/>
          <w:sz w:val="32"/>
          <w:szCs w:val="32"/>
          <w:shd w:val="clear" w:fill="FFFFFF"/>
        </w:rPr>
        <w:t>与往年相比，申请数量</w:t>
      </w:r>
      <w:r>
        <w:rPr>
          <w:rFonts w:hint="eastAsia" w:ascii="仿宋_GB2312" w:hAnsi="宋体" w:eastAsia="仿宋_GB2312" w:cs="仿宋_GB2312"/>
          <w:i w:val="0"/>
          <w:iCs w:val="0"/>
          <w:caps w:val="0"/>
          <w:color w:val="000000"/>
          <w:spacing w:val="0"/>
          <w:sz w:val="32"/>
          <w:szCs w:val="32"/>
          <w:shd w:val="clear" w:fill="FFFFFF"/>
          <w:lang w:val="en-US" w:eastAsia="zh-CN"/>
        </w:rPr>
        <w:t>有所增加</w:t>
      </w:r>
      <w:r>
        <w:rPr>
          <w:rFonts w:ascii="仿宋_GB2312" w:hAnsi="宋体" w:eastAsia="仿宋_GB2312" w:cs="仿宋_GB2312"/>
          <w:i w:val="0"/>
          <w:iCs w:val="0"/>
          <w:caps w:val="0"/>
          <w:color w:val="000000"/>
          <w:spacing w:val="0"/>
          <w:sz w:val="32"/>
          <w:szCs w:val="32"/>
          <w:shd w:val="clear" w:fill="FFFFFF"/>
        </w:rPr>
        <w:t>。</w:t>
      </w:r>
    </w:p>
    <w:p w14:paraId="5EE99C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（三）政府信息管理情况</w:t>
      </w:r>
    </w:p>
    <w:p w14:paraId="33A0C7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为使群众方便、快捷、多元获取信息，</w:t>
      </w:r>
      <w:r>
        <w:rPr>
          <w:rFonts w:hint="eastAsia" w:ascii="仿宋_GB2312" w:hAnsi="宋体" w:eastAsia="仿宋_GB2312" w:cs="仿宋_GB2312"/>
          <w:i w:val="0"/>
          <w:iCs w:val="0"/>
          <w:caps w:val="0"/>
          <w:color w:val="000000"/>
          <w:spacing w:val="0"/>
          <w:sz w:val="32"/>
          <w:szCs w:val="32"/>
          <w:shd w:val="clear" w:fill="FFFFFF"/>
          <w:lang w:val="en-US" w:eastAsia="zh-CN"/>
        </w:rPr>
        <w:t>柴胡店</w:t>
      </w:r>
      <w:r>
        <w:rPr>
          <w:rFonts w:hint="eastAsia" w:ascii="仿宋_GB2312" w:hAnsi="宋体" w:eastAsia="仿宋_GB2312" w:cs="仿宋_GB2312"/>
          <w:i w:val="0"/>
          <w:iCs w:val="0"/>
          <w:caps w:val="0"/>
          <w:color w:val="000000"/>
          <w:spacing w:val="0"/>
          <w:sz w:val="32"/>
          <w:szCs w:val="32"/>
          <w:shd w:val="clear" w:fill="FFFFFF"/>
          <w:lang w:eastAsia="zh-CN"/>
        </w:rPr>
        <w:t>镇</w:t>
      </w:r>
      <w:r>
        <w:rPr>
          <w:rFonts w:hint="eastAsia" w:ascii="仿宋_GB2312" w:hAnsi="宋体" w:eastAsia="仿宋_GB2312" w:cs="仿宋_GB2312"/>
          <w:i w:val="0"/>
          <w:iCs w:val="0"/>
          <w:caps w:val="0"/>
          <w:color w:val="000000"/>
          <w:spacing w:val="0"/>
          <w:sz w:val="32"/>
          <w:szCs w:val="32"/>
          <w:shd w:val="clear" w:fill="FFFFFF"/>
        </w:rPr>
        <w:t>通过</w:t>
      </w:r>
      <w:r>
        <w:rPr>
          <w:rFonts w:hint="eastAsia" w:ascii="仿宋_GB2312" w:hAnsi="宋体" w:eastAsia="仿宋_GB2312" w:cs="仿宋_GB2312"/>
          <w:i w:val="0"/>
          <w:iCs w:val="0"/>
          <w:caps w:val="0"/>
          <w:color w:val="000000"/>
          <w:spacing w:val="0"/>
          <w:sz w:val="32"/>
          <w:szCs w:val="32"/>
          <w:shd w:val="clear" w:fill="FFFFFF"/>
          <w:lang w:val="en-US" w:eastAsia="zh-CN"/>
        </w:rPr>
        <w:t>多种方式</w:t>
      </w:r>
      <w:r>
        <w:rPr>
          <w:rFonts w:hint="eastAsia" w:ascii="仿宋_GB2312" w:hAnsi="宋体" w:eastAsia="仿宋_GB2312" w:cs="仿宋_GB2312"/>
          <w:i w:val="0"/>
          <w:iCs w:val="0"/>
          <w:caps w:val="0"/>
          <w:color w:val="000000"/>
          <w:spacing w:val="0"/>
          <w:sz w:val="32"/>
          <w:szCs w:val="32"/>
          <w:shd w:val="clear" w:fill="FFFFFF"/>
        </w:rPr>
        <w:t>公开政府信息，在网站公示各种惠民措施，更新政务网站信息，</w:t>
      </w:r>
      <w:r>
        <w:rPr>
          <w:rFonts w:hint="eastAsia" w:ascii="仿宋_GB2312" w:hAnsi="宋体" w:eastAsia="仿宋_GB2312" w:cs="仿宋_GB2312"/>
          <w:i w:val="0"/>
          <w:iCs w:val="0"/>
          <w:caps w:val="0"/>
          <w:color w:val="000000"/>
          <w:spacing w:val="0"/>
          <w:sz w:val="32"/>
          <w:szCs w:val="32"/>
          <w:shd w:val="clear" w:fill="FFFFFF"/>
          <w:lang w:val="en-US" w:eastAsia="zh-CN"/>
        </w:rPr>
        <w:t>及时</w:t>
      </w:r>
      <w:r>
        <w:rPr>
          <w:rFonts w:hint="eastAsia" w:ascii="仿宋_GB2312" w:hAnsi="宋体" w:eastAsia="仿宋_GB2312" w:cs="仿宋_GB2312"/>
          <w:i w:val="0"/>
          <w:iCs w:val="0"/>
          <w:caps w:val="0"/>
          <w:color w:val="000000"/>
          <w:spacing w:val="0"/>
          <w:sz w:val="32"/>
          <w:szCs w:val="32"/>
          <w:shd w:val="clear" w:fill="FFFFFF"/>
        </w:rPr>
        <w:t>向</w:t>
      </w:r>
      <w:r>
        <w:rPr>
          <w:rFonts w:hint="eastAsia" w:ascii="仿宋_GB2312" w:hAnsi="宋体" w:eastAsia="仿宋_GB2312" w:cs="仿宋_GB2312"/>
          <w:i w:val="0"/>
          <w:iCs w:val="0"/>
          <w:caps w:val="0"/>
          <w:color w:val="000000"/>
          <w:spacing w:val="0"/>
          <w:sz w:val="32"/>
          <w:szCs w:val="32"/>
          <w:shd w:val="clear" w:fill="FFFFFF"/>
          <w:lang w:eastAsia="zh-CN"/>
        </w:rPr>
        <w:t>政务</w:t>
      </w:r>
      <w:r>
        <w:rPr>
          <w:rFonts w:hint="eastAsia" w:ascii="仿宋_GB2312" w:hAnsi="宋体" w:eastAsia="仿宋_GB2312" w:cs="仿宋_GB2312"/>
          <w:i w:val="0"/>
          <w:iCs w:val="0"/>
          <w:caps w:val="0"/>
          <w:color w:val="000000"/>
          <w:spacing w:val="0"/>
          <w:sz w:val="32"/>
          <w:szCs w:val="32"/>
          <w:shd w:val="clear" w:fill="FFFFFF"/>
        </w:rPr>
        <w:t>媒体提供</w:t>
      </w:r>
      <w:r>
        <w:rPr>
          <w:rFonts w:hint="eastAsia" w:ascii="仿宋_GB2312" w:hAnsi="宋体" w:eastAsia="仿宋_GB2312" w:cs="仿宋_GB2312"/>
          <w:i w:val="0"/>
          <w:iCs w:val="0"/>
          <w:caps w:val="0"/>
          <w:color w:val="000000"/>
          <w:spacing w:val="0"/>
          <w:sz w:val="32"/>
          <w:szCs w:val="32"/>
          <w:shd w:val="clear" w:fill="FFFFFF"/>
          <w:lang w:eastAsia="zh-CN"/>
        </w:rPr>
        <w:t>我镇</w:t>
      </w:r>
      <w:r>
        <w:rPr>
          <w:rFonts w:hint="eastAsia" w:ascii="仿宋_GB2312" w:hAnsi="宋体" w:eastAsia="仿宋_GB2312" w:cs="仿宋_GB2312"/>
          <w:i w:val="0"/>
          <w:iCs w:val="0"/>
          <w:caps w:val="0"/>
          <w:color w:val="000000"/>
          <w:spacing w:val="0"/>
          <w:sz w:val="32"/>
          <w:szCs w:val="32"/>
          <w:shd w:val="clear" w:fill="FFFFFF"/>
        </w:rPr>
        <w:t>工作动态。同时，加强政务公开工作，通过公示栏等及时公示最新政策信息。</w:t>
      </w:r>
      <w:r>
        <w:rPr>
          <w:rFonts w:hint="eastAsia" w:ascii="仿宋_GB2312" w:hAnsi="宋体" w:eastAsia="仿宋_GB2312" w:cs="仿宋_GB2312"/>
          <w:i w:val="0"/>
          <w:iCs w:val="0"/>
          <w:caps w:val="0"/>
          <w:color w:val="000000"/>
          <w:spacing w:val="0"/>
          <w:sz w:val="32"/>
          <w:szCs w:val="32"/>
          <w:shd w:val="clear" w:fill="FFFFFF"/>
          <w:lang w:val="en-US" w:eastAsia="zh-CN"/>
        </w:rPr>
        <w:t>不断</w:t>
      </w:r>
      <w:r>
        <w:rPr>
          <w:rFonts w:hint="eastAsia" w:ascii="仿宋_GB2312" w:hAnsi="宋体" w:eastAsia="仿宋_GB2312" w:cs="仿宋_GB2312"/>
          <w:i w:val="0"/>
          <w:iCs w:val="0"/>
          <w:caps w:val="0"/>
          <w:color w:val="000000"/>
          <w:spacing w:val="0"/>
          <w:sz w:val="32"/>
          <w:szCs w:val="32"/>
          <w:shd w:val="clear" w:fill="FFFFFF"/>
        </w:rPr>
        <w:t>健全工作机制，夯实管理基础。确保公开信息不涉密、不违规，全年未发生信息公开失泄密事件。</w:t>
      </w:r>
    </w:p>
    <w:p w14:paraId="7ABE90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（四）公开平台建设情况</w:t>
      </w:r>
    </w:p>
    <w:p w14:paraId="0848239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按照</w:t>
      </w:r>
      <w:r>
        <w:rPr>
          <w:rFonts w:hint="eastAsia" w:ascii="仿宋_GB2312" w:hAnsi="仿宋_GB2312" w:eastAsia="仿宋_GB2312" w:cs="仿宋_GB2312"/>
          <w:i w:val="0"/>
          <w:iCs w:val="0"/>
          <w:caps w:val="0"/>
          <w:color w:val="000000"/>
          <w:spacing w:val="0"/>
          <w:sz w:val="32"/>
          <w:szCs w:val="32"/>
          <w:shd w:val="clear" w:fill="FFFFFF"/>
        </w:rPr>
        <w:t>市级统一规划</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柴胡店镇依托政府门户网站开设政务公开专栏，实现政策文件、惠民信息的“指尖推送”。同时，在镇便民服务中心设立政务公开专区，并与办事窗口衔接，配备查询电脑、打印设备、纸质资料架等基础设施，提供信息查询、依申请公开受理、办事咨询“一站式”服务，</w:t>
      </w:r>
      <w:r>
        <w:rPr>
          <w:rFonts w:hint="eastAsia" w:ascii="仿宋_GB2312" w:hAnsi="仿宋_GB2312" w:eastAsia="仿宋_GB2312" w:cs="仿宋_GB2312"/>
          <w:i w:val="0"/>
          <w:iCs w:val="0"/>
          <w:caps w:val="0"/>
          <w:color w:val="000000"/>
          <w:spacing w:val="0"/>
          <w:sz w:val="32"/>
          <w:szCs w:val="32"/>
          <w:shd w:val="clear" w:fill="FFFFFF"/>
        </w:rPr>
        <w:t>让公众能够便捷地获取镇政府的最新动态</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C911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（五）监督保障情况</w:t>
      </w:r>
    </w:p>
    <w:p w14:paraId="46442C4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柴胡店镇</w:t>
      </w:r>
      <w:r>
        <w:rPr>
          <w:rFonts w:hint="eastAsia" w:ascii="仿宋_GB2312" w:hAnsi="仿宋_GB2312" w:eastAsia="仿宋_GB2312" w:cs="仿宋_GB2312"/>
          <w:i w:val="0"/>
          <w:iCs w:val="0"/>
          <w:caps w:val="0"/>
          <w:color w:val="000000"/>
          <w:spacing w:val="0"/>
          <w:sz w:val="32"/>
          <w:szCs w:val="32"/>
          <w:shd w:val="clear" w:fill="FFFFFF"/>
        </w:rPr>
        <w:t>从</w:t>
      </w:r>
      <w:r>
        <w:rPr>
          <w:rFonts w:hint="eastAsia" w:ascii="仿宋_GB2312" w:hAnsi="仿宋_GB2312" w:eastAsia="仿宋_GB2312" w:cs="仿宋_GB2312"/>
          <w:i w:val="0"/>
          <w:iCs w:val="0"/>
          <w:caps w:val="0"/>
          <w:color w:val="000000"/>
          <w:spacing w:val="0"/>
          <w:sz w:val="32"/>
          <w:szCs w:val="32"/>
          <w:shd w:val="clear" w:fill="FFFFFF"/>
          <w:lang w:eastAsia="zh-CN"/>
        </w:rPr>
        <w:t>两个方面</w:t>
      </w:r>
      <w:r>
        <w:rPr>
          <w:rFonts w:hint="eastAsia" w:ascii="仿宋_GB2312" w:hAnsi="仿宋_GB2312" w:eastAsia="仿宋_GB2312" w:cs="仿宋_GB2312"/>
          <w:i w:val="0"/>
          <w:iCs w:val="0"/>
          <w:caps w:val="0"/>
          <w:color w:val="000000"/>
          <w:spacing w:val="0"/>
          <w:sz w:val="32"/>
          <w:szCs w:val="32"/>
          <w:shd w:val="clear" w:fill="FFFFFF"/>
        </w:rPr>
        <w:t>加大对政务公开工作的监督落实：一是健全</w:t>
      </w:r>
      <w:r>
        <w:rPr>
          <w:rFonts w:hint="eastAsia" w:ascii="仿宋_GB2312" w:hAnsi="仿宋_GB2312" w:eastAsia="仿宋_GB2312" w:cs="仿宋_GB2312"/>
          <w:i w:val="0"/>
          <w:iCs w:val="0"/>
          <w:caps w:val="0"/>
          <w:color w:val="000000"/>
          <w:spacing w:val="0"/>
          <w:sz w:val="32"/>
          <w:szCs w:val="32"/>
          <w:shd w:val="clear" w:fill="FFFFFF"/>
          <w:lang w:eastAsia="zh-CN"/>
        </w:rPr>
        <w:t>内部监督</w:t>
      </w:r>
      <w:r>
        <w:rPr>
          <w:rFonts w:hint="eastAsia" w:ascii="仿宋_GB2312" w:hAnsi="仿宋_GB2312" w:eastAsia="仿宋_GB2312" w:cs="仿宋_GB2312"/>
          <w:i w:val="0"/>
          <w:iCs w:val="0"/>
          <w:caps w:val="0"/>
          <w:color w:val="000000"/>
          <w:spacing w:val="0"/>
          <w:sz w:val="32"/>
          <w:szCs w:val="32"/>
          <w:shd w:val="clear" w:fill="FFFFFF"/>
        </w:rPr>
        <w:t>机制。监督小组根据有关规定负责监督、</w:t>
      </w:r>
      <w:r>
        <w:rPr>
          <w:rFonts w:hint="eastAsia" w:ascii="仿宋_GB2312" w:hAnsi="仿宋_GB2312" w:eastAsia="仿宋_GB2312" w:cs="仿宋_GB2312"/>
          <w:b w:val="0"/>
          <w:bCs w:val="0"/>
          <w:i w:val="0"/>
          <w:iCs w:val="0"/>
          <w:caps w:val="0"/>
          <w:color w:val="000000"/>
          <w:spacing w:val="0"/>
          <w:sz w:val="32"/>
          <w:szCs w:val="32"/>
          <w:shd w:val="clear" w:fill="FFFFFF"/>
        </w:rPr>
        <w:t>检查信息公开工作的开展情况，公开的内容是否真实、全面，公开是否及时，程序是否合法，群众反映的问题是否得到及时解决</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二是完善外部监督。设立意见箱和监督电话，收集群众对信息公开工作的意见</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建议</w:t>
      </w:r>
      <w:r>
        <w:rPr>
          <w:rFonts w:hint="eastAsia" w:ascii="仿宋_GB2312" w:hAnsi="仿宋_GB2312" w:eastAsia="仿宋_GB2312" w:cs="仿宋_GB2312"/>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并</w:t>
      </w:r>
      <w:r>
        <w:rPr>
          <w:rFonts w:hint="eastAsia" w:ascii="仿宋_GB2312" w:hAnsi="仿宋_GB2312" w:eastAsia="仿宋_GB2312" w:cs="仿宋_GB2312"/>
          <w:b w:val="0"/>
          <w:bCs w:val="0"/>
          <w:i w:val="0"/>
          <w:iCs w:val="0"/>
          <w:caps w:val="0"/>
          <w:color w:val="000000"/>
          <w:spacing w:val="0"/>
          <w:sz w:val="32"/>
          <w:szCs w:val="32"/>
          <w:shd w:val="clear" w:fill="FFFFFF"/>
        </w:rPr>
        <w:t>及时开展调查落实</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p>
    <w:p w14:paraId="594D1F2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202</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fill="FFFFFF"/>
        </w:rPr>
        <w:t>年未发生因信息公开审查不当或保密审查机构未履行保密审查职责而引起的失泄密情况。</w:t>
      </w:r>
    </w:p>
    <w:p w14:paraId="66032CE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202</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fill="FFFFFF"/>
        </w:rPr>
        <w:t>年度未进行社会评议，未发生责任追究情况。</w:t>
      </w:r>
    </w:p>
    <w:p w14:paraId="4C3534D8">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2E38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A0E2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第二十条第（一）项</w:t>
            </w:r>
          </w:p>
        </w:tc>
      </w:tr>
      <w:tr w14:paraId="3370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5662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2A54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本年</w:t>
            </w:r>
            <w:r>
              <w:rPr>
                <w:rFonts w:hint="eastAsia" w:ascii="宋体" w:hAnsi="宋体" w:eastAsia="宋体" w:cs="宋体"/>
                <w:b w:val="0"/>
                <w:bCs w:val="0"/>
                <w:color w:val="auto"/>
                <w:kern w:val="0"/>
                <w:sz w:val="20"/>
                <w:szCs w:val="20"/>
                <w:highlight w:val="none"/>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E87C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088A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现行有效件</w:t>
            </w:r>
            <w:r>
              <w:rPr>
                <w:rFonts w:hint="eastAsia" w:ascii="宋体" w:hAnsi="宋体" w:eastAsia="宋体" w:cs="宋体"/>
                <w:b w:val="0"/>
                <w:bCs w:val="0"/>
                <w:color w:val="auto"/>
                <w:kern w:val="0"/>
                <w:sz w:val="20"/>
                <w:szCs w:val="20"/>
                <w:highlight w:val="none"/>
                <w:lang w:val="en-US" w:eastAsia="zh-CN" w:bidi="ar"/>
              </w:rPr>
              <w:t>数</w:t>
            </w:r>
          </w:p>
        </w:tc>
      </w:tr>
      <w:tr w14:paraId="6476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0A9A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99E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b w:val="0"/>
                <w:bCs w:val="0"/>
                <w:highlight w:val="none"/>
                <w:lang w:val="en-US" w:eastAsia="zh-CN"/>
              </w:rPr>
            </w:pPr>
            <w:r>
              <w:rPr>
                <w:rFonts w:hint="eastAsia" w:ascii="宋体" w:hAnsi="宋体" w:cs="宋体"/>
                <w:b w:val="0"/>
                <w:bCs w:val="0"/>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B097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b w:val="0"/>
                <w:bCs w:val="0"/>
                <w:highlight w:val="none"/>
                <w:lang w:val="en-US"/>
              </w:rPr>
            </w:pPr>
            <w:r>
              <w:rPr>
                <w:rFonts w:hint="eastAsia" w:ascii="宋体" w:hAnsi="宋体" w:cs="宋体"/>
                <w:b w:val="0"/>
                <w:bCs w:val="0"/>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655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eastAsia="宋体"/>
                <w:b w:val="0"/>
                <w:bCs w:val="0"/>
                <w:sz w:val="24"/>
                <w:szCs w:val="24"/>
                <w:highlight w:val="none"/>
                <w:lang w:val="en-US" w:eastAsia="zh-CN"/>
              </w:rPr>
            </w:pPr>
            <w:r>
              <w:rPr>
                <w:rFonts w:hint="eastAsia" w:ascii="宋体" w:hAnsi="宋体" w:cs="宋体"/>
                <w:b w:val="0"/>
                <w:bCs w:val="0"/>
                <w:color w:val="000000"/>
                <w:kern w:val="0"/>
                <w:sz w:val="20"/>
                <w:szCs w:val="20"/>
                <w:highlight w:val="none"/>
                <w:lang w:val="en-US" w:eastAsia="zh-CN" w:bidi="ar"/>
              </w:rPr>
              <w:t>0</w:t>
            </w:r>
          </w:p>
        </w:tc>
      </w:tr>
      <w:tr w14:paraId="2252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4120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AB4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b w:val="0"/>
                <w:bCs w:val="0"/>
                <w:highlight w:val="none"/>
                <w:lang w:val="en-US"/>
              </w:rPr>
            </w:pPr>
            <w:r>
              <w:rPr>
                <w:rFonts w:hint="eastAsia" w:ascii="宋体" w:hAnsi="宋体" w:cs="宋体"/>
                <w:b w:val="0"/>
                <w:bCs w:val="0"/>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17A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b w:val="0"/>
                <w:bCs w:val="0"/>
                <w:highlight w:val="none"/>
                <w:lang w:val="en-US"/>
              </w:rPr>
            </w:pPr>
            <w:r>
              <w:rPr>
                <w:rFonts w:hint="eastAsia" w:ascii="宋体" w:hAnsi="宋体" w:cs="宋体"/>
                <w:b w:val="0"/>
                <w:bCs w:val="0"/>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6BBA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eastAsia="宋体"/>
                <w:b w:val="0"/>
                <w:bCs w:val="0"/>
                <w:sz w:val="24"/>
                <w:szCs w:val="24"/>
                <w:highlight w:val="none"/>
                <w:lang w:val="en-US" w:eastAsia="zh-CN"/>
              </w:rPr>
            </w:pPr>
            <w:r>
              <w:rPr>
                <w:rFonts w:hint="eastAsia" w:ascii="宋体" w:hAnsi="宋体" w:cs="宋体"/>
                <w:b w:val="0"/>
                <w:bCs w:val="0"/>
                <w:color w:val="000000"/>
                <w:kern w:val="0"/>
                <w:sz w:val="20"/>
                <w:szCs w:val="20"/>
                <w:highlight w:val="none"/>
                <w:lang w:val="en-US" w:eastAsia="zh-CN" w:bidi="ar"/>
              </w:rPr>
              <w:t>0</w:t>
            </w:r>
          </w:p>
        </w:tc>
      </w:tr>
      <w:tr w14:paraId="088E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0AAA1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第二十条第（五）项</w:t>
            </w:r>
          </w:p>
        </w:tc>
      </w:tr>
      <w:tr w14:paraId="16CC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A0A0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6AD3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本年处理决定数量</w:t>
            </w:r>
          </w:p>
        </w:tc>
      </w:tr>
      <w:tr w14:paraId="6612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D2F6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244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eastAsia="宋体"/>
                <w:b w:val="0"/>
                <w:bCs w:val="0"/>
                <w:sz w:val="24"/>
                <w:szCs w:val="24"/>
                <w:highlight w:val="none"/>
                <w:lang w:val="en-US" w:eastAsia="zh-CN"/>
              </w:rPr>
            </w:pPr>
            <w:r>
              <w:rPr>
                <w:rFonts w:hint="eastAsia" w:ascii="宋体" w:hAnsi="宋体" w:cs="宋体"/>
                <w:b w:val="0"/>
                <w:bCs w:val="0"/>
                <w:color w:val="000000"/>
                <w:kern w:val="0"/>
                <w:sz w:val="20"/>
                <w:szCs w:val="20"/>
                <w:highlight w:val="none"/>
                <w:lang w:val="en-US" w:eastAsia="zh-CN" w:bidi="ar"/>
              </w:rPr>
              <w:t>0</w:t>
            </w:r>
          </w:p>
        </w:tc>
      </w:tr>
      <w:tr w14:paraId="5FDC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245D4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第二十条第（六）项</w:t>
            </w:r>
          </w:p>
        </w:tc>
      </w:tr>
      <w:tr w14:paraId="629B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08C0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26B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本年处理决定数量</w:t>
            </w:r>
          </w:p>
        </w:tc>
      </w:tr>
      <w:tr w14:paraId="70E3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D6EC5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72CB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cs="宋体"/>
                <w:b w:val="0"/>
                <w:bCs w:val="0"/>
                <w:color w:val="000000"/>
                <w:kern w:val="0"/>
                <w:sz w:val="20"/>
                <w:szCs w:val="20"/>
                <w:highlight w:val="none"/>
                <w:lang w:val="en-US" w:eastAsia="zh-CN" w:bidi="ar"/>
              </w:rPr>
            </w:pPr>
            <w:r>
              <w:rPr>
                <w:rFonts w:hint="eastAsia" w:ascii="宋体" w:hAnsi="宋体" w:cs="宋体"/>
                <w:b w:val="0"/>
                <w:bCs w:val="0"/>
                <w:color w:val="000000"/>
                <w:kern w:val="0"/>
                <w:sz w:val="20"/>
                <w:szCs w:val="20"/>
                <w:highlight w:val="none"/>
                <w:lang w:val="en-US" w:eastAsia="zh-CN" w:bidi="ar"/>
              </w:rPr>
              <w:t>0</w:t>
            </w:r>
          </w:p>
        </w:tc>
      </w:tr>
      <w:tr w14:paraId="4584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4EE7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FF94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cs="宋体"/>
                <w:b w:val="0"/>
                <w:bCs w:val="0"/>
                <w:color w:val="000000"/>
                <w:kern w:val="0"/>
                <w:sz w:val="20"/>
                <w:szCs w:val="20"/>
                <w:highlight w:val="none"/>
                <w:lang w:val="en-US" w:eastAsia="zh-CN" w:bidi="ar"/>
              </w:rPr>
            </w:pPr>
            <w:r>
              <w:rPr>
                <w:rFonts w:hint="eastAsia" w:ascii="宋体" w:hAnsi="宋体" w:cs="宋体"/>
                <w:b w:val="0"/>
                <w:bCs w:val="0"/>
                <w:color w:val="000000"/>
                <w:kern w:val="0"/>
                <w:sz w:val="20"/>
                <w:szCs w:val="20"/>
                <w:highlight w:val="none"/>
                <w:lang w:val="en-US" w:eastAsia="zh-CN" w:bidi="ar"/>
              </w:rPr>
              <w:t>0</w:t>
            </w:r>
          </w:p>
        </w:tc>
      </w:tr>
      <w:tr w14:paraId="6A9E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2617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第二十条第（八）项</w:t>
            </w:r>
          </w:p>
        </w:tc>
      </w:tr>
      <w:tr w14:paraId="70DC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8495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09754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本年收费金额（单位：万元）</w:t>
            </w:r>
          </w:p>
        </w:tc>
      </w:tr>
      <w:tr w14:paraId="024C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C840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b w:val="0"/>
                <w:bCs w:val="0"/>
                <w:highlight w:val="none"/>
              </w:rPr>
            </w:pPr>
            <w:r>
              <w:rPr>
                <w:rFonts w:hint="eastAsia" w:ascii="宋体" w:hAnsi="宋体" w:eastAsia="宋体" w:cs="宋体"/>
                <w:b w:val="0"/>
                <w:bCs w:val="0"/>
                <w:color w:val="000000"/>
                <w:kern w:val="0"/>
                <w:sz w:val="20"/>
                <w:szCs w:val="20"/>
                <w:highlight w:val="none"/>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7A8E7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eastAsia="宋体"/>
                <w:b w:val="0"/>
                <w:bCs w:val="0"/>
                <w:sz w:val="24"/>
                <w:szCs w:val="24"/>
                <w:highlight w:val="none"/>
                <w:lang w:val="en-US" w:eastAsia="zh-CN"/>
              </w:rPr>
            </w:pPr>
            <w:r>
              <w:rPr>
                <w:rFonts w:hint="eastAsia" w:ascii="宋体" w:hAnsi="宋体" w:cs="宋体"/>
                <w:b w:val="0"/>
                <w:bCs w:val="0"/>
                <w:color w:val="000000"/>
                <w:kern w:val="0"/>
                <w:sz w:val="20"/>
                <w:szCs w:val="20"/>
                <w:highlight w:val="none"/>
                <w:lang w:val="en-US" w:eastAsia="zh-CN" w:bidi="ar"/>
              </w:rPr>
              <w:t>0</w:t>
            </w:r>
          </w:p>
        </w:tc>
      </w:tr>
    </w:tbl>
    <w:p w14:paraId="537AE1B8">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收到和处理政府信息公开申请情况</w:t>
      </w:r>
    </w:p>
    <w:tbl>
      <w:tblPr>
        <w:tblStyle w:val="5"/>
        <w:tblW w:w="933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519"/>
        <w:gridCol w:w="2731"/>
        <w:gridCol w:w="577"/>
        <w:gridCol w:w="487"/>
        <w:gridCol w:w="478"/>
        <w:gridCol w:w="740"/>
        <w:gridCol w:w="699"/>
        <w:gridCol w:w="731"/>
        <w:gridCol w:w="869"/>
      </w:tblGrid>
      <w:tr w14:paraId="010479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136AC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（本列数据的勾稽关系为：第一项加第二项之和，</w:t>
            </w:r>
          </w:p>
          <w:p w14:paraId="4B11C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等于第三项加第四项之和）</w:t>
            </w:r>
          </w:p>
        </w:tc>
        <w:tc>
          <w:tcPr>
            <w:tcW w:w="4581"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AA2E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申请人情况</w:t>
            </w:r>
          </w:p>
        </w:tc>
      </w:tr>
      <w:tr w14:paraId="46C7E2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73721D28">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57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956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自然人</w:t>
            </w:r>
          </w:p>
        </w:tc>
        <w:tc>
          <w:tcPr>
            <w:tcW w:w="313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2A0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法人或其他组织</w:t>
            </w:r>
          </w:p>
        </w:tc>
        <w:tc>
          <w:tcPr>
            <w:tcW w:w="869"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0BEB8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总计</w:t>
            </w:r>
          </w:p>
        </w:tc>
      </w:tr>
      <w:tr w14:paraId="0DAED4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0A63B469">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57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868021">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62DC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firstLine="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商业</w:t>
            </w:r>
          </w:p>
          <w:p w14:paraId="61E4F1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firstLine="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企业</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5D1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科研</w:t>
            </w:r>
          </w:p>
          <w:p w14:paraId="6AEA2E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机构</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090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社会公</w:t>
            </w:r>
          </w:p>
          <w:p w14:paraId="5AA23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益组织</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9F7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firstLine="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法律服</w:t>
            </w:r>
          </w:p>
          <w:p w14:paraId="46BA5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101" w:firstLine="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务机构</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277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58" w:right="-13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其他</w:t>
            </w:r>
          </w:p>
        </w:tc>
        <w:tc>
          <w:tcPr>
            <w:tcW w:w="869"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51F33E4">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r>
      <w:tr w14:paraId="2190CC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7AC91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0" w:name="_Hlk66973412"/>
            <w:bookmarkEnd w:id="0"/>
            <w:r>
              <w:rPr>
                <w:rFonts w:hint="eastAsia" w:ascii="楷体_GB2312" w:hAnsi="楷体_GB2312" w:eastAsia="楷体_GB2312" w:cs="楷体_GB2312"/>
                <w:sz w:val="19"/>
                <w:szCs w:val="19"/>
              </w:rPr>
              <w:t>一、本年新收政府信息公开申请数量</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D29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C75E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6BE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8B4C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5A2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299E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57999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r>
      <w:tr w14:paraId="540656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69D2F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二、上年结转政府信息公开申请数量</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0FC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1C6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D1CB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463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31E4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6AD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DAE2B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1DD25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7D36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三、本年度办理结果</w:t>
            </w:r>
          </w:p>
        </w:tc>
        <w:tc>
          <w:tcPr>
            <w:tcW w:w="4250"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0E51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（一）予以公开</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30EF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2AE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FAF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46BB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DFE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7922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E1EE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r>
      <w:tr w14:paraId="79C436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F4C474E">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4250"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787C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1" w:name="_Hlk66973981"/>
            <w:bookmarkEnd w:id="1"/>
            <w:r>
              <w:rPr>
                <w:rFonts w:hint="eastAsia" w:ascii="楷体_GB2312" w:hAnsi="楷体_GB2312" w:eastAsia="楷体_GB2312" w:cs="楷体_GB2312"/>
                <w:sz w:val="19"/>
                <w:szCs w:val="19"/>
              </w:rPr>
              <w:t>（二）部分公开（区分处理的，只计这一情形，不计其他情形）</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7290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06A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DE1A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02D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06D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06F1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3862B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701F92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2EDE6BF">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A7B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（三）不予公开</w:t>
            </w: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63C4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1.属于国家秘密</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5002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6132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2280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7F14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D3E1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2B15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F7808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263674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5C209E2">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94B13D">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16A5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2" w:name="_Hlk66974104"/>
            <w:bookmarkEnd w:id="2"/>
            <w:r>
              <w:rPr>
                <w:rFonts w:hint="eastAsia" w:ascii="楷体_GB2312" w:hAnsi="楷体_GB2312" w:eastAsia="楷体_GB2312" w:cs="楷体_GB2312"/>
                <w:sz w:val="19"/>
                <w:szCs w:val="19"/>
              </w:rPr>
              <w:t>2.其他法律行政法规禁止公开</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5C2C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1B5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87F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318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BEA8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B3447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CCE49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52DE1A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D2106F6">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7794784">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40EA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3.危及“三安全一稳定”</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762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FAA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483E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71F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1486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8C5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FDFD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3EDEDC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4CDCEA8">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8B1CA0">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98B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3" w:name="_Hlk66974290"/>
            <w:bookmarkEnd w:id="3"/>
            <w:r>
              <w:rPr>
                <w:rFonts w:hint="eastAsia" w:ascii="楷体_GB2312" w:hAnsi="楷体_GB2312" w:eastAsia="楷体_GB2312" w:cs="楷体_GB2312"/>
                <w:sz w:val="19"/>
                <w:szCs w:val="19"/>
              </w:rPr>
              <w:t>4.保护第三方合法权益</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6171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906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F9B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D04B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169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E3A9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6F40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09984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867D851">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F0C69C">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DAE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5.属于三类内部事务信息</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F127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9B41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165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EFEC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3A5B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589B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FA2C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568FB8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845EEC3">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4A7BD2">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BABE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4" w:name="_Hlk66974555"/>
            <w:bookmarkEnd w:id="4"/>
            <w:r>
              <w:rPr>
                <w:rFonts w:hint="eastAsia" w:ascii="楷体_GB2312" w:hAnsi="楷体_GB2312" w:eastAsia="楷体_GB2312" w:cs="楷体_GB2312"/>
                <w:sz w:val="19"/>
                <w:szCs w:val="19"/>
              </w:rPr>
              <w:t>6.属于四类过程性信息</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E95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D5A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EF5A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0AD0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D4C3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4FC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90FBE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2D3FD8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6E7D73B">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BD27DE">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8BD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7.属于行政执法案卷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30C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459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9C26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F377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6486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D3BA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933F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302EDE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9EDD95A">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FAF1FA">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D66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5" w:name="_Hlk66975211"/>
            <w:bookmarkEnd w:id="5"/>
            <w:r>
              <w:rPr>
                <w:rFonts w:hint="eastAsia" w:ascii="楷体_GB2312" w:hAnsi="楷体_GB2312" w:eastAsia="楷体_GB2312" w:cs="楷体_GB2312"/>
                <w:sz w:val="19"/>
                <w:szCs w:val="19"/>
              </w:rPr>
              <w:t>8.属于行政查询事项</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4A7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2448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6983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4B30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5944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031C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6386E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6A7D9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FB5EA95">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194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（四）无法提供</w:t>
            </w: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8CB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1.本机关不掌握相关政府信息</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67D0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D412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4C4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356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841A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5C5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AAAF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4DE9AA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9E37E59">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FF6747">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2EFBF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6" w:name="_Hlk66975392"/>
            <w:bookmarkEnd w:id="6"/>
            <w:r>
              <w:rPr>
                <w:rFonts w:hint="eastAsia" w:ascii="楷体_GB2312" w:hAnsi="楷体_GB2312" w:eastAsia="楷体_GB2312" w:cs="楷体_GB2312"/>
                <w:sz w:val="19"/>
                <w:szCs w:val="19"/>
              </w:rPr>
              <w:t>2.没有现成信息需要另行制作</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B46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956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30CDB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3FC3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8DE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16E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9AD3D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6630A9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897CE00">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603813">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2E0E3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7" w:name="_Hlk66975466"/>
            <w:bookmarkEnd w:id="7"/>
            <w:r>
              <w:rPr>
                <w:rFonts w:hint="eastAsia" w:ascii="楷体_GB2312" w:hAnsi="楷体_GB2312" w:eastAsia="楷体_GB2312" w:cs="楷体_GB2312"/>
                <w:sz w:val="19"/>
                <w:szCs w:val="19"/>
              </w:rPr>
              <w:t>3.补正后申请内容仍不明确</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759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7AE0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D36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16C5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429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307D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7BC7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18BE38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4C5E144">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6B7C7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1"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（五）不予处理</w:t>
            </w: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D082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bookmarkStart w:id="8" w:name="_Hlk66975537"/>
            <w:bookmarkEnd w:id="8"/>
            <w:r>
              <w:rPr>
                <w:rFonts w:hint="eastAsia" w:ascii="楷体_GB2312" w:hAnsi="楷体_GB2312" w:eastAsia="楷体_GB2312" w:cs="楷体_GB2312"/>
                <w:sz w:val="19"/>
                <w:szCs w:val="19"/>
              </w:rPr>
              <w:t>1.信访举报投诉类申请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DA2D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731E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C8C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80F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5D3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45D9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2EF10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4AD70F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A04B07C">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890F6C">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AD35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2.重复申请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DE40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73B9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CD4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D53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C7E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3EB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F451B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4A734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7054910">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5D2990">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621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3.要求提供公开出版物</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8B1D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9060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6F97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8A5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FCA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4F3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CB2A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05A682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0DE7592">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39B076">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7F9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4.无正当理由大量反复申请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FDA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9AE9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61B3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6B0F1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8D84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02C2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4C921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3F19E8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AF3246E">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FB5AC0">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A28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5.要求行政机关确认或重新</w:t>
            </w:r>
          </w:p>
          <w:p w14:paraId="24663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216"/>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出具已获取信息</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605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BFA4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96F1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206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064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006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1E72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240F46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8F4FA79">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C25F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（六）其他处理</w:t>
            </w:r>
          </w:p>
        </w:tc>
        <w:tc>
          <w:tcPr>
            <w:tcW w:w="2731"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1093E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1.申请人无正当理由逾期不补正、行政机关不再处理其政府信息公开申请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F3A45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D26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4878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AFB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BEE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9F2C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D3BC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3EE9FA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54853BD">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E4487C">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641AB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2.申请人逾期未按收费通知要求缴纳费用、行政机关不再处理其政府信息公开申请</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026A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8F5DB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6B91B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752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AA4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20B1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953EE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13A100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8A60F28">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151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3DA66C">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2731"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19146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3.其他</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32CD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F88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A38E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DE2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7F61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D6B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66C49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r w14:paraId="72C33A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CB45552">
            <w:pPr>
              <w:keepNext w:val="0"/>
              <w:keepLines w:val="0"/>
              <w:pageBreakBefore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p>
        </w:tc>
        <w:tc>
          <w:tcPr>
            <w:tcW w:w="4250"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673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（七）总计</w:t>
            </w:r>
          </w:p>
        </w:tc>
        <w:tc>
          <w:tcPr>
            <w:tcW w:w="57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789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c>
          <w:tcPr>
            <w:tcW w:w="487"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E030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A92F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720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8B35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CE64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166F7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lang w:val="en-US" w:eastAsia="zh-CN"/>
              </w:rPr>
            </w:pPr>
            <w:r>
              <w:rPr>
                <w:rFonts w:hint="eastAsia" w:ascii="楷体_GB2312" w:hAnsi="楷体_GB2312" w:eastAsia="楷体_GB2312" w:cs="楷体_GB2312"/>
                <w:sz w:val="19"/>
                <w:szCs w:val="19"/>
                <w:lang w:val="en-US" w:eastAsia="zh-CN"/>
              </w:rPr>
              <w:t>1</w:t>
            </w:r>
          </w:p>
        </w:tc>
      </w:tr>
      <w:tr w14:paraId="00990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3"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14:paraId="00BC28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四、结转下年度继续办理</w:t>
            </w:r>
          </w:p>
        </w:tc>
        <w:tc>
          <w:tcPr>
            <w:tcW w:w="577"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346D66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87"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45982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478"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5DC994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4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1FEF0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6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4A751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731"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DC52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c>
          <w:tcPr>
            <w:tcW w:w="869"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14:paraId="724B5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sz w:val="19"/>
                <w:szCs w:val="19"/>
              </w:rPr>
            </w:pPr>
            <w:r>
              <w:rPr>
                <w:rFonts w:hint="eastAsia" w:ascii="楷体_GB2312" w:hAnsi="楷体_GB2312" w:eastAsia="楷体_GB2312" w:cs="楷体_GB2312"/>
                <w:sz w:val="19"/>
                <w:szCs w:val="19"/>
              </w:rPr>
              <w:t>0</w:t>
            </w:r>
          </w:p>
        </w:tc>
      </w:tr>
    </w:tbl>
    <w:p w14:paraId="0C07C56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黑体" w:cs="仿宋_GB2312"/>
          <w:b w:val="0"/>
          <w:bCs w:val="0"/>
          <w:i w:val="0"/>
          <w:iCs w:val="0"/>
          <w:caps w:val="0"/>
          <w:color w:val="000000"/>
          <w:spacing w:val="0"/>
          <w:sz w:val="32"/>
          <w:szCs w:val="32"/>
          <w:highlight w:val="yellow"/>
          <w:lang w:eastAsia="zh-CN"/>
        </w:rPr>
      </w:pPr>
      <w:r>
        <w:rPr>
          <w:rFonts w:hint="eastAsia" w:ascii="黑体" w:hAnsi="黑体" w:eastAsia="黑体" w:cs="黑体"/>
          <w:b w:val="0"/>
          <w:bCs w:val="0"/>
          <w:i w:val="0"/>
          <w:iCs w:val="0"/>
          <w:caps w:val="0"/>
          <w:color w:val="000000"/>
          <w:spacing w:val="0"/>
          <w:sz w:val="32"/>
          <w:szCs w:val="32"/>
          <w:shd w:val="clear" w:fill="FFFFFF"/>
        </w:rPr>
        <w:t>四、政府信息公开行政复议、行政诉讼情况</w:t>
      </w:r>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BCFB9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2C5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C6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14:paraId="2A4285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F99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CA1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090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804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FFB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00B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F04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14:paraId="2C2FA2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9EB39E">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84B10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795E5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DA7D3F">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15BA2C">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B9B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777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93E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745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E7E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69C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4B5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2DF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A9D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AC51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631777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D2F26D">
            <w:pPr>
              <w:jc w:val="cente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74DE5E">
            <w:pPr>
              <w:jc w:val="cente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CB0F57">
            <w:pPr>
              <w:jc w:val="cente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94C0">
            <w:pPr>
              <w:jc w:val="center"/>
              <w:rPr>
                <w:rFonts w:hint="default" w:ascii="宋体" w:eastAsia="宋体"/>
                <w:sz w:val="24"/>
                <w:szCs w:val="24"/>
                <w:lang w:val="en-US" w:eastAsia="zh-CN"/>
              </w:rPr>
            </w:pPr>
            <w:r>
              <w:rPr>
                <w:rFonts w:hint="eastAsia" w:ascii="宋体" w:eastAsia="宋体"/>
                <w:sz w:val="24"/>
                <w:szCs w:val="24"/>
                <w:lang w:val="en-US" w:eastAsia="zh-CN"/>
              </w:rPr>
              <w:t>1</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8FAE3D">
            <w:pPr>
              <w:jc w:val="center"/>
              <w:rPr>
                <w:rFonts w:hint="default" w:ascii="宋体" w:eastAsia="宋体"/>
                <w:sz w:val="24"/>
                <w:szCs w:val="24"/>
                <w:lang w:val="en-US" w:eastAsia="zh-CN"/>
              </w:rPr>
            </w:pPr>
            <w:r>
              <w:rPr>
                <w:rFonts w:hint="eastAsia" w:ascii="宋体" w:eastAsia="宋体"/>
                <w:sz w:val="24"/>
                <w:szCs w:val="24"/>
                <w:lang w:val="en-US" w:eastAsia="zh-CN"/>
              </w:rPr>
              <w:t>1</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4A2097">
            <w:pPr>
              <w:jc w:val="center"/>
              <w:rPr>
                <w:rFonts w:hint="eastAsia" w:ascii="宋体" w:eastAsiaTheme="minorEastAsia"/>
                <w:sz w:val="24"/>
                <w:szCs w:val="24"/>
                <w:lang w:val="en-US" w:eastAsia="zh-CN"/>
              </w:rPr>
            </w:pPr>
            <w:r>
              <w:rPr>
                <w:rFonts w:hint="eastAsia" w:ascii="宋体"/>
                <w:sz w:val="24"/>
                <w:szCs w:val="24"/>
                <w:lang w:val="en-US" w:eastAsia="zh-CN"/>
              </w:rPr>
              <w:t>0</w:t>
            </w:r>
            <w:bookmarkStart w:id="9" w:name="_GoBack"/>
            <w:bookmarkEnd w:id="9"/>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9E19F7">
            <w:pPr>
              <w:jc w:val="cente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F8A836">
            <w:pPr>
              <w:jc w:val="cente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C3F65C">
            <w:pPr>
              <w:jc w:val="cente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6DCB67">
            <w:pPr>
              <w:jc w:val="cente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5DAFC1">
            <w:pPr>
              <w:jc w:val="cente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86EEE8">
            <w:pPr>
              <w:jc w:val="cente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4B178C">
            <w:pPr>
              <w:jc w:val="cente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B131CC">
            <w:pPr>
              <w:jc w:val="cente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ECE735">
            <w:pPr>
              <w:jc w:val="center"/>
              <w:rPr>
                <w:rFonts w:hint="eastAsia" w:ascii="宋体" w:eastAsia="宋体"/>
                <w:sz w:val="24"/>
                <w:szCs w:val="24"/>
                <w:lang w:val="en-US" w:eastAsia="zh-CN"/>
              </w:rPr>
            </w:pPr>
            <w:r>
              <w:rPr>
                <w:rFonts w:hint="eastAsia" w:ascii="宋体"/>
                <w:sz w:val="24"/>
                <w:szCs w:val="24"/>
                <w:lang w:val="en-US" w:eastAsia="zh-CN"/>
              </w:rPr>
              <w:t>0</w:t>
            </w:r>
          </w:p>
        </w:tc>
      </w:tr>
    </w:tbl>
    <w:p w14:paraId="3F8339E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五、存在的主要问题及改进情况</w:t>
      </w:r>
    </w:p>
    <w:p w14:paraId="15DFD3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（一）存在</w:t>
      </w:r>
      <w:r>
        <w:rPr>
          <w:rFonts w:hint="eastAsia" w:ascii="楷体_GB2312" w:hAnsi="楷体_GB2312" w:eastAsia="楷体_GB2312" w:cs="楷体_GB2312"/>
          <w:b w:val="0"/>
          <w:bCs w:val="0"/>
          <w:i w:val="0"/>
          <w:iCs w:val="0"/>
          <w:caps w:val="0"/>
          <w:color w:val="000000"/>
          <w:spacing w:val="0"/>
          <w:sz w:val="32"/>
          <w:szCs w:val="32"/>
          <w:lang w:val="en-US" w:eastAsia="zh-CN"/>
        </w:rPr>
        <w:t>的主要</w:t>
      </w:r>
      <w:r>
        <w:rPr>
          <w:rFonts w:hint="eastAsia" w:ascii="楷体_GB2312" w:hAnsi="楷体_GB2312" w:eastAsia="楷体_GB2312" w:cs="楷体_GB2312"/>
          <w:b w:val="0"/>
          <w:bCs w:val="0"/>
          <w:i w:val="0"/>
          <w:iCs w:val="0"/>
          <w:caps w:val="0"/>
          <w:color w:val="000000"/>
          <w:spacing w:val="0"/>
          <w:sz w:val="32"/>
          <w:szCs w:val="32"/>
        </w:rPr>
        <w:t>问题</w:t>
      </w:r>
    </w:p>
    <w:p w14:paraId="009829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1、人员力量较为薄弱，专业能力不足。对公开目录、时限要求不熟悉，业务能力有待加强。</w:t>
      </w:r>
    </w:p>
    <w:p w14:paraId="532446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2、公开内容缺乏针对性，群众关切的本地信息公开较少。</w:t>
      </w:r>
    </w:p>
    <w:p w14:paraId="309C92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3、公开渠道较为单一，基层群众获取不方便。</w:t>
      </w:r>
    </w:p>
    <w:p w14:paraId="2F5490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（二）改进情况</w:t>
      </w:r>
    </w:p>
    <w:p w14:paraId="1ED1E8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1、明确固定人员负责，</w:t>
      </w:r>
      <w:r>
        <w:rPr>
          <w:rFonts w:hint="eastAsia" w:ascii="仿宋_GB2312" w:hAnsi="仿宋_GB2312" w:eastAsia="仿宋_GB2312" w:cs="仿宋_GB2312"/>
          <w:i w:val="0"/>
          <w:iCs w:val="0"/>
          <w:caps w:val="0"/>
          <w:color w:val="000000"/>
          <w:spacing w:val="0"/>
          <w:sz w:val="32"/>
          <w:szCs w:val="32"/>
        </w:rPr>
        <w:t>细化分工，确保责任到人，</w:t>
      </w:r>
      <w:r>
        <w:rPr>
          <w:rFonts w:hint="eastAsia" w:ascii="仿宋_GB2312" w:hAnsi="仿宋_GB2312" w:eastAsia="仿宋_GB2312" w:cs="仿宋_GB2312"/>
          <w:i w:val="0"/>
          <w:iCs w:val="0"/>
          <w:caps w:val="0"/>
          <w:color w:val="000000"/>
          <w:spacing w:val="0"/>
          <w:sz w:val="32"/>
          <w:szCs w:val="32"/>
          <w:lang w:val="en-US" w:eastAsia="zh-CN"/>
        </w:rPr>
        <w:t>对于政策信息进行深度解读。</w:t>
      </w:r>
      <w:r>
        <w:rPr>
          <w:rFonts w:hint="eastAsia" w:ascii="仿宋_GB2312" w:hAnsi="仿宋_GB2312" w:eastAsia="仿宋_GB2312" w:cs="仿宋_GB2312"/>
          <w:i w:val="0"/>
          <w:iCs w:val="0"/>
          <w:caps w:val="0"/>
          <w:color w:val="000000"/>
          <w:spacing w:val="0"/>
          <w:sz w:val="32"/>
          <w:szCs w:val="32"/>
        </w:rPr>
        <w:t>推动公开平台建设向标准化、规范化迈进，以更好地契合公众需求。</w:t>
      </w:r>
    </w:p>
    <w:p w14:paraId="6C20C5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2、信息公开内容更具有针对性，聚焦农民、农业等问题，贴近人民生活，切实做到为民惠民，</w:t>
      </w:r>
      <w:r>
        <w:rPr>
          <w:rFonts w:hint="eastAsia" w:ascii="仿宋_GB2312" w:hAnsi="仿宋_GB2312" w:eastAsia="仿宋_GB2312" w:cs="仿宋_GB2312"/>
          <w:i w:val="0"/>
          <w:iCs w:val="0"/>
          <w:caps w:val="0"/>
          <w:color w:val="000000"/>
          <w:spacing w:val="0"/>
          <w:sz w:val="32"/>
          <w:szCs w:val="32"/>
        </w:rPr>
        <w:t>紧密围绕社会热点难点问题</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不断完善政府信息公开目录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推动政务公开工作不断取得新的创新成果。</w:t>
      </w:r>
    </w:p>
    <w:p w14:paraId="4049ED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丰富公开形式</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统筹村级公开栏、柴胡店镇便民服务中心公示栏、乡镇广播等线下渠道，进行定期更新。对于高频查询事项印发纸质宣传单，进行集中发放。</w:t>
      </w:r>
    </w:p>
    <w:p w14:paraId="0FA2C37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六、其他需要报告的事项</w:t>
      </w:r>
    </w:p>
    <w:p w14:paraId="4F01CF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rPr>
      </w:pPr>
      <w:r>
        <w:rPr>
          <w:rFonts w:hint="eastAsia" w:ascii="仿宋_GB2312" w:hAnsi="仿宋_GB2312" w:eastAsia="仿宋_GB2312" w:cs="仿宋_GB2312"/>
          <w:i w:val="0"/>
          <w:iCs w:val="0"/>
          <w:caps w:val="0"/>
          <w:color w:val="000000"/>
          <w:spacing w:val="0"/>
          <w:sz w:val="32"/>
          <w:szCs w:val="32"/>
          <w:lang w:val="en-US" w:eastAsia="zh-CN"/>
        </w:rPr>
        <w:t>1、依据</w:t>
      </w:r>
      <w:r>
        <w:rPr>
          <w:rFonts w:hint="eastAsia" w:ascii="仿宋_GB2312" w:hAnsi="仿宋_GB2312" w:eastAsia="仿宋_GB2312" w:cs="仿宋_GB2312"/>
          <w:i w:val="0"/>
          <w:iCs w:val="0"/>
          <w:caps w:val="0"/>
          <w:color w:val="000000"/>
          <w:spacing w:val="0"/>
          <w:kern w:val="0"/>
          <w:sz w:val="32"/>
          <w:szCs w:val="32"/>
          <w:lang w:val="en-US" w:eastAsia="zh-CN" w:bidi="ar"/>
        </w:rPr>
        <w:t>《政府信息公开信息处理费管理办法》，</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w:t>
      </w:r>
      <w:r>
        <w:rPr>
          <w:rFonts w:hint="eastAsia" w:ascii="仿宋_GB2312" w:hAnsi="仿宋_GB2312" w:eastAsia="仿宋_GB2312" w:cs="仿宋_GB2312"/>
          <w:i w:val="0"/>
          <w:iCs w:val="0"/>
          <w:caps w:val="0"/>
          <w:color w:val="000000"/>
          <w:spacing w:val="0"/>
          <w:sz w:val="32"/>
          <w:szCs w:val="32"/>
          <w:lang w:val="en-US" w:eastAsia="zh-CN"/>
        </w:rPr>
        <w:t>柴胡店镇</w:t>
      </w:r>
      <w:r>
        <w:rPr>
          <w:rFonts w:hint="eastAsia" w:ascii="仿宋_GB2312" w:hAnsi="仿宋_GB2312" w:eastAsia="仿宋_GB2312" w:cs="仿宋_GB2312"/>
          <w:i w:val="0"/>
          <w:iCs w:val="0"/>
          <w:caps w:val="0"/>
          <w:color w:val="000000"/>
          <w:spacing w:val="0"/>
          <w:kern w:val="0"/>
          <w:sz w:val="32"/>
          <w:szCs w:val="32"/>
          <w:lang w:val="en-US" w:eastAsia="zh-CN" w:bidi="ar"/>
        </w:rPr>
        <w:t>信息公开工作</w:t>
      </w:r>
      <w:r>
        <w:rPr>
          <w:rFonts w:hint="eastAsia" w:ascii="仿宋_GB2312" w:hAnsi="仿宋_GB2312" w:eastAsia="仿宋_GB2312" w:cs="仿宋_GB2312"/>
          <w:i w:val="0"/>
          <w:iCs w:val="0"/>
          <w:caps w:val="0"/>
          <w:color w:val="000000"/>
          <w:spacing w:val="0"/>
          <w:sz w:val="32"/>
          <w:szCs w:val="32"/>
          <w:lang w:val="en-US" w:eastAsia="zh-CN"/>
        </w:rPr>
        <w:t>无收取信息处理费的情况。</w:t>
      </w:r>
    </w:p>
    <w:p w14:paraId="3C2975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年，柴胡店镇严格按照上级年度政务公开工作要点，扎实做好平台建设，切实推进政务公开制度化规范化，制定了政务公开工作年度计划，定期进行跟踪问效，各项任务落细落实，确保政务公开工作提质增效。</w:t>
      </w:r>
    </w:p>
    <w:p w14:paraId="5CE8C9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年度柴胡店镇未办理人大建议和政协提案。</w:t>
      </w:r>
    </w:p>
    <w:p w14:paraId="0C4869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年8月2</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rPr>
        <w:t>日，柴胡店镇在镇政府便民服务大厅举办了政府开放日活动。此次活动旨在增强政府工作的透明度、保障群众的知情权和监督权，汇聚民智民力，收集宝贵意见建议</w:t>
      </w:r>
      <w:r>
        <w:rPr>
          <w:rFonts w:hint="eastAsia" w:ascii="仿宋_GB2312" w:hAnsi="仿宋_GB2312" w:eastAsia="仿宋_GB2312" w:cs="仿宋_GB2312"/>
          <w:i w:val="0"/>
          <w:iCs w:val="0"/>
          <w:caps w:val="0"/>
          <w:color w:val="000000"/>
          <w:spacing w:val="0"/>
          <w:sz w:val="32"/>
          <w:szCs w:val="32"/>
          <w:lang w:val="en-US" w:eastAsia="zh-CN"/>
        </w:rPr>
        <w:t>作为</w:t>
      </w:r>
      <w:r>
        <w:rPr>
          <w:rFonts w:hint="eastAsia" w:ascii="仿宋_GB2312" w:hAnsi="仿宋_GB2312" w:eastAsia="仿宋_GB2312" w:cs="仿宋_GB2312"/>
          <w:i w:val="0"/>
          <w:iCs w:val="0"/>
          <w:caps w:val="0"/>
          <w:color w:val="000000"/>
          <w:spacing w:val="0"/>
          <w:sz w:val="32"/>
          <w:szCs w:val="32"/>
        </w:rPr>
        <w:t>政府科学决策、精准施政提供重要依据。</w:t>
      </w:r>
    </w:p>
    <w:p w14:paraId="294EA01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本年度政府信息公开年报中的数据真实可查。</w:t>
      </w:r>
    </w:p>
    <w:p w14:paraId="0ABB40B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6、柴胡店镇</w:t>
      </w:r>
      <w:r>
        <w:rPr>
          <w:rFonts w:hint="eastAsia" w:ascii="仿宋_GB2312" w:hAnsi="仿宋_GB2312" w:eastAsia="仿宋_GB2312" w:cs="仿宋_GB2312"/>
          <w:i w:val="0"/>
          <w:iCs w:val="0"/>
          <w:caps w:val="0"/>
          <w:color w:val="000000"/>
          <w:spacing w:val="0"/>
          <w:sz w:val="32"/>
          <w:szCs w:val="32"/>
          <w:lang w:eastAsia="zh-CN"/>
        </w:rPr>
        <w:t>无需要报告的其他事项。</w:t>
      </w:r>
    </w:p>
    <w:p w14:paraId="5806F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本报告的电子版可在“中国滕州网”网站查询和下载。如对本报告有任何疑问，请与柴胡店镇人民政府联系。（地址：山东省滕州市柴胡店镇驻地，邮编：277525，联系电话：0632-2205128；电子邮箱：chaihdz@163.com）</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72A2">
    <w:pPr>
      <w:pStyle w:val="2"/>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9C5D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19C5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AD5D3"/>
    <w:multiLevelType w:val="singleLevel"/>
    <w:tmpl w:val="66AAD5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B6C46"/>
    <w:rsid w:val="0A0F696E"/>
    <w:rsid w:val="0EC442A7"/>
    <w:rsid w:val="0F1A3753"/>
    <w:rsid w:val="1E2F28D9"/>
    <w:rsid w:val="1EA47B74"/>
    <w:rsid w:val="1F2B1C53"/>
    <w:rsid w:val="257223AE"/>
    <w:rsid w:val="26BB6C46"/>
    <w:rsid w:val="2D56AC40"/>
    <w:rsid w:val="31F4771A"/>
    <w:rsid w:val="390A4620"/>
    <w:rsid w:val="436A288B"/>
    <w:rsid w:val="443B7D84"/>
    <w:rsid w:val="44972C35"/>
    <w:rsid w:val="462369A1"/>
    <w:rsid w:val="51022355"/>
    <w:rsid w:val="5BDBCA8F"/>
    <w:rsid w:val="5DF33957"/>
    <w:rsid w:val="5E005237"/>
    <w:rsid w:val="64A53B85"/>
    <w:rsid w:val="64F56A29"/>
    <w:rsid w:val="68F12D6F"/>
    <w:rsid w:val="69900EBC"/>
    <w:rsid w:val="6A8941DC"/>
    <w:rsid w:val="6BEB1B3C"/>
    <w:rsid w:val="6CF9EA6C"/>
    <w:rsid w:val="6D266F73"/>
    <w:rsid w:val="6E105C5A"/>
    <w:rsid w:val="774626EC"/>
    <w:rsid w:val="7FDE8CA2"/>
    <w:rsid w:val="BF9E663D"/>
    <w:rsid w:val="BFBF1D4B"/>
    <w:rsid w:val="FADE665A"/>
    <w:rsid w:val="FCFAB7ED"/>
    <w:rsid w:val="FCFD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2025</a:t>
            </a:r>
            <a:r>
              <a:rPr altLang="en-US"/>
              <a:t>年柴胡店镇人民政府信息公开网站更新情况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Sheet1!$B$1</c:f>
              <c:strCache>
                <c:ptCount val="1"/>
                <c:pt idx="0">
                  <c:v>系列 2</c:v>
                </c:pt>
              </c:strCache>
            </c:strRef>
          </c:tx>
          <c:spPr>
            <a:solidFill>
              <a:srgbClr val="4874CB"/>
            </a:solidFill>
            <a:ln>
              <a:noFill/>
            </a:ln>
            <a:effectLst>
              <a:outerShdw blurRad="76200" dir="13500000" sy="23000" kx="1200000" algn="br" rotWithShape="0">
                <a:prstClr val="black">
                  <a:alpha val="20000"/>
                </a:prstClr>
              </a:outerShdw>
            </a:effectLst>
          </c:spPr>
          <c:invertIfNegative val="0"/>
          <c:dPt>
            <c:idx val="1"/>
            <c:invertIfNegative val="0"/>
            <c:bubble3D val="0"/>
            <c:spPr>
              <a:solidFill>
                <a:srgbClr val="4874CB"/>
              </a:solidFill>
              <a:ln>
                <a:noFill/>
              </a:ln>
              <a:effectLst>
                <a:outerShdw blurRad="76200" dir="18900000" sy="23000" kx="-1200000" algn="bl"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通知公告</c:v>
                </c:pt>
                <c:pt idx="1">
                  <c:v>政策文件</c:v>
                </c:pt>
                <c:pt idx="2">
                  <c:v>规划计划</c:v>
                </c:pt>
                <c:pt idx="3">
                  <c:v>组织管理</c:v>
                </c:pt>
              </c:strCache>
            </c:strRef>
          </c:cat>
          <c:val>
            <c:numRef>
              <c:f>Sheet1!$B$2:$B$5</c:f>
              <c:numCache>
                <c:formatCode>General</c:formatCode>
                <c:ptCount val="4"/>
                <c:pt idx="0">
                  <c:v>6</c:v>
                </c:pt>
                <c:pt idx="1">
                  <c:v>1</c:v>
                </c:pt>
                <c:pt idx="2">
                  <c:v>2</c:v>
                </c:pt>
                <c:pt idx="3">
                  <c:v>8</c:v>
                </c:pt>
              </c:numCache>
            </c:numRef>
          </c:val>
        </c:ser>
        <c:dLbls>
          <c:showLegendKey val="0"/>
          <c:showVal val="1"/>
          <c:showCatName val="0"/>
          <c:showSerName val="0"/>
          <c:showPercent val="0"/>
          <c:showBubbleSize val="0"/>
        </c:dLbls>
        <c:gapWidth val="200"/>
        <c:overlap val="-10"/>
        <c:axId val="138739839"/>
        <c:axId val="455366570"/>
      </c:barChart>
      <c:catAx>
        <c:axId val="138739839"/>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55366570"/>
        <c:crosses val="autoZero"/>
        <c:auto val="1"/>
        <c:lblAlgn val="ctr"/>
        <c:lblOffset val="100"/>
        <c:noMultiLvlLbl val="0"/>
      </c:catAx>
      <c:valAx>
        <c:axId val="455366570"/>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38739839"/>
        <c:crosses val="autoZero"/>
        <c:crossBetween val="between"/>
      </c:valAx>
      <c:spPr>
        <a:noFill/>
        <a:ln>
          <a:noFill/>
        </a:ln>
        <a:effectLst/>
      </c:spPr>
    </c:plotArea>
    <c:plotVisOnly val="1"/>
    <c:dispBlanksAs val="gap"/>
    <c:showDLblsOverMax val="0"/>
    <c:extLst>
      <c:ext uri="{0b15fc19-7d7d-44ad-8c2d-2c3a37ce22c3}">
        <chartProps xmlns="https://web.wps.cn/et/2018/main" chartId="{176bed2c-bbcc-4dff-97b6-630f70b5c831}"/>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柴胡店镇政府主动公开情况</a:t>
            </a:r>
          </a:p>
        </c:rich>
      </c:tx>
      <c:layout/>
      <c:overlay val="0"/>
      <c:spPr>
        <a:noFill/>
        <a:ln>
          <a:noFill/>
        </a:ln>
        <a:effectLst/>
      </c:spPr>
    </c:title>
    <c:autoTitleDeleted val="0"/>
    <c:plotArea>
      <c:layout/>
      <c:pieChart>
        <c:varyColors val="1"/>
        <c:ser>
          <c:idx val="0"/>
          <c:order val="0"/>
          <c:tx>
            <c:strRef>
              <c:f>Sheet1!$B$1</c:f>
              <c:strCache>
                <c:ptCount val="1"/>
                <c:pt idx="0">
                  <c:v>柴胡店镇政府主动公开情况
</c:v>
                </c:pt>
              </c:strCache>
            </c:strRef>
          </c:tx>
          <c:spPr>
            <a:solidFill>
              <a:schemeClr val="accent1"/>
            </a:solidFill>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23120603495192"/>
                  <c:y val="0.038075687904622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195941048562455"/>
                  <c:y val="-0.0435614109647259"/>
                </c:manualLayout>
              </c:layout>
              <c:numFmt formatCode="General" sourceLinked="1"/>
              <c:spPr>
                <a:solidFill>
                  <a:schemeClr val="accent2"/>
                </a:solid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22447515655841"/>
                  <c:y val="0.0353132569653957"/>
                </c:manualLayout>
              </c:layout>
              <c:numFmt formatCode="General" sourceLinked="1"/>
              <c:spPr>
                <a:solidFill>
                  <a:schemeClr val="accent3"/>
                </a:solid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solidFill>
                <a:schemeClr val="accent1"/>
              </a:solid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信息公开网</c:v>
                </c:pt>
                <c:pt idx="1">
                  <c:v>柴胡店镇官网</c:v>
                </c:pt>
                <c:pt idx="2">
                  <c:v>线下张贴</c:v>
                </c:pt>
              </c:strCache>
            </c:strRef>
          </c:cat>
          <c:val>
            <c:numRef>
              <c:f>Sheet1!$B$2:$B$4</c:f>
              <c:numCache>
                <c:formatCode>General</c:formatCode>
                <c:ptCount val="3"/>
                <c:pt idx="0">
                  <c:v>19</c:v>
                </c:pt>
                <c:pt idx="1">
                  <c:v>650</c:v>
                </c:pt>
                <c:pt idx="2">
                  <c:v>14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61fbcf5-894e-44c5-b2dc-5f45367a6ce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b="1">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8">
    <a:dk1>
      <a:srgbClr val="000000"/>
    </a:dk1>
    <a:lt1>
      <a:srgbClr val="FFFFFF"/>
    </a:lt1>
    <a:dk2>
      <a:srgbClr val="44546A"/>
    </a:dk2>
    <a:lt2>
      <a:srgbClr val="E7E6E6"/>
    </a:lt2>
    <a:accent1>
      <a:srgbClr val="FE7B89"/>
    </a:accent1>
    <a:accent2>
      <a:srgbClr val="FFCC25"/>
    </a:accent2>
    <a:accent3>
      <a:srgbClr val="83D686"/>
    </a:accent3>
    <a:accent4>
      <a:srgbClr val="50A2F6"/>
    </a:accent4>
    <a:accent5>
      <a:srgbClr val="27CBBB"/>
    </a:accent5>
    <a:accent6>
      <a:srgbClr val="FE9F2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05">
    <a:dk1>
      <a:srgbClr val="000000"/>
    </a:dk1>
    <a:lt1>
      <a:srgbClr val="FFFFFF"/>
    </a:lt1>
    <a:dk2>
      <a:srgbClr val="44546A"/>
    </a:dk2>
    <a:lt2>
      <a:srgbClr val="E7E6E6"/>
    </a:lt2>
    <a:accent1>
      <a:srgbClr val="33B7E3"/>
    </a:accent1>
    <a:accent2>
      <a:srgbClr val="EB5B73"/>
    </a:accent2>
    <a:accent3>
      <a:srgbClr val="FBC343"/>
    </a:accent3>
    <a:accent4>
      <a:srgbClr val="376473"/>
    </a:accent4>
    <a:accent5>
      <a:srgbClr val="4F9793"/>
    </a:accent5>
    <a:accent6>
      <a:srgbClr val="6A98E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2903</Words>
  <Characters>3001</Characters>
  <Lines>0</Lines>
  <Paragraphs>0</Paragraphs>
  <TotalTime>4</TotalTime>
  <ScaleCrop>false</ScaleCrop>
  <LinksUpToDate>false</LinksUpToDate>
  <CharactersWithSpaces>3001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2026-01-06T06:58:00Z</dcterms:created>
  <dc:creator>old wang</dc:creator>
  <cp:lastModifiedBy>old wang</cp:lastModifiedBy>
  <cp:lastPrinted>2026-01-14T02:23:00Z</cp:lastPrinted>
  <dcterms:modified xsi:type="dcterms:W3CDTF">2026-01-22T08:47:05Z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86A660093280447683A7783C88DE17E3_13</vt:lpwstr>
  </property>
  <property fmtid="{D5CDD505-2E9C-101B-9397-08002B2CF9AE}" pid="4" name="KSOTemplateDocerSaveRecord">
    <vt:lpwstr>eyJoZGlkIjoiNjFhZGUyZTBmYmE2MDg5ZjkyN2RkYTZhMzM0MzRkNTUiLCJ1c2VySWQiOiI0NDY3MzI2MzkifQ==</vt:lpwstr>
  </property>
</Properties>
</file>