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9D1B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eastAsia="zh-CN"/>
        </w:rPr>
      </w:pPr>
    </w:p>
    <w:p w14:paraId="4396512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eastAsia="zh-CN"/>
        </w:rPr>
        <w:t>滕州市滨湖镇</w:t>
      </w:r>
    </w:p>
    <w:p w14:paraId="7EDFE74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jc w:val="center"/>
        <w:textAlignment w:val="auto"/>
        <w:rPr>
          <w:rFonts w:ascii="宋体" w:eastAsia="宋体" w:cs="宋体"/>
          <w:sz w:val="43"/>
          <w:szCs w:val="43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eastAsia="zh-CN"/>
        </w:rPr>
        <w:t xml:space="preserve"> 年度政府信息公开工作年度报告</w:t>
      </w:r>
    </w:p>
    <w:p w14:paraId="4FA364F5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4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</w:p>
    <w:p w14:paraId="5C4B495A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>根据《中华人民共和国政府信息公开条例》（以下简称《条例》）、《国务院办公厅政府信息与政务公开办公室关于印发＜ 中华人民共和国政府信息公开工作年度报告格式 &gt;的通知》（国办公开办函〔2021〕30号）、山东省人民政府办公厅、滕州市政府办公室以及有关文件要求，结合滨湖镇2025年度信息公开工作实际，编制了本报告。报告主要内容包括：主动公开政府信息情况、依申请公开政府信息情况、政府信息管理情况、公开平台建设情况、政务信息公开工作存在的主要问题及改进情况等。现向社会公开滨湖镇2025年政府信息公开工作年度报告。本报告所列数据的统计时限自2025年1月1日起至2025年12月31日止。</w:t>
      </w:r>
    </w:p>
    <w:p w14:paraId="4CEE72FD">
      <w:pPr>
        <w:keepNext w:val="0"/>
        <w:keepLines w:val="0"/>
        <w:pageBreakBefore w:val="0"/>
        <w:widowControl/>
        <w:kinsoku/>
        <w:wordWrap w:val="0"/>
        <w:overflowPunct/>
        <w:topLinePunct w:val="0"/>
        <w:bidi w:val="0"/>
        <w:spacing w:line="600" w:lineRule="exact"/>
        <w:ind w:left="0" w:firstLine="652" w:firstLineChars="200"/>
        <w:rPr>
          <w:rFonts w:ascii="黑体" w:eastAsia="黑体" w:cs="黑体"/>
          <w:spacing w:val="8"/>
          <w:sz w:val="31"/>
          <w:szCs w:val="31"/>
        </w:rPr>
      </w:pPr>
      <w:r>
        <w:rPr>
          <w:rFonts w:ascii="黑体" w:eastAsia="黑体" w:cs="黑体"/>
          <w:spacing w:val="8"/>
          <w:sz w:val="31"/>
          <w:szCs w:val="31"/>
        </w:rPr>
        <w:t>一、总体情况</w:t>
      </w:r>
    </w:p>
    <w:p w14:paraId="7A05C01C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>2025年滨湖镇坚持以习近平新时代中国特色社会主义思想为指导，全面学习贯彻党的二十大精神、党的二十届四中全会精神和习近平总书记视察山东重要指示要求，紧紧围绕市委、市政府决策部署，深入贯彻落实《中华人民共和国政府信息公开条例》，遵循《条例》第五条“公正、公平、合法、便民”的原则，积极推进行政权力运行公开，重点领域信息公开，不断加大主动公开力度，有效保障公民的知情权。公开内容具体如下：</w:t>
      </w:r>
    </w:p>
    <w:p w14:paraId="65E3D9D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72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pacing w:val="8"/>
          <w:sz w:val="32"/>
          <w:szCs w:val="32"/>
        </w:rPr>
        <w:t>（一）政府信息主动公开情况</w:t>
      </w:r>
    </w:p>
    <w:p w14:paraId="23D7636A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>2025年，滨湖镇通过滕州市人民政府官网滨湖镇栏目、各媒体网站等多种途径发布信息1726篇次，2025年主动公开重点领域信息共5条次。</w:t>
      </w:r>
    </w:p>
    <w:p w14:paraId="4930E12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drawing>
          <wp:inline distT="0" distB="0" distL="114300" distR="114300">
            <wp:extent cx="5272405" cy="3261360"/>
            <wp:effectExtent l="0" t="0" r="4445" b="1524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B91A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72" w:firstLineChars="200"/>
        <w:textAlignment w:val="baseline"/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  <w:t>（二）收到和处理政府信息公开申请情况</w:t>
      </w:r>
    </w:p>
    <w:p w14:paraId="2483B6F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highlight w:val="none"/>
          <w:lang w:val="en-US" w:eastAsia="zh-CN"/>
        </w:rPr>
        <w:t>2025年度，滨湖镇共受理1件政府信息公开申请，无上年结转情况。受理的数量与2024年相比有所下降。申请内容已公开，并按时回复申请人。无因信息公开被行政复议、行政诉讼的情况。</w:t>
      </w:r>
    </w:p>
    <w:p w14:paraId="3861A3E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72" w:firstLineChars="200"/>
        <w:textAlignment w:val="baseline"/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  <w:t>（三）政府信息管理情况</w:t>
      </w:r>
    </w:p>
    <w:p w14:paraId="478DFF96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>2025年以来，滨湖镇坚持规范管理政府信息公开情况，严格落实公文公开属性源头认定机制，各工作岗报请发文公开的，须明确标识主动公开、依申请公开、不予公开属性，并同步报送政策解读稿件。另一方面明确信息公开时限要求，确保信息上传及时，避免出现空白栏目，扎实做好信息上传维护工作。落实保密审查，确保了涉密信息不公开，使政府信息公开工作进一步向规范化、制度化方向发展，逐步形成长效管理机制。2025年度无违反规定和失密泄密情况。</w:t>
      </w:r>
    </w:p>
    <w:p w14:paraId="3A4B5479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72" w:firstLineChars="200"/>
        <w:textAlignment w:val="baseline"/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  <w:t>（四）公开平台建设情况</w:t>
      </w:r>
    </w:p>
    <w:p w14:paraId="1AB86FA6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>2025年，滨湖镇严格按照上级要求，对政务公开网站各栏目进行全面核查，持续优化完善政府信息公开平台，对门户网站信息严格审查把关、及时更新发布，较好发挥了门户网站信息共享、窗口服务、经验交流的作用。同时，借助新媒体平台优势，通过使用微信公众号平台，提高新媒体网络平台在政府信息公开中的作用，及时回答并解决公众关心的热点、难点、焦点问题，增强了公众对政府的信任度，取得了良好的社会监督和宣传效果。</w:t>
      </w:r>
    </w:p>
    <w:p w14:paraId="70AEF740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72" w:firstLineChars="200"/>
        <w:textAlignment w:val="baseline"/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8"/>
          <w:sz w:val="32"/>
          <w:szCs w:val="32"/>
          <w:lang w:val="en-US" w:eastAsia="zh-CN"/>
        </w:rPr>
        <w:t>（五）监督保障情况</w:t>
      </w:r>
    </w:p>
    <w:p w14:paraId="1EA8213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>建立了政府信息公开工作考核制度和责任追究制度，定期对政府信息公开工作进行考核、评议。落实保密审查责任，规范审查程序。扎实做好信息公开各项保障工作，严格信息发布流程，推进和规范政府信息公开工作。</w:t>
      </w:r>
    </w:p>
    <w:p w14:paraId="416E382B">
      <w:pPr>
        <w:keepNext w:val="0"/>
        <w:keepLines w:val="0"/>
        <w:pageBreakBefore w:val="0"/>
        <w:widowControl/>
        <w:kinsoku/>
        <w:wordWrap w:val="0"/>
        <w:overflowPunct/>
        <w:topLinePunct w:val="0"/>
        <w:bidi w:val="0"/>
        <w:adjustRightInd w:val="0"/>
        <w:snapToGrid w:val="0"/>
        <w:spacing w:line="600" w:lineRule="exact"/>
        <w:ind w:left="0" w:firstLine="652" w:firstLineChars="200"/>
        <w:textAlignment w:val="baseline"/>
        <w:rPr>
          <w:rFonts w:ascii="黑体" w:eastAsia="黑体" w:cs="黑体"/>
          <w:sz w:val="31"/>
          <w:szCs w:val="31"/>
        </w:rPr>
      </w:pPr>
      <w:r>
        <w:rPr>
          <w:rFonts w:ascii="黑体" w:eastAsia="黑体" w:cs="黑体"/>
          <w:spacing w:val="8"/>
          <w:sz w:val="31"/>
          <w:szCs w:val="31"/>
        </w:rPr>
        <w:t>二、主动公开政府信息情况</w:t>
      </w:r>
    </w:p>
    <w:p w14:paraId="4806046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right="0" w:firstLine="66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sectPr>
          <w:pgSz w:w="11906" w:h="16839"/>
          <w:pgMar w:top="1440" w:right="1800" w:bottom="1440" w:left="1800" w:header="0" w:footer="0" w:gutter="0"/>
          <w:cols w:space="720" w:num="1"/>
          <w:docGrid w:linePitch="312" w:charSpace="0"/>
        </w:sectPr>
      </w:pPr>
    </w:p>
    <w:tbl>
      <w:tblPr>
        <w:tblStyle w:val="4"/>
        <w:tblW w:w="97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35"/>
        <w:gridCol w:w="2435"/>
        <w:gridCol w:w="2435"/>
        <w:gridCol w:w="2435"/>
      </w:tblGrid>
      <w:tr w14:paraId="35F55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E25D6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第二十条第（一）项</w:t>
            </w:r>
          </w:p>
        </w:tc>
      </w:tr>
      <w:tr w14:paraId="61B989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B1BBE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6BA02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0A584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EF3B1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现行有效件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数</w:t>
            </w:r>
          </w:p>
        </w:tc>
      </w:tr>
      <w:tr w14:paraId="7C381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1587F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CB232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　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8635F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06D0F7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0</w:t>
            </w:r>
          </w:p>
        </w:tc>
      </w:tr>
      <w:tr w14:paraId="624C9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BFFDA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CCDF5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　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E06A3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155595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0</w:t>
            </w:r>
          </w:p>
        </w:tc>
      </w:tr>
      <w:tr w14:paraId="2AACF1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77D6C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第二十条第（五）项</w:t>
            </w:r>
          </w:p>
        </w:tc>
      </w:tr>
      <w:tr w14:paraId="6BCF9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F65B9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3EB81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本年处理决定数量</w:t>
            </w:r>
          </w:p>
        </w:tc>
      </w:tr>
      <w:tr w14:paraId="7A9D38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0A072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6838BA">
            <w:pPr>
              <w:jc w:val="center"/>
              <w:rPr>
                <w:rFonts w:hint="eastAsia" w:asci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/>
                <w:color w:val="auto"/>
                <w:sz w:val="24"/>
                <w:szCs w:val="24"/>
                <w:highlight w:val="none"/>
                <w:lang w:val="en-US" w:eastAsia="zh-CN"/>
              </w:rPr>
              <w:t>0</w:t>
            </w:r>
          </w:p>
        </w:tc>
      </w:tr>
      <w:tr w14:paraId="62DE5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551D1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第二十条第（六）项</w:t>
            </w:r>
          </w:p>
        </w:tc>
      </w:tr>
      <w:tr w14:paraId="4BAAB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6EB45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61361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本年处理决定数量</w:t>
            </w:r>
          </w:p>
        </w:tc>
      </w:tr>
      <w:tr w14:paraId="5AFEB0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7E0BB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DEAB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highlight w:val="yellow"/>
                <w:lang w:val="en-US"/>
              </w:rPr>
            </w:pPr>
            <w:r>
              <w:rPr>
                <w:rFonts w:hint="eastAsia" w:ascii="宋体"/>
                <w:color w:val="auto"/>
                <w:sz w:val="24"/>
                <w:szCs w:val="24"/>
                <w:highlight w:val="none"/>
                <w:lang w:val="en-US" w:eastAsia="zh-CN"/>
              </w:rPr>
              <w:t>0</w:t>
            </w:r>
          </w:p>
        </w:tc>
      </w:tr>
      <w:tr w14:paraId="58FB9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2A0C4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312B8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highlight w:val="yellow"/>
              </w:rPr>
            </w:pPr>
            <w:r>
              <w:rPr>
                <w:rFonts w:hint="eastAsia" w:ascii="宋体"/>
                <w:color w:val="auto"/>
                <w:sz w:val="24"/>
                <w:szCs w:val="24"/>
                <w:highlight w:val="none"/>
                <w:lang w:val="en-US" w:eastAsia="zh-CN"/>
              </w:rPr>
              <w:t>0</w:t>
            </w:r>
          </w:p>
        </w:tc>
      </w:tr>
      <w:tr w14:paraId="518AA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D6563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第二十条第（八）项</w:t>
            </w:r>
          </w:p>
        </w:tc>
      </w:tr>
      <w:tr w14:paraId="33F34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C4243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72372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本年收费金额（单位：万元）</w:t>
            </w:r>
          </w:p>
        </w:tc>
      </w:tr>
      <w:tr w14:paraId="5C575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17426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FC3AD9"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color w:val="auto"/>
                <w:sz w:val="24"/>
                <w:szCs w:val="24"/>
                <w:highlight w:val="none"/>
                <w:lang w:val="en-US" w:eastAsia="zh-CN"/>
              </w:rPr>
              <w:t>0</w:t>
            </w:r>
          </w:p>
        </w:tc>
      </w:tr>
    </w:tbl>
    <w:p w14:paraId="3F9AFA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rPr>
          <w:rFonts w:ascii="黑体" w:eastAsia="黑体" w:cs="黑体"/>
          <w:spacing w:val="8"/>
          <w:sz w:val="31"/>
          <w:szCs w:val="31"/>
        </w:rPr>
      </w:pPr>
      <w:r>
        <w:rPr>
          <w:rFonts w:ascii="黑体" w:eastAsia="黑体" w:cs="黑体"/>
          <w:spacing w:val="8"/>
          <w:sz w:val="31"/>
          <w:szCs w:val="31"/>
        </w:rPr>
        <w:t>三、收到和处理政府信息公开申请情况</w:t>
      </w:r>
    </w:p>
    <w:tbl>
      <w:tblPr>
        <w:tblStyle w:val="4"/>
        <w:tblW w:w="10020" w:type="dxa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75" w:type="dxa"/>
          <w:left w:w="150" w:type="dxa"/>
          <w:bottom w:w="75" w:type="dxa"/>
          <w:right w:w="150" w:type="dxa"/>
        </w:tblCellMar>
      </w:tblPr>
      <w:tblGrid>
        <w:gridCol w:w="503"/>
        <w:gridCol w:w="1417"/>
        <w:gridCol w:w="2966"/>
        <w:gridCol w:w="589"/>
        <w:gridCol w:w="499"/>
        <w:gridCol w:w="489"/>
        <w:gridCol w:w="763"/>
        <w:gridCol w:w="720"/>
        <w:gridCol w:w="754"/>
        <w:gridCol w:w="1320"/>
      </w:tblGrid>
      <w:tr w14:paraId="14179D49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4886" w:type="dxa"/>
            <w:gridSpan w:val="3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8F0F62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ascii="楷体_GB2312" w:eastAsia="楷体_GB2312" w:cs="楷体_GB2312"/>
                <w:sz w:val="19"/>
                <w:szCs w:val="19"/>
              </w:rPr>
              <w:t>（本列数据的勾稽关系为：第一项加第二项之和，</w:t>
            </w:r>
          </w:p>
          <w:p w14:paraId="441137C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楷体_GB2312" w:eastAsia="楷体_GB2312" w:cs="楷体_GB2312"/>
                <w:sz w:val="19"/>
                <w:szCs w:val="19"/>
              </w:rPr>
              <w:t>等于第三项加第四项之和）</w:t>
            </w:r>
          </w:p>
        </w:tc>
        <w:tc>
          <w:tcPr>
            <w:tcW w:w="5134" w:type="dxa"/>
            <w:gridSpan w:val="7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5E295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申请人情况</w:t>
            </w:r>
          </w:p>
        </w:tc>
      </w:tr>
      <w:tr w14:paraId="514E9126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4886" w:type="dxa"/>
            <w:gridSpan w:val="3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359943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8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81C112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自然人</w:t>
            </w:r>
          </w:p>
        </w:tc>
        <w:tc>
          <w:tcPr>
            <w:tcW w:w="322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C10A9F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法人或其他组织</w:t>
            </w:r>
          </w:p>
        </w:tc>
        <w:tc>
          <w:tcPr>
            <w:tcW w:w="132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C4D95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总计</w:t>
            </w:r>
          </w:p>
        </w:tc>
      </w:tr>
      <w:tr w14:paraId="50763775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4886" w:type="dxa"/>
            <w:gridSpan w:val="3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11B8CF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8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D70892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BCA0F7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 w:firstLine="0"/>
              <w:jc w:val="center"/>
              <w:rPr>
                <w:rFonts w:hint="eastAsia" w:ascii="黑体" w:hAnsi="宋体" w:eastAsia="黑体" w:cs="黑体"/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商业</w:t>
            </w:r>
          </w:p>
          <w:p w14:paraId="367B87E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企业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BC5396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/>
              <w:jc w:val="center"/>
              <w:rPr>
                <w:rFonts w:hint="eastAsia" w:ascii="黑体" w:hAnsi="宋体" w:eastAsia="黑体" w:cs="黑体"/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科研</w:t>
            </w:r>
          </w:p>
          <w:p w14:paraId="3119F1F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机构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6A661C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/>
              <w:jc w:val="center"/>
              <w:rPr>
                <w:rFonts w:hint="eastAsia" w:ascii="黑体" w:hAnsi="宋体" w:eastAsia="黑体" w:cs="黑体"/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社会公</w:t>
            </w:r>
          </w:p>
          <w:p w14:paraId="35ACD03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益组织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975AAC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 w:firstLine="0"/>
              <w:jc w:val="center"/>
              <w:rPr>
                <w:rFonts w:hint="eastAsia" w:ascii="黑体" w:hAnsi="宋体" w:eastAsia="黑体" w:cs="黑体"/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法律服</w:t>
            </w:r>
          </w:p>
          <w:p w14:paraId="7935675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-101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务机构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D217B4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58" w:right="-13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其他</w:t>
            </w:r>
          </w:p>
        </w:tc>
        <w:tc>
          <w:tcPr>
            <w:tcW w:w="13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D37C0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62EEF3D7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4886" w:type="dxa"/>
            <w:gridSpan w:val="3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8928A8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0" w:name="_Hlk66973412"/>
            <w:bookmarkEnd w:id="0"/>
            <w:r>
              <w:rPr>
                <w:rFonts w:hint="eastAsia" w:ascii="黑体" w:hAnsi="宋体" w:eastAsia="黑体" w:cs="黑体"/>
                <w:sz w:val="19"/>
                <w:szCs w:val="19"/>
              </w:rPr>
              <w:t>一、本年新收政府信息公开申请数量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B8037A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eastAsia="宋体"/>
                <w:sz w:val="19"/>
                <w:szCs w:val="19"/>
                <w:lang w:eastAsia="zh-CN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67B46F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5128BE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3ADF19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662019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E07D2D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BE64D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eastAsia="宋体"/>
                <w:sz w:val="19"/>
                <w:szCs w:val="19"/>
                <w:lang w:eastAsia="zh-CN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  <w:lang w:val="en-US" w:eastAsia="zh-CN"/>
              </w:rPr>
              <w:t>1</w:t>
            </w:r>
          </w:p>
        </w:tc>
      </w:tr>
      <w:tr w14:paraId="2E482EDD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4886" w:type="dxa"/>
            <w:gridSpan w:val="3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008C42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二、上年结转政府信息公开申请数量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E6057E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112E29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861479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1F51C0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6D3614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AB4085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AFE5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0AF608EB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restart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7ECF03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三、本年度办理结果</w:t>
            </w:r>
          </w:p>
        </w:tc>
        <w:tc>
          <w:tcPr>
            <w:tcW w:w="43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8E25F6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（一）予以公开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F77905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eastAsia="宋体"/>
                <w:sz w:val="19"/>
                <w:szCs w:val="19"/>
                <w:lang w:eastAsia="zh-CN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B6B5E7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192533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7C21C4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BBA9D0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B60B56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41048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eastAsia="宋体"/>
                <w:sz w:val="19"/>
                <w:szCs w:val="19"/>
                <w:lang w:eastAsia="zh-CN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  <w:lang w:val="en-US" w:eastAsia="zh-CN"/>
              </w:rPr>
              <w:t>1</w:t>
            </w:r>
          </w:p>
        </w:tc>
      </w:tr>
      <w:tr w14:paraId="1075CFD9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C5F0CFA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478F92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1" w:name="_Hlk66973981"/>
            <w:bookmarkEnd w:id="1"/>
            <w:r>
              <w:rPr>
                <w:rFonts w:hint="eastAsia" w:ascii="黑体" w:hAnsi="宋体" w:eastAsia="黑体" w:cs="黑体"/>
                <w:sz w:val="19"/>
                <w:szCs w:val="19"/>
              </w:rPr>
              <w:t>（二）部分公开（区分处理的，只计这一情形，不计其他情形）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5841DC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0F1AB2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740DF1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57B96C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097C36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2B1B8A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5F036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4421C7DF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FA6D45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B443C2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（三）不予公开</w:t>
            </w: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ED4AA2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1.属于国家秘密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1319E7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B3514C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0DE8D0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60C7AE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D14952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6D2958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0C34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675F154A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CDEFED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E19718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A5E899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2" w:name="_Hlk66974104"/>
            <w:bookmarkEnd w:id="2"/>
            <w:r>
              <w:rPr>
                <w:rFonts w:hint="eastAsia" w:ascii="仿宋_GB2312" w:eastAsia="仿宋_GB2312" w:cs="仿宋_GB2312"/>
                <w:sz w:val="19"/>
                <w:szCs w:val="19"/>
              </w:rPr>
              <w:t>2.其他法律行政法规禁止公开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E45BFD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22AD04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1C955E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CFCD3E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5CFBC1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78F7EF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19DED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261E4C78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DB0203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4E26EC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77001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3.危及“三安全一稳定”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53CBE6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725E3F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B222B3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7064CF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787380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0023E8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24CA3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79852F90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A4DF91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DDE61E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242788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3" w:name="_Hlk66974290"/>
            <w:bookmarkEnd w:id="3"/>
            <w:r>
              <w:rPr>
                <w:rFonts w:hint="eastAsia" w:ascii="仿宋_GB2312" w:eastAsia="仿宋_GB2312" w:cs="仿宋_GB2312"/>
                <w:sz w:val="19"/>
                <w:szCs w:val="19"/>
              </w:rPr>
              <w:t>4.保护第三方合法权益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AEDE4C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D113F6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1A042D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713C4C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268BD9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911CFE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A486F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0FE45DBC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1EA484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4DDE34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E57F82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5.属于三类内部事务信息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12DF41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6DEA15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D272FA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93E556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FAE4E9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5CA867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E0AB7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6842F491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FB555F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FF97C2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031FA9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4" w:name="_Hlk66974555"/>
            <w:bookmarkEnd w:id="4"/>
            <w:r>
              <w:rPr>
                <w:rFonts w:hint="eastAsia" w:ascii="仿宋_GB2312" w:eastAsia="仿宋_GB2312" w:cs="仿宋_GB2312"/>
                <w:sz w:val="19"/>
                <w:szCs w:val="19"/>
              </w:rPr>
              <w:t>6.属于四类过程性信息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8750B9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8DFCCA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79416F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3923F0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80D796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FCEA87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36DB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692190BC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A3F758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D359C8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358AE3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7.属于行政执法案卷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48C7E2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B722DF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9695DA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9FB7D0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31D539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537024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3CD73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45307C1D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4E58F2A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09217B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48BBB3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5" w:name="_Hlk66975211"/>
            <w:bookmarkEnd w:id="5"/>
            <w:r>
              <w:rPr>
                <w:rFonts w:hint="eastAsia" w:ascii="仿宋_GB2312" w:eastAsia="仿宋_GB2312" w:cs="仿宋_GB2312"/>
                <w:sz w:val="19"/>
                <w:szCs w:val="19"/>
              </w:rPr>
              <w:t>8.属于行政查询事项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9E4AF9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65A818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B4BB64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CEB1E1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B53BA1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570728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0AAA6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4C104D0E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D94166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4835DB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（四）无法提供</w:t>
            </w: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DD212A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1.本机关不掌握相关政府信息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912482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748410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2E4751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0ED05E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BF284C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E1B2DD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BD18F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7EB1E78E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E7F509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B1582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79982A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6" w:name="_Hlk66975392"/>
            <w:bookmarkEnd w:id="6"/>
            <w:r>
              <w:rPr>
                <w:rFonts w:hint="eastAsia" w:ascii="仿宋_GB2312" w:eastAsia="仿宋_GB2312" w:cs="仿宋_GB2312"/>
                <w:sz w:val="19"/>
                <w:szCs w:val="19"/>
              </w:rPr>
              <w:t>2.没有现成信息需要另行制作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FFA7E1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90CFDF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CA2106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E9732C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642CB7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844B13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F3D9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5C1B1E02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288150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8AC85B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934976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7" w:name="_Hlk66975466"/>
            <w:bookmarkEnd w:id="7"/>
            <w:r>
              <w:rPr>
                <w:rFonts w:hint="eastAsia" w:ascii="仿宋_GB2312" w:eastAsia="仿宋_GB2312" w:cs="仿宋_GB2312"/>
                <w:sz w:val="19"/>
                <w:szCs w:val="19"/>
              </w:rPr>
              <w:t>3.补正后申请内容仍不明确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530C38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1A307A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019087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3C287A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B9FF0A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802EA4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FE4EB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1B6993BC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397BDE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E87415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-101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（五）不予处理</w:t>
            </w: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ECA0F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bookmarkStart w:id="8" w:name="_Hlk66975537"/>
            <w:bookmarkEnd w:id="8"/>
            <w:r>
              <w:rPr>
                <w:rFonts w:hint="eastAsia" w:ascii="仿宋_GB2312" w:eastAsia="仿宋_GB2312" w:cs="仿宋_GB2312"/>
                <w:sz w:val="19"/>
                <w:szCs w:val="19"/>
              </w:rPr>
              <w:t>1.信访举报投诉类申请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A4F823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AA6BA4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AFDC3C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3C5517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DB630F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C2BCAC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69BA4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4706C9F5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627B9FA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DEEFC8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3F1690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2.重复申请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12CC58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184CB0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C1121A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EC7E1D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539C9C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D02957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01533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4E8DC333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887836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4E026B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7BCF1F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3.要求提供公开出版物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8F5F0C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E0C2CC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0BCAE1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75A1DB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B50874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28BE04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4C3E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5CFF1956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4438A8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C8A1AE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B5EFCD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4.无正当理由大量反复申请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D7F005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34B65C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3E4A51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43C0DD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EEDE4C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375D95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6223C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27215075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4B1651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AF6DF4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960C1C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5.要求行政机关确认或重新</w:t>
            </w:r>
          </w:p>
          <w:p w14:paraId="0E7F5D4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 w:firstLine="216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出具已获取信息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42391A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6B307C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9047E8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856B71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93B5F5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45270D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52F2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51ECB6AF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43B792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40E90E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（六）其他处理</w:t>
            </w: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0564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1.申请人无正当理由逾期不补正、行政机关不再处理其政府信息公开申请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507637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7680B5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FF3245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803477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1E1AA2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D91DA2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59A1A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2A2F76E2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5CBDAD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92A88A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3E56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2.申请人逾期未按收费通知要求缴纳费用、行政机关不再处理其政府信息公开申请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50574D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2693D0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2FC327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28C25E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A15C0A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89CA7F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E5D01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626BC50F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68E8B3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17EE95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F0EB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3.其他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739671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8793BE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2629D7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F176AF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E9D35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F72088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8223F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57195CD1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503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1B618F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BCB2B8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（七）总计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E6D68B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eastAsia="宋体"/>
                <w:sz w:val="19"/>
                <w:szCs w:val="19"/>
                <w:lang w:eastAsia="zh-CN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324FAC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288F32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8813E4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06D41D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1F33BB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1A6B3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eastAsia="宋体"/>
                <w:sz w:val="19"/>
                <w:szCs w:val="19"/>
                <w:lang w:eastAsia="zh-CN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  <w:lang w:val="en-US" w:eastAsia="zh-CN"/>
              </w:rPr>
              <w:t>1</w:t>
            </w:r>
          </w:p>
        </w:tc>
      </w:tr>
      <w:tr w14:paraId="52BD64E0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75" w:type="dxa"/>
            <w:left w:w="150" w:type="dxa"/>
            <w:bottom w:w="75" w:type="dxa"/>
            <w:right w:w="150" w:type="dxa"/>
          </w:tblCellMar>
        </w:tblPrEx>
        <w:trPr>
          <w:jc w:val="center"/>
        </w:trPr>
        <w:tc>
          <w:tcPr>
            <w:tcW w:w="4886" w:type="dxa"/>
            <w:gridSpan w:val="3"/>
            <w:tcBorders>
              <w:top w:val="single" w:color="000000" w:sz="6" w:space="0"/>
              <w:left w:val="single" w:color="000000" w:sz="8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1C9F5E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四、结转下年度继续办理</w:t>
            </w:r>
          </w:p>
        </w:tc>
        <w:tc>
          <w:tcPr>
            <w:tcW w:w="589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D4B3E4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CB6DEB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489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CE71D6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1D944B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920795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noWrap w:val="0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6693B4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32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A65F9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eastAsia" w:ascii="仿宋_GB2312" w:eastAsia="仿宋_GB2312" w:cs="仿宋_GB2312"/>
                <w:sz w:val="19"/>
                <w:szCs w:val="19"/>
              </w:rPr>
              <w:t>0</w:t>
            </w:r>
          </w:p>
        </w:tc>
      </w:tr>
    </w:tbl>
    <w:p w14:paraId="001A8A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baseline"/>
        <w:rPr>
          <w:rFonts w:ascii="黑体" w:eastAsia="黑体" w:cs="黑体"/>
          <w:spacing w:val="8"/>
          <w:sz w:val="31"/>
          <w:szCs w:val="31"/>
        </w:rPr>
      </w:pPr>
      <w:r>
        <w:rPr>
          <w:rFonts w:ascii="黑体" w:eastAsia="黑体" w:cs="黑体"/>
          <w:spacing w:val="8"/>
          <w:sz w:val="31"/>
          <w:szCs w:val="31"/>
        </w:rPr>
        <w:t>四、政府信息公开行政复议、行政诉讼情况</w:t>
      </w:r>
    </w:p>
    <w:tbl>
      <w:tblPr>
        <w:tblStyle w:val="4"/>
        <w:tblpPr w:leftFromText="180" w:rightFromText="180" w:vertAnchor="text" w:horzAnchor="page" w:tblpX="1527" w:tblpY="444"/>
        <w:tblOverlap w:val="never"/>
        <w:tblW w:w="9748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 w14:paraId="13BCA23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4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9C33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行政复议</w:t>
            </w:r>
          </w:p>
        </w:tc>
        <w:tc>
          <w:tcPr>
            <w:tcW w:w="650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C25A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行政诉讼</w:t>
            </w:r>
          </w:p>
        </w:tc>
      </w:tr>
      <w:tr w14:paraId="514F8513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7EFF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D9D7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纠正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B9ED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B3C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尚未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审结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D5EC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324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4DA1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未经复议直接起诉</w:t>
            </w:r>
          </w:p>
        </w:tc>
        <w:tc>
          <w:tcPr>
            <w:tcW w:w="325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8037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复议后起诉</w:t>
            </w:r>
          </w:p>
        </w:tc>
      </w:tr>
      <w:tr w14:paraId="0420A39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021C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8D4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7507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1D9F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8719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0BC8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5508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72BD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6846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尚未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84F0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D750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维持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D3B1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纠正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0554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5E3B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尚未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审结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71C2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 w14:paraId="7C5302E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2" w:hRule="atLeast"/>
        </w:trPr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9361B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A3A73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4F442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5F545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A71F6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04F65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5881A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7FA38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7ED0B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98413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E1AE5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1C242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87DB2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9F440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11012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0</w:t>
            </w:r>
          </w:p>
        </w:tc>
      </w:tr>
    </w:tbl>
    <w:p w14:paraId="0916B12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52" w:firstLineChars="200"/>
        <w:textAlignment w:val="baseline"/>
        <w:rPr>
          <w:rFonts w:ascii="黑体" w:eastAsia="黑体" w:cs="黑体"/>
          <w:spacing w:val="8"/>
          <w:sz w:val="31"/>
          <w:szCs w:val="31"/>
        </w:rPr>
      </w:pPr>
      <w:r>
        <w:rPr>
          <w:rFonts w:ascii="黑体" w:eastAsia="黑体" w:cs="黑体"/>
          <w:spacing w:val="8"/>
          <w:sz w:val="31"/>
          <w:szCs w:val="31"/>
        </w:rPr>
        <w:t>五、存在的主要问题及改进情况</w:t>
      </w:r>
    </w:p>
    <w:p w14:paraId="32631F6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2025年，滨湖镇信息公开工作取得了一定成效，但仍存在短板，比如：信息公开的流通、收集和汇总方面存在滞后和不畅，工作方式方法的创新突破意识弱，平台建设仍需完善等。</w:t>
      </w:r>
    </w:p>
    <w:p w14:paraId="6CCE447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下一步，滨湖镇将继续按照《条例》和省、市对政府信息公开的相关要求，大力推进政府信息公开工作，主要做好以下几方面的工作：</w:t>
      </w:r>
    </w:p>
    <w:p w14:paraId="2BD5954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9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一是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强化信息公开意识。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通过会议、培训等形式，加强对《条例》的宣传和讲解，增强信息公开意识。</w:t>
      </w:r>
    </w:p>
    <w:p w14:paraId="512171E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9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二是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拓宽信息公开渠道。利用网站、公开栏等构建多元公开渠道，确保政府信息工作按流程运作，方便群众查询，提高服务效率。</w:t>
      </w:r>
    </w:p>
    <w:p w14:paraId="14C1B3E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9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三是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规范信息公开工作机制建设。确保政府信息公开申请受理和回复的及时性、完整性，保证政府信息公开申请人的知情权。严格信息公开发布审查制度，确保符合保密条例要求。</w:t>
      </w:r>
    </w:p>
    <w:p w14:paraId="5ADA6EF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68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7"/>
          <w:sz w:val="32"/>
          <w:szCs w:val="32"/>
        </w:rPr>
        <w:t>六、其他需要报告的事项</w:t>
      </w:r>
    </w:p>
    <w:p w14:paraId="6171369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1.严格遵守《政府信息公开信息处理费管理办法》， 2025年未收取信息处理费。</w:t>
      </w:r>
    </w:p>
    <w:p w14:paraId="31B9AB8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2.认真落实滕州市政府办公室制定的2025年度政务公开工作要点，扎实做好信息公开工作。对重点工作定期进行跟踪问效，做到有部署、有检查、有考评，确保各项工作有序推进，各项责任有效落实。</w:t>
      </w:r>
    </w:p>
    <w:p w14:paraId="330E11E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3.2025年滨湖镇未收到和办理有关人大建议和政协提案。</w:t>
      </w:r>
    </w:p>
    <w:p w14:paraId="54E722E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4.本年度政府信息公开年报中的数据真实可查。</w:t>
      </w:r>
    </w:p>
    <w:p w14:paraId="2A46C16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  <w:t>5.滨湖镇无政府信息公开工作年度报告数据统计需要说明的事项。</w:t>
      </w:r>
    </w:p>
    <w:p w14:paraId="0E1207F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highlight w:val="none"/>
          <w:lang w:val="en-US" w:eastAsia="zh-CN" w:bidi="ar-SA"/>
        </w:rPr>
      </w:pPr>
      <w:bookmarkStart w:id="9" w:name="_GoBack"/>
      <w:r>
        <w:rPr>
          <w:rFonts w:hint="eastAsia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highlight w:val="none"/>
          <w:lang w:val="en-US" w:eastAsia="zh-CN" w:bidi="ar-SA"/>
        </w:rPr>
        <w:t>6.本报告的电子版可在“中国滕州网”（http://www.tengzhou.gov.cn/）网站查询和下载。如对本报告有任何疑问，请与滕州市滨湖镇政宣工作岗联系。（地址：滕州市滨湖镇府前路1号；邮编：277516；联系电话：0632-2601101，电子邮箱：binhuxxk@163.com）。</w:t>
      </w:r>
    </w:p>
    <w:bookmarkEnd w:id="9"/>
    <w:p w14:paraId="387E042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right="0" w:firstLine="676" w:firstLineChars="200"/>
        <w:jc w:val="both"/>
        <w:textAlignment w:val="baseline"/>
        <w:rPr>
          <w:rFonts w:hint="default" w:ascii="仿宋_GB2312" w:hAnsi="仿宋_GB2312" w:eastAsia="仿宋_GB2312" w:cs="仿宋_GB2312"/>
          <w:snapToGrid w:val="0"/>
          <w:color w:val="000000"/>
          <w:spacing w:val="9"/>
          <w:kern w:val="0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BFA86E"/>
    <w:rsid w:val="55F66725"/>
    <w:rsid w:val="6FBFA86E"/>
    <w:rsid w:val="873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1650</Words>
  <Characters>1705</Characters>
  <Lines>0</Lines>
  <Paragraphs>0</Paragraphs>
  <TotalTime>3</TotalTime>
  <ScaleCrop>false</ScaleCrop>
  <LinksUpToDate>false</LinksUpToDate>
  <CharactersWithSpaces>1714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2026-01-15T15:16:00Z</dcterms:created>
  <dc:creator>爱新觉罗-琛</dc:creator>
  <cp:lastModifiedBy>%E6%97%A7%E6%97%B6%E5%BE%AE%E9%A3%8E</cp:lastModifiedBy>
  <dcterms:modified xsi:type="dcterms:W3CDTF">2026-01-22T03:15:51Z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eyJoZGlkIjoiYzJhMWQ5MmUzMjY1ZTRiNmZmZWJiMmUzMjViZTk4ZWEiLCJ1c2VySWQiOiI0MTQyMTk1MjgifQ==</vt:lpwstr>
  </property>
  <property fmtid="{D5CDD505-2E9C-101B-9397-08002B2CF9AE}" pid="4" name="ICV">
    <vt:lpwstr>7908A421B58A448691A923FF35E853A5_12</vt:lpwstr>
  </property>
</Properties>
</file>