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滕州市退役军人事务局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5</w:t>
      </w:r>
      <w:r>
        <w:rPr>
          <w:rFonts w:hint="eastAsia" w:ascii="方正小标宋简体" w:hAnsi="方正小标宋简体" w:eastAsia="方正小标宋简体" w:cs="方正小标宋简体"/>
          <w:sz w:val="44"/>
          <w:szCs w:val="44"/>
        </w:rPr>
        <w:t>年政府信息公开工作年度报告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黑体" w:hAnsi="黑体" w:eastAsia="黑体" w:cs="黑体"/>
          <w:b w:val="0"/>
          <w:bCs/>
          <w:i w:val="0"/>
          <w:caps w:val="0"/>
          <w:color w:val="333333"/>
          <w:spacing w:val="0"/>
          <w:kern w:val="0"/>
          <w:sz w:val="32"/>
          <w:szCs w:val="32"/>
          <w:shd w:val="clear" w:color="auto" w:fill="FFFFFF"/>
          <w:lang w:val="en-US" w:eastAsia="zh-CN" w:bidi="ar"/>
        </w:rPr>
      </w:pPr>
    </w:p>
    <w:p>
      <w:pPr>
        <w:pStyle w:val="6"/>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600" w:lineRule="exact"/>
        <w:ind w:left="0" w:firstLine="640"/>
        <w:jc w:val="both"/>
        <w:textAlignment w:val="auto"/>
        <w:rPr>
          <w:rFonts w:hint="eastAsia" w:ascii="仿宋_GB2312" w:hAnsi="仿宋_GB2312" w:eastAsia="仿宋_GB2312" w:cs="仿宋_GB2312"/>
          <w:kern w:val="2"/>
          <w:sz w:val="32"/>
          <w:szCs w:val="32"/>
          <w:highlight w:val="yellow"/>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lang w:val="en-US" w:eastAsia="zh-CN"/>
        </w:rPr>
        <w:t>滕州市</w:t>
      </w:r>
      <w:r>
        <w:rPr>
          <w:rFonts w:hint="eastAsia" w:ascii="仿宋_GB2312" w:hAnsi="仿宋_GB2312" w:eastAsia="仿宋_GB2312" w:cs="仿宋_GB2312"/>
          <w:color w:val="000000"/>
          <w:sz w:val="32"/>
          <w:szCs w:val="32"/>
        </w:rPr>
        <w:t>退役军人事务</w:t>
      </w:r>
      <w:r>
        <w:rPr>
          <w:rFonts w:hint="eastAsia" w:ascii="仿宋_GB2312" w:hAnsi="仿宋_GB2312" w:eastAsia="仿宋_GB2312" w:cs="仿宋_GB2312"/>
          <w:color w:val="000000"/>
          <w:sz w:val="32"/>
          <w:szCs w:val="32"/>
          <w:lang w:val="en-US" w:eastAsia="zh-CN"/>
        </w:rPr>
        <w:t>局</w:t>
      </w:r>
      <w:r>
        <w:rPr>
          <w:rFonts w:hint="eastAsia" w:ascii="仿宋_GB2312" w:hAnsi="仿宋_GB2312" w:eastAsia="仿宋_GB2312" w:cs="仿宋_GB2312"/>
          <w:color w:val="000000"/>
          <w:sz w:val="32"/>
          <w:szCs w:val="32"/>
        </w:rPr>
        <w:t>坚持以习近平新时代中国特色社会主义思想为指导，全面贯</w:t>
      </w:r>
      <w:r>
        <w:rPr>
          <w:rFonts w:hint="eastAsia" w:ascii="仿宋_GB2312" w:hAnsi="仿宋_GB2312" w:eastAsia="仿宋_GB2312" w:cs="仿宋_GB2312"/>
          <w:color w:val="000000"/>
          <w:sz w:val="32"/>
          <w:szCs w:val="32"/>
          <w:lang w:eastAsia="zh-CN"/>
        </w:rPr>
        <w:t>彻党</w:t>
      </w:r>
      <w:r>
        <w:rPr>
          <w:rFonts w:hint="eastAsia" w:ascii="仿宋_GB2312" w:hAnsi="仿宋_GB2312" w:eastAsia="仿宋_GB2312" w:cs="仿宋_GB2312"/>
          <w:color w:val="000000"/>
          <w:sz w:val="32"/>
          <w:szCs w:val="32"/>
          <w:lang w:val="en-US" w:eastAsia="zh-CN"/>
        </w:rPr>
        <w:t>的二十大和二十届历次全会精神</w:t>
      </w:r>
      <w:r>
        <w:rPr>
          <w:rFonts w:hint="eastAsia" w:ascii="仿宋_GB2312" w:hAnsi="仿宋_GB2312" w:eastAsia="仿宋_GB2312" w:cs="仿宋_GB2312"/>
          <w:color w:val="000000"/>
          <w:sz w:val="32"/>
          <w:szCs w:val="32"/>
        </w:rPr>
        <w:t>，认真落实</w:t>
      </w:r>
      <w:r>
        <w:rPr>
          <w:rFonts w:hint="eastAsia" w:ascii="仿宋_GB2312" w:hAnsi="仿宋_GB2312" w:eastAsia="仿宋_GB2312" w:cs="仿宋_GB2312"/>
          <w:color w:val="000000"/>
          <w:sz w:val="32"/>
          <w:szCs w:val="32"/>
          <w:lang w:val="en-US" w:eastAsia="zh-CN"/>
        </w:rPr>
        <w:t>上级部门</w:t>
      </w:r>
      <w:r>
        <w:rPr>
          <w:rFonts w:hint="eastAsia" w:ascii="仿宋_GB2312" w:hAnsi="仿宋_GB2312" w:eastAsia="仿宋_GB2312" w:cs="仿宋_GB2312"/>
          <w:color w:val="000000"/>
          <w:sz w:val="32"/>
          <w:szCs w:val="32"/>
        </w:rPr>
        <w:t>关于政务公开工作的决策部署，</w:t>
      </w:r>
      <w:r>
        <w:rPr>
          <w:rFonts w:hint="eastAsia" w:ascii="仿宋_GB2312" w:hAnsi="仿宋_GB2312" w:eastAsia="仿宋_GB2312" w:cs="仿宋_GB2312"/>
          <w:color w:val="000000"/>
          <w:sz w:val="32"/>
          <w:szCs w:val="32"/>
          <w:lang w:val="en-US" w:eastAsia="zh-CN"/>
        </w:rPr>
        <w:t>深入践行以人民为中心的发展思想，紧盯服务对象核心关切和急难愁盼，</w:t>
      </w:r>
      <w:r>
        <w:rPr>
          <w:rFonts w:hint="eastAsia" w:ascii="仿宋_GB2312" w:hAnsi="仿宋_GB2312" w:eastAsia="仿宋_GB2312" w:cs="仿宋_GB2312"/>
          <w:color w:val="000000"/>
          <w:sz w:val="32"/>
          <w:szCs w:val="32"/>
        </w:rPr>
        <w:t>持续深化重点领域信息公开</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不断完善公开标准、规范公开流程、强化数字赋能，确保政府信息发布更精准、更及时，切实提升服务社会公众的能力与实效。</w:t>
      </w:r>
      <w:r>
        <w:rPr>
          <w:rFonts w:hint="eastAsia" w:ascii="仿宋_GB2312" w:hAnsi="仿宋_GB2312" w:eastAsia="仿宋_GB2312" w:cs="仿宋_GB2312"/>
          <w:kern w:val="2"/>
          <w:sz w:val="32"/>
          <w:szCs w:val="32"/>
          <w:highlight w:val="none"/>
        </w:rPr>
        <w:t>本报告所列数据的统计时限自2025年1月1日起至2025年12月31日止。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黑体" w:hAnsi="黑体" w:eastAsia="黑体" w:cs="黑体"/>
          <w:b w:val="0"/>
          <w:bCs/>
          <w:i w:val="0"/>
          <w:caps w:val="0"/>
          <w:color w:val="333333"/>
          <w:spacing w:val="0"/>
          <w:kern w:val="0"/>
          <w:sz w:val="32"/>
          <w:szCs w:val="32"/>
          <w:shd w:val="clear" w:color="auto" w:fill="FFFFFF"/>
          <w:lang w:val="en-US" w:eastAsia="zh-CN" w:bidi="ar"/>
        </w:rPr>
        <w:t>一、总体情况</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楷体_GB2312" w:hAnsi="楷体_GB2312" w:eastAsia="楷体_GB2312" w:cs="楷体_GB2312"/>
          <w:color w:val="000000"/>
          <w:sz w:val="32"/>
          <w:szCs w:val="32"/>
          <w:lang w:val="en-US" w:eastAsia="zh-CN"/>
        </w:rPr>
      </w:pPr>
      <w:r>
        <w:rPr>
          <w:rFonts w:hint="eastAsia" w:ascii="楷体_GB2312" w:hAnsi="楷体_GB2312" w:eastAsia="楷体_GB2312" w:cs="楷体_GB2312"/>
          <w:color w:val="000000"/>
          <w:sz w:val="32"/>
          <w:szCs w:val="32"/>
          <w:lang w:val="en-US" w:eastAsia="zh-CN"/>
        </w:rPr>
        <w:t>（一）</w:t>
      </w:r>
      <w:r>
        <w:rPr>
          <w:rFonts w:hint="eastAsia" w:ascii="楷体_GB2312" w:hAnsi="楷体_GB2312" w:eastAsia="楷体_GB2312" w:cs="楷体_GB2312"/>
          <w:color w:val="000000"/>
          <w:sz w:val="32"/>
          <w:szCs w:val="32"/>
        </w:rPr>
        <w:t>聚焦重点领域，深化主动公开</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坚持以公开为常态，依托滕州市政府信息公开专栏、微信公众号等载体，全方位推进信息公开。截至</w:t>
      </w:r>
      <w:r>
        <w:rPr>
          <w:rFonts w:hint="eastAsia" w:ascii="仿宋_GB2312" w:hAnsi="仿宋_GB2312" w:eastAsia="仿宋_GB2312" w:cs="仿宋_GB2312"/>
          <w:color w:val="000000"/>
          <w:sz w:val="32"/>
          <w:szCs w:val="32"/>
          <w:lang w:val="en-US" w:eastAsia="zh-CN"/>
        </w:rPr>
        <w:t>2025年12月 31日，通过政府网站主动公开信息20余条，涵盖</w:t>
      </w:r>
      <w:r>
        <w:rPr>
          <w:rFonts w:hint="eastAsia" w:ascii="仿宋_GB2312" w:hAnsi="仿宋_GB2312" w:eastAsia="仿宋_GB2312" w:cs="仿宋_GB2312"/>
          <w:color w:val="000000"/>
          <w:sz w:val="32"/>
          <w:szCs w:val="32"/>
          <w:highlight w:val="none"/>
          <w:lang w:val="en-US" w:eastAsia="zh-CN"/>
        </w:rPr>
        <w:t>机构职能、</w:t>
      </w:r>
      <w:r>
        <w:rPr>
          <w:rFonts w:hint="eastAsia" w:ascii="仿宋_GB2312" w:hAnsi="仿宋_GB2312" w:eastAsia="仿宋_GB2312" w:cs="仿宋_GB2312"/>
          <w:color w:val="000000"/>
          <w:sz w:val="32"/>
          <w:szCs w:val="32"/>
          <w:lang w:val="en-US" w:eastAsia="zh-CN"/>
        </w:rPr>
        <w:t>通知公告、财政信息、重大民生、建议提案办理等重点领域。其中，</w:t>
      </w:r>
      <w:r>
        <w:rPr>
          <w:rFonts w:hint="eastAsia" w:ascii="仿宋_GB2312" w:hAnsi="仿宋_GB2312" w:eastAsia="仿宋_GB2312" w:cs="仿宋_GB2312"/>
          <w:color w:val="000000"/>
          <w:sz w:val="32"/>
          <w:szCs w:val="32"/>
          <w:highlight w:val="none"/>
          <w:lang w:val="en-US" w:eastAsia="zh-CN"/>
        </w:rPr>
        <w:t>机构职能3条，</w:t>
      </w:r>
      <w:r>
        <w:rPr>
          <w:rFonts w:hint="eastAsia" w:ascii="仿宋_GB2312" w:hAnsi="仿宋_GB2312" w:eastAsia="仿宋_GB2312" w:cs="仿宋_GB2312"/>
          <w:color w:val="000000"/>
          <w:sz w:val="32"/>
          <w:szCs w:val="32"/>
          <w:lang w:val="en-US" w:eastAsia="zh-CN"/>
        </w:rPr>
        <w:t>通知公告2条，财政信息8条，重大民生信息6条，人大建议及政协提案办理总体情况2条，政协提案办理结果1条，主动公开基本目录1条。同时，充分发挥新媒体传播优势，通过微信公众平台发布政务动态 596 条，有效提升了信息传播的时效性和覆盖面。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default" w:ascii="仿宋_GB2312" w:hAnsi="仿宋_GB2312" w:eastAsia="仿宋_GB2312" w:cs="仿宋_GB2312"/>
          <w:color w:val="000000"/>
          <w:sz w:val="32"/>
          <w:szCs w:val="32"/>
          <w:lang w:val="en-US" w:eastAsia="zh-CN"/>
        </w:rPr>
      </w:pPr>
      <w:r>
        <w:rPr>
          <w:rFonts w:hint="default" w:ascii="仿宋_GB2312" w:hAnsi="仿宋_GB2312" w:eastAsia="仿宋_GB2312" w:cs="仿宋_GB2312"/>
          <w:color w:val="000000"/>
          <w:sz w:val="32"/>
          <w:szCs w:val="32"/>
          <w:lang w:val="en-US" w:eastAsia="zh-CN"/>
        </w:rPr>
        <w:drawing>
          <wp:inline distT="0" distB="0" distL="114300" distR="114300">
            <wp:extent cx="4328160" cy="3945255"/>
            <wp:effectExtent l="0" t="0" r="15240" b="17145"/>
            <wp:docPr id="2" name="图片 2" descr="滕州市政府信息公开"/>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2" descr="滕州市政府信息公开"/>
                    <pic:cNvPicPr>
                      <a:picLocks noChangeAspect="true"/>
                    </pic:cNvPicPr>
                  </pic:nvPicPr>
                  <pic:blipFill>
                    <a:blip r:embed="rId5"/>
                    <a:stretch>
                      <a:fillRect/>
                    </a:stretch>
                  </pic:blipFill>
                  <pic:spPr>
                    <a:xfrm>
                      <a:off x="0" y="0"/>
                      <a:ext cx="4328160" cy="3945255"/>
                    </a:xfrm>
                    <a:prstGeom prst="rect">
                      <a:avLst/>
                    </a:prstGeom>
                  </pic:spPr>
                </pic:pic>
              </a:graphicData>
            </a:graphic>
          </wp:inline>
        </w:drawing>
      </w:r>
      <w:r>
        <w:rPr>
          <w:rFonts w:hint="eastAsia"/>
          <w:lang w:val="en-US" w:eastAsia="zh-CN"/>
        </w:rPr>
        <w:drawing>
          <wp:inline distT="0" distB="0" distL="114300" distR="114300">
            <wp:extent cx="3642995" cy="4818380"/>
            <wp:effectExtent l="0" t="0" r="14605" b="1270"/>
            <wp:docPr id="3" name="图片 3" descr="ScreenShot_2026-01-14_150517_08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descr="ScreenShot_2026-01-14_150517_082"/>
                    <pic:cNvPicPr>
                      <a:picLocks noChangeAspect="true"/>
                    </pic:cNvPicPr>
                  </pic:nvPicPr>
                  <pic:blipFill>
                    <a:blip r:embed="rId6"/>
                    <a:stretch>
                      <a:fillRect/>
                    </a:stretch>
                  </pic:blipFill>
                  <pic:spPr>
                    <a:xfrm>
                      <a:off x="0" y="0"/>
                      <a:ext cx="3642995" cy="4818380"/>
                    </a:xfrm>
                    <a:prstGeom prst="rect">
                      <a:avLst/>
                    </a:prstGeom>
                  </pic:spPr>
                </pic:pic>
              </a:graphicData>
            </a:graphic>
          </wp:inline>
        </w:drawing>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楷体_GB2312" w:hAnsi="楷体_GB2312" w:eastAsia="楷体_GB2312" w:cs="楷体_GB2312"/>
          <w:color w:val="000000"/>
          <w:sz w:val="32"/>
          <w:szCs w:val="32"/>
          <w:lang w:val="en-US" w:eastAsia="zh-CN"/>
        </w:rPr>
      </w:pPr>
      <w:r>
        <w:rPr>
          <w:rFonts w:hint="default" w:ascii="楷体_GB2312" w:hAnsi="楷体_GB2312" w:eastAsia="楷体_GB2312" w:cs="楷体_GB2312"/>
          <w:color w:val="000000"/>
          <w:sz w:val="32"/>
          <w:szCs w:val="32"/>
          <w:lang w:val="en-US" w:eastAsia="zh-CN"/>
        </w:rPr>
        <w:t>（二）</w:t>
      </w:r>
      <w:r>
        <w:rPr>
          <w:rFonts w:hint="eastAsia" w:ascii="楷体_GB2312" w:hAnsi="楷体_GB2312" w:eastAsia="楷体_GB2312" w:cs="楷体_GB2312"/>
          <w:color w:val="000000"/>
          <w:sz w:val="32"/>
          <w:szCs w:val="32"/>
        </w:rPr>
        <w:t>规范办理流程，提升依申请公开服务水平</w:t>
      </w:r>
    </w:p>
    <w:p>
      <w:pPr>
        <w:keepNext w:val="0"/>
        <w:keepLines w:val="0"/>
        <w:pageBreakBefore w:val="0"/>
        <w:numPr>
          <w:ilvl w:val="0"/>
          <w:numId w:val="0"/>
        </w:numPr>
        <w:kinsoku/>
        <w:overflowPunct/>
        <w:topLinePunct w:val="0"/>
        <w:autoSpaceDE/>
        <w:autoSpaceDN/>
        <w:bidi w:val="0"/>
        <w:adjustRightInd/>
        <w:snapToGrid/>
        <w:spacing w:line="520" w:lineRule="exact"/>
        <w:ind w:left="0" w:leftChars="0" w:firstLine="640" w:firstLineChars="200"/>
        <w:jc w:val="both"/>
        <w:textAlignment w:val="auto"/>
        <w:rPr>
          <w:rFonts w:hint="default"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建立健全依申请公开受理、审查、处理、答复机制。2025年度，滕州市退役军人事务局未受理政府信息公开申请，全年无因政府信息公开申请引发的行政复议和行政诉讼案件，较往年保持平稳，未出现增长态势。</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楷体_GB2312" w:hAnsi="楷体_GB2312" w:eastAsia="楷体_GB2312" w:cs="楷体_GB2312"/>
          <w:color w:val="000000"/>
          <w:sz w:val="32"/>
          <w:szCs w:val="32"/>
          <w:lang w:val="en-US" w:eastAsia="zh-CN"/>
        </w:rPr>
      </w:pPr>
      <w:r>
        <w:rPr>
          <w:rFonts w:hint="default" w:ascii="楷体_GB2312" w:hAnsi="楷体_GB2312" w:eastAsia="楷体_GB2312" w:cs="楷体_GB2312"/>
          <w:color w:val="000000"/>
          <w:sz w:val="32"/>
          <w:szCs w:val="32"/>
          <w:lang w:val="en-US" w:eastAsia="zh-CN"/>
        </w:rPr>
        <w:t>（三）</w:t>
      </w:r>
      <w:r>
        <w:rPr>
          <w:rFonts w:hint="eastAsia" w:ascii="楷体_GB2312" w:hAnsi="楷体_GB2312" w:eastAsia="楷体_GB2312" w:cs="楷体_GB2312"/>
          <w:color w:val="000000"/>
          <w:sz w:val="32"/>
          <w:szCs w:val="32"/>
        </w:rPr>
        <w:t>健全工作机制，强化信息管理</w:t>
      </w:r>
    </w:p>
    <w:p>
      <w:pPr>
        <w:keepNext w:val="0"/>
        <w:keepLines w:val="0"/>
        <w:pageBreakBefore w:val="0"/>
        <w:numPr>
          <w:ilvl w:val="0"/>
          <w:numId w:val="0"/>
        </w:numPr>
        <w:kinsoku/>
        <w:overflowPunct/>
        <w:topLinePunct w:val="0"/>
        <w:autoSpaceDE/>
        <w:autoSpaceDN/>
        <w:bidi w:val="0"/>
        <w:adjustRightInd/>
        <w:snapToGrid/>
        <w:spacing w:line="520" w:lineRule="exact"/>
        <w:ind w:left="0" w:leftChars="0"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形成“主要领导抓、分管领导具体抓、机关科室合力抓、专人负责抓落实”的工作机制，组织全体干部职工认真学习《中华人民共和国政府信息公开条例》，强化思想认识，明晰职能分工，健全沟通协调机制，压实政府信息公开工作责任。严格落实信息公开“三审三校制”，未经审核的机关信息不得公开，确保信息发布真实准确。动态扩展公开内容，结合群众关注的重点热点问题，定期对公开内容进行梳理。严格把关政府信息公开内容审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default" w:ascii="楷体_GB2312" w:hAnsi="楷体_GB2312" w:eastAsia="楷体_GB2312" w:cs="楷体_GB2312"/>
          <w:color w:val="000000"/>
          <w:sz w:val="32"/>
          <w:szCs w:val="32"/>
          <w:lang w:val="en-US" w:eastAsia="zh-CN"/>
        </w:rPr>
      </w:pPr>
      <w:r>
        <w:rPr>
          <w:rFonts w:hint="default" w:ascii="楷体_GB2312" w:hAnsi="楷体_GB2312" w:eastAsia="楷体_GB2312" w:cs="楷体_GB2312"/>
          <w:color w:val="000000"/>
          <w:sz w:val="32"/>
          <w:szCs w:val="32"/>
          <w:lang w:val="en-US" w:eastAsia="zh-CN"/>
        </w:rPr>
        <w:t>（四）</w:t>
      </w:r>
      <w:r>
        <w:rPr>
          <w:rFonts w:hint="eastAsia" w:ascii="楷体_GB2312" w:hAnsi="楷体_GB2312" w:eastAsia="楷体_GB2312" w:cs="楷体_GB2312"/>
          <w:color w:val="000000"/>
          <w:sz w:val="32"/>
          <w:szCs w:val="32"/>
        </w:rPr>
        <w:t>夯实平台基础，优化公开渠道</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深入推进网站集约化建设，对照工作提醒单，及时查漏补缺，确保政府信息公开平台安全平稳运行。目前，已形成 “1个微信公众号+1个政府官网部门栏目+1个政府官网信息公开页面”的多平台发布矩阵，实现了多栏目、多渠道信息同步更新，提升了政务公开的便捷度。</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right="0"/>
        <w:jc w:val="center"/>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drawing>
          <wp:inline distT="0" distB="0" distL="114300" distR="114300">
            <wp:extent cx="4515485" cy="2099945"/>
            <wp:effectExtent l="0" t="0" r="18415" b="14605"/>
            <wp:docPr id="4" name="图片 4" descr="ScreenShot_2026-01-12_160148_77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descr="ScreenShot_2026-01-12_160148_771"/>
                    <pic:cNvPicPr>
                      <a:picLocks noChangeAspect="true"/>
                    </pic:cNvPicPr>
                  </pic:nvPicPr>
                  <pic:blipFill>
                    <a:blip r:embed="rId7"/>
                    <a:stretch>
                      <a:fillRect/>
                    </a:stretch>
                  </pic:blipFill>
                  <pic:spPr>
                    <a:xfrm>
                      <a:off x="0" y="0"/>
                      <a:ext cx="4515485" cy="2099945"/>
                    </a:xfrm>
                    <a:prstGeom prst="rect">
                      <a:avLst/>
                    </a:prstGeom>
                  </pic:spPr>
                </pic:pic>
              </a:graphicData>
            </a:graphic>
          </wp:inline>
        </w:drawing>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lang w:val="en-US" w:eastAsia="zh-CN"/>
        </w:rPr>
        <w:t>五</w:t>
      </w:r>
      <w:r>
        <w:rPr>
          <w:rFonts w:hint="eastAsia" w:ascii="楷体_GB2312" w:hAnsi="楷体_GB2312" w:eastAsia="楷体_GB2312" w:cs="楷体_GB2312"/>
          <w:color w:val="000000"/>
          <w:sz w:val="32"/>
          <w:szCs w:val="32"/>
          <w:lang w:eastAsia="zh-CN"/>
        </w:rPr>
        <w:t>）</w:t>
      </w:r>
      <w:r>
        <w:rPr>
          <w:rFonts w:hint="eastAsia" w:ascii="楷体_GB2312" w:hAnsi="楷体_GB2312" w:eastAsia="楷体_GB2312" w:cs="楷体_GB2312"/>
          <w:color w:val="000000"/>
          <w:sz w:val="32"/>
          <w:szCs w:val="32"/>
        </w:rPr>
        <w:t>强化监督考核，确保工作落实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建立责任分解、专人管理、定期发布及督查督办机制，配备2名专职工作人员负责日常工作。将政务公开纳入年度督查督办事项，定期对各科室任务落实情况进行督促提醒，传导工作压力。积极配合省、市各项检查考评，对发现的问题立行立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64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2025年，滕州市退役军人事务局未发生因信息公开审查不当或保密审查机构未履行保密审查职责而引起的失泄密情况。2025年度未进行社会评议，未发生责任追究情况。 </w:t>
      </w:r>
    </w:p>
    <w:p>
      <w:pPr>
        <w:pStyle w:val="6"/>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right="0" w:rightChars="0" w:firstLine="640" w:firstLineChars="200"/>
        <w:jc w:val="both"/>
        <w:textAlignment w:val="auto"/>
        <w:rPr>
          <w:rFonts w:hint="eastAsia" w:ascii="黑体" w:hAnsi="黑体" w:eastAsia="黑体" w:cs="黑体"/>
          <w:b w:val="0"/>
          <w:bCs/>
          <w:i w:val="0"/>
          <w:caps w:val="0"/>
          <w:color w:val="333333"/>
          <w:spacing w:val="0"/>
          <w:sz w:val="32"/>
          <w:szCs w:val="32"/>
          <w:shd w:val="clear" w:color="auto" w:fill="FFFFFF"/>
        </w:rPr>
      </w:pPr>
      <w:r>
        <w:rPr>
          <w:rFonts w:hint="eastAsia" w:ascii="黑体" w:hAnsi="黑体" w:eastAsia="黑体" w:cs="黑体"/>
          <w:b w:val="0"/>
          <w:bCs/>
          <w:i w:val="0"/>
          <w:caps w:val="0"/>
          <w:color w:val="333333"/>
          <w:spacing w:val="0"/>
          <w:sz w:val="32"/>
          <w:szCs w:val="32"/>
          <w:shd w:val="clear" w:color="auto" w:fill="FFFFFF"/>
          <w:lang w:eastAsia="zh-CN"/>
        </w:rPr>
        <w:t>二、</w:t>
      </w:r>
      <w:r>
        <w:rPr>
          <w:rFonts w:hint="eastAsia" w:ascii="黑体" w:hAnsi="黑体" w:eastAsia="黑体" w:cs="黑体"/>
          <w:b w:val="0"/>
          <w:bCs/>
          <w:i w:val="0"/>
          <w:caps w:val="0"/>
          <w:color w:val="333333"/>
          <w:spacing w:val="0"/>
          <w:sz w:val="32"/>
          <w:szCs w:val="32"/>
          <w:shd w:val="clear" w:color="auto" w:fill="FFFFFF"/>
        </w:rPr>
        <w:t>主动公开政府信息情况</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黑体" w:hAnsi="黑体" w:eastAsia="黑体" w:cs="黑体"/>
          <w:b w:val="0"/>
          <w:bCs/>
          <w:i w:val="0"/>
          <w:caps w:val="0"/>
          <w:color w:val="333333"/>
          <w:spacing w:val="0"/>
          <w:sz w:val="32"/>
          <w:szCs w:val="32"/>
          <w:shd w:val="clear" w:color="auto" w:fill="FFFFFF"/>
        </w:rPr>
      </w:pPr>
    </w:p>
    <w:tbl>
      <w:tblPr>
        <w:tblStyle w:val="7"/>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color w:val="auto"/>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color w:val="auto"/>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jc w:val="center"/>
              <w:rPr>
                <w:rFonts w:hint="eastAsia" w:ascii="宋体" w:eastAsia="宋体"/>
                <w:sz w:val="24"/>
                <w:szCs w:val="24"/>
                <w:lang w:eastAsia="zh-CN"/>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pPr>
              <w:jc w:val="center"/>
              <w:rPr>
                <w:rFonts w:hint="eastAsia" w:ascii="宋体"/>
                <w:sz w:val="24"/>
                <w:szCs w:val="24"/>
              </w:rPr>
            </w:pPr>
            <w:r>
              <w:rPr>
                <w:rFonts w:hint="eastAsia" w:ascii="宋体" w:hAnsi="宋体" w:eastAsia="宋体" w:cs="宋体"/>
                <w:color w:val="000000"/>
                <w:kern w:val="0"/>
                <w:sz w:val="20"/>
                <w:szCs w:val="20"/>
                <w:lang w:val="en-US" w:eastAsia="zh-CN" w:bidi="ar"/>
              </w:rPr>
              <w:t>0</w:t>
            </w:r>
          </w:p>
        </w:tc>
      </w:tr>
    </w:tbl>
    <w:p>
      <w:pPr>
        <w:keepNext w:val="0"/>
        <w:keepLines w:val="0"/>
        <w:pageBreakBefore w:val="0"/>
        <w:numPr>
          <w:ilvl w:val="0"/>
          <w:numId w:val="0"/>
        </w:numPr>
        <w:kinsoku/>
        <w:overflowPunct/>
        <w:topLinePunct w:val="0"/>
        <w:autoSpaceDE/>
        <w:autoSpaceDN/>
        <w:bidi w:val="0"/>
        <w:adjustRightInd/>
        <w:snapToGrid/>
        <w:spacing w:line="520" w:lineRule="exact"/>
        <w:textAlignment w:val="auto"/>
        <w:rPr>
          <w:rFonts w:hint="eastAsia" w:ascii="黑体" w:hAnsi="黑体" w:eastAsia="黑体" w:cs="黑体"/>
          <w:b w:val="0"/>
          <w:bCs/>
          <w:i w:val="0"/>
          <w:caps w:val="0"/>
          <w:color w:val="333333"/>
          <w:spacing w:val="0"/>
          <w:kern w:val="0"/>
          <w:sz w:val="32"/>
          <w:szCs w:val="32"/>
          <w:shd w:val="clear" w:fill="FFFFFF"/>
          <w:lang w:val="en-US" w:eastAsia="zh-CN" w:bidi="ar"/>
        </w:rPr>
      </w:pPr>
    </w:p>
    <w:p>
      <w:pPr>
        <w:keepNext w:val="0"/>
        <w:keepLines w:val="0"/>
        <w:pageBreakBefore w:val="0"/>
        <w:numPr>
          <w:ilvl w:val="0"/>
          <w:numId w:val="1"/>
        </w:numPr>
        <w:kinsoku/>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b w:val="0"/>
          <w:bCs/>
          <w:i w:val="0"/>
          <w:caps w:val="0"/>
          <w:color w:val="333333"/>
          <w:spacing w:val="0"/>
          <w:kern w:val="0"/>
          <w:sz w:val="32"/>
          <w:szCs w:val="32"/>
          <w:shd w:val="clear" w:color="auto" w:fill="FFFFFF"/>
          <w:lang w:val="en-US" w:eastAsia="zh-CN" w:bidi="ar"/>
        </w:rPr>
      </w:pPr>
      <w:r>
        <w:rPr>
          <w:rFonts w:hint="eastAsia" w:ascii="黑体" w:hAnsi="黑体" w:eastAsia="黑体" w:cs="黑体"/>
          <w:b w:val="0"/>
          <w:bCs/>
          <w:i w:val="0"/>
          <w:caps w:val="0"/>
          <w:color w:val="333333"/>
          <w:spacing w:val="0"/>
          <w:kern w:val="0"/>
          <w:sz w:val="32"/>
          <w:szCs w:val="32"/>
          <w:shd w:val="clear" w:color="auto" w:fill="FFFFFF"/>
          <w:lang w:val="en-US" w:eastAsia="zh-CN" w:bidi="ar"/>
        </w:rPr>
        <w:t>收到和处理政府信息公开申请情况</w:t>
      </w:r>
    </w:p>
    <w:p>
      <w:pPr>
        <w:keepNext w:val="0"/>
        <w:keepLines w:val="0"/>
        <w:pageBreakBefore w:val="0"/>
        <w:numPr>
          <w:ilvl w:val="0"/>
          <w:numId w:val="0"/>
        </w:numPr>
        <w:kinsoku/>
        <w:overflowPunct/>
        <w:topLinePunct w:val="0"/>
        <w:autoSpaceDE/>
        <w:autoSpaceDN/>
        <w:bidi w:val="0"/>
        <w:adjustRightInd/>
        <w:snapToGrid/>
        <w:spacing w:line="520" w:lineRule="exact"/>
        <w:textAlignment w:val="auto"/>
        <w:rPr>
          <w:rFonts w:hint="eastAsia" w:ascii="黑体" w:hAnsi="黑体" w:eastAsia="黑体" w:cs="黑体"/>
          <w:b w:val="0"/>
          <w:bCs/>
          <w:i w:val="0"/>
          <w:caps w:val="0"/>
          <w:color w:val="333333"/>
          <w:spacing w:val="0"/>
          <w:kern w:val="0"/>
          <w:sz w:val="32"/>
          <w:szCs w:val="32"/>
          <w:shd w:val="clear" w:color="auto" w:fill="FFFFFF"/>
          <w:lang w:val="en-US" w:eastAsia="zh-CN" w:bidi="ar"/>
        </w:rPr>
      </w:pPr>
    </w:p>
    <w:tbl>
      <w:tblPr>
        <w:tblStyle w:val="7"/>
        <w:tblW w:w="1002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75" w:type="dxa"/>
          <w:left w:w="150" w:type="dxa"/>
          <w:bottom w:w="75" w:type="dxa"/>
          <w:right w:w="150" w:type="dxa"/>
        </w:tblCellMar>
      </w:tblPr>
      <w:tblGrid>
        <w:gridCol w:w="503"/>
        <w:gridCol w:w="1417"/>
        <w:gridCol w:w="2966"/>
        <w:gridCol w:w="589"/>
        <w:gridCol w:w="499"/>
        <w:gridCol w:w="489"/>
        <w:gridCol w:w="763"/>
        <w:gridCol w:w="720"/>
        <w:gridCol w:w="754"/>
        <w:gridCol w:w="132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vMerge w:val="restart"/>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ascii="楷体_GB2312" w:eastAsia="楷体_GB2312" w:cs="楷体_GB2312"/>
                <w:sz w:val="19"/>
                <w:szCs w:val="19"/>
              </w:rPr>
              <w:t>（本列数据的勾稽关系为：第一项加第二项之和，</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楷体_GB2312" w:eastAsia="楷体_GB2312" w:cs="楷体_GB2312"/>
                <w:sz w:val="19"/>
                <w:szCs w:val="19"/>
              </w:rPr>
              <w:t>等于第三项加第四项之和）</w:t>
            </w:r>
          </w:p>
        </w:tc>
        <w:tc>
          <w:tcPr>
            <w:tcW w:w="5134" w:type="dxa"/>
            <w:gridSpan w:val="7"/>
            <w:tcBorders>
              <w:top w:val="single" w:color="000000" w:sz="8"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vMerge w:val="continue"/>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589"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自然人</w:t>
            </w:r>
          </w:p>
        </w:tc>
        <w:tc>
          <w:tcPr>
            <w:tcW w:w="3225" w:type="dxa"/>
            <w:gridSpan w:val="5"/>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法人或其他组织</w:t>
            </w:r>
          </w:p>
        </w:tc>
        <w:tc>
          <w:tcPr>
            <w:tcW w:w="1320" w:type="dxa"/>
            <w:vMerge w:val="restart"/>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vMerge w:val="continue"/>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58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rFonts w:hint="eastAsia" w:ascii="黑体" w:hAnsi="宋体" w:eastAsia="黑体" w:cs="黑体"/>
                <w:sz w:val="19"/>
                <w:szCs w:val="19"/>
              </w:rPr>
            </w:pPr>
            <w:r>
              <w:rPr>
                <w:rFonts w:hint="eastAsia" w:ascii="黑体" w:hAnsi="宋体" w:eastAsia="黑体" w:cs="黑体"/>
                <w:sz w:val="19"/>
                <w:szCs w:val="19"/>
              </w:rPr>
              <w:t>商业</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sz w:val="19"/>
                <w:szCs w:val="19"/>
              </w:rPr>
            </w:pPr>
            <w:r>
              <w:rPr>
                <w:rFonts w:hint="eastAsia" w:ascii="黑体" w:hAnsi="宋体" w:eastAsia="黑体" w:cs="黑体"/>
                <w:sz w:val="19"/>
                <w:szCs w:val="19"/>
              </w:rPr>
              <w:t>企业</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rFonts w:hint="eastAsia" w:ascii="黑体" w:hAnsi="宋体" w:eastAsia="黑体" w:cs="黑体"/>
                <w:sz w:val="19"/>
                <w:szCs w:val="19"/>
              </w:rPr>
            </w:pPr>
            <w:r>
              <w:rPr>
                <w:rFonts w:hint="eastAsia" w:ascii="黑体" w:hAnsi="宋体" w:eastAsia="黑体" w:cs="黑体"/>
                <w:sz w:val="19"/>
                <w:szCs w:val="19"/>
              </w:rPr>
              <w:t>科研</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sz w:val="19"/>
                <w:szCs w:val="19"/>
              </w:rPr>
            </w:pPr>
            <w:r>
              <w:rPr>
                <w:rFonts w:hint="eastAsia" w:ascii="黑体" w:hAnsi="宋体" w:eastAsia="黑体" w:cs="黑体"/>
                <w:sz w:val="19"/>
                <w:szCs w:val="19"/>
              </w:rPr>
              <w:t>机构</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rFonts w:hint="eastAsia" w:ascii="黑体" w:hAnsi="宋体" w:eastAsia="黑体" w:cs="黑体"/>
                <w:sz w:val="19"/>
                <w:szCs w:val="19"/>
              </w:rPr>
            </w:pPr>
            <w:r>
              <w:rPr>
                <w:rFonts w:hint="eastAsia" w:ascii="黑体" w:hAnsi="宋体" w:eastAsia="黑体" w:cs="黑体"/>
                <w:sz w:val="19"/>
                <w:szCs w:val="19"/>
              </w:rPr>
              <w:t>社会公</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sz w:val="19"/>
                <w:szCs w:val="19"/>
              </w:rPr>
            </w:pPr>
            <w:r>
              <w:rPr>
                <w:rFonts w:hint="eastAsia" w:ascii="黑体" w:hAnsi="宋体" w:eastAsia="黑体" w:cs="黑体"/>
                <w:sz w:val="19"/>
                <w:szCs w:val="19"/>
              </w:rPr>
              <w:t>益组织</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rFonts w:hint="eastAsia" w:ascii="黑体" w:hAnsi="宋体" w:eastAsia="黑体" w:cs="黑体"/>
                <w:sz w:val="19"/>
                <w:szCs w:val="19"/>
              </w:rPr>
            </w:pPr>
            <w:r>
              <w:rPr>
                <w:rFonts w:hint="eastAsia" w:ascii="黑体" w:hAnsi="宋体" w:eastAsia="黑体" w:cs="黑体"/>
                <w:sz w:val="19"/>
                <w:szCs w:val="19"/>
              </w:rPr>
              <w:t>法律服</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sz w:val="19"/>
                <w:szCs w:val="19"/>
              </w:rPr>
            </w:pPr>
            <w:r>
              <w:rPr>
                <w:rFonts w:hint="eastAsia" w:ascii="黑体" w:hAnsi="宋体" w:eastAsia="黑体" w:cs="黑体"/>
                <w:sz w:val="19"/>
                <w:szCs w:val="19"/>
              </w:rPr>
              <w:t>务机构</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8" w:right="-130"/>
              <w:jc w:val="center"/>
              <w:rPr>
                <w:sz w:val="19"/>
                <w:szCs w:val="19"/>
              </w:rPr>
            </w:pPr>
            <w:r>
              <w:rPr>
                <w:rFonts w:hint="eastAsia" w:ascii="黑体" w:hAnsi="宋体" w:eastAsia="黑体" w:cs="黑体"/>
                <w:sz w:val="19"/>
                <w:szCs w:val="19"/>
              </w:rPr>
              <w:t>其他</w:t>
            </w:r>
          </w:p>
        </w:tc>
        <w:tc>
          <w:tcPr>
            <w:tcW w:w="1320" w:type="dxa"/>
            <w:vMerge w:val="continue"/>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一、本年新收政府信息公开申请数量</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二、上年结转政府信息公开申请数量</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restart"/>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三、本年度办理结果</w:t>
            </w:r>
          </w:p>
        </w:tc>
        <w:tc>
          <w:tcPr>
            <w:tcW w:w="4383"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（一）予以公开</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4383"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0" w:name="_Hlk66973981"/>
            <w:bookmarkEnd w:id="0"/>
            <w:r>
              <w:rPr>
                <w:rFonts w:hint="eastAsia" w:ascii="黑体" w:hAnsi="宋体" w:eastAsia="黑体" w:cs="黑体"/>
                <w:sz w:val="19"/>
                <w:szCs w:val="19"/>
              </w:rPr>
              <w:t>（二）部分公开（区分处理的，只计这一情形，不计其他情形）</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rPr>
                <w:sz w:val="19"/>
                <w:szCs w:val="19"/>
              </w:rPr>
            </w:pPr>
            <w:r>
              <w:rPr>
                <w:rFonts w:hint="eastAsia" w:ascii="黑体" w:hAnsi="宋体" w:eastAsia="黑体" w:cs="黑体"/>
                <w:sz w:val="19"/>
                <w:szCs w:val="19"/>
              </w:rPr>
              <w:t>（三）不予公开</w:t>
            </w: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1.属于国家秘密</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1" w:name="_Hlk66974104"/>
            <w:bookmarkEnd w:id="1"/>
            <w:r>
              <w:rPr>
                <w:rFonts w:hint="eastAsia" w:ascii="仿宋_GB2312" w:eastAsia="仿宋_GB2312" w:cs="仿宋_GB2312"/>
                <w:sz w:val="19"/>
                <w:szCs w:val="19"/>
              </w:rPr>
              <w:t>2.其他法律行政法规禁止公开</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3.危及“三安全一稳定”</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2" w:name="_Hlk66974290"/>
            <w:bookmarkEnd w:id="2"/>
            <w:r>
              <w:rPr>
                <w:rFonts w:hint="eastAsia" w:ascii="仿宋_GB2312" w:eastAsia="仿宋_GB2312" w:cs="仿宋_GB2312"/>
                <w:sz w:val="19"/>
                <w:szCs w:val="19"/>
              </w:rPr>
              <w:t>4.保护第三方合法权益</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5.属于三类内部事务信息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3" w:name="_Hlk66974555"/>
            <w:bookmarkEnd w:id="3"/>
            <w:r>
              <w:rPr>
                <w:rFonts w:hint="eastAsia" w:ascii="仿宋_GB2312" w:eastAsia="仿宋_GB2312" w:cs="仿宋_GB2312"/>
                <w:sz w:val="19"/>
                <w:szCs w:val="19"/>
              </w:rPr>
              <w:t>6.属于四类过程性信息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7.属于行政执法案卷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4" w:name="_Hlk66975211"/>
            <w:bookmarkEnd w:id="4"/>
            <w:r>
              <w:rPr>
                <w:rFonts w:hint="eastAsia" w:ascii="仿宋_GB2312" w:eastAsia="仿宋_GB2312" w:cs="仿宋_GB2312"/>
                <w:sz w:val="19"/>
                <w:szCs w:val="19"/>
              </w:rPr>
              <w:t>8.属于行政查询事项</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rPr>
                <w:sz w:val="19"/>
                <w:szCs w:val="19"/>
              </w:rPr>
            </w:pPr>
            <w:r>
              <w:rPr>
                <w:rFonts w:hint="eastAsia" w:ascii="黑体" w:hAnsi="宋体" w:eastAsia="黑体" w:cs="黑体"/>
                <w:sz w:val="19"/>
                <w:szCs w:val="19"/>
              </w:rPr>
              <w:t>（四）无法提供</w:t>
            </w: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1.本机关不掌握相关政府信息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5" w:name="_Hlk66975392"/>
            <w:bookmarkEnd w:id="5"/>
            <w:r>
              <w:rPr>
                <w:rFonts w:hint="eastAsia" w:ascii="仿宋_GB2312" w:eastAsia="仿宋_GB2312" w:cs="仿宋_GB2312"/>
                <w:sz w:val="19"/>
                <w:szCs w:val="19"/>
              </w:rPr>
              <w:t>2.没有现成信息需要另行制作</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6" w:name="_Hlk66975466"/>
            <w:bookmarkEnd w:id="6"/>
            <w:r>
              <w:rPr>
                <w:rFonts w:hint="eastAsia" w:ascii="仿宋_GB2312" w:eastAsia="仿宋_GB2312" w:cs="仿宋_GB2312"/>
                <w:sz w:val="19"/>
                <w:szCs w:val="19"/>
              </w:rPr>
              <w:t>3.补正后申请内容仍不明确</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rPr>
                <w:sz w:val="19"/>
                <w:szCs w:val="19"/>
              </w:rPr>
            </w:pPr>
            <w:r>
              <w:rPr>
                <w:rFonts w:hint="eastAsia" w:ascii="黑体" w:hAnsi="宋体" w:eastAsia="黑体" w:cs="黑体"/>
                <w:sz w:val="19"/>
                <w:szCs w:val="19"/>
              </w:rPr>
              <w:t>（五）不予处理</w:t>
            </w: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7" w:name="_Hlk66975537"/>
            <w:bookmarkEnd w:id="7"/>
            <w:r>
              <w:rPr>
                <w:rFonts w:hint="eastAsia" w:ascii="仿宋_GB2312" w:eastAsia="仿宋_GB2312" w:cs="仿宋_GB2312"/>
                <w:sz w:val="19"/>
                <w:szCs w:val="19"/>
              </w:rPr>
              <w:t>1.信访举报投诉类申请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2.重复申请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3.要求提供公开出版物</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4.无正当理由大量反复申请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5.要求行政机关确认或重新</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16"/>
              <w:rPr>
                <w:sz w:val="19"/>
                <w:szCs w:val="19"/>
              </w:rPr>
            </w:pPr>
            <w:r>
              <w:rPr>
                <w:rFonts w:hint="eastAsia" w:ascii="仿宋_GB2312" w:eastAsia="仿宋_GB2312" w:cs="仿宋_GB2312"/>
                <w:sz w:val="19"/>
                <w:szCs w:val="19"/>
              </w:rPr>
              <w:t>出具已获取信息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（六）其他处理</w:t>
            </w:r>
          </w:p>
        </w:tc>
        <w:tc>
          <w:tcPr>
            <w:tcW w:w="2966"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1.申请人无正当理由逾期不补正、行政机关不再处理其政府信息公开申请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2.申请人逾期未按收费通知要求缴纳费用、行政机关不再处理其政府信息公开申请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3.其他</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4383"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（七）总计</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tcBorders>
              <w:top w:val="single" w:color="000000" w:sz="6" w:space="0"/>
              <w:left w:val="single" w:color="000000" w:sz="8" w:space="0"/>
              <w:bottom w:val="single" w:color="000000" w:sz="8"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四、结转下年度继续办理</w:t>
            </w:r>
          </w:p>
        </w:tc>
        <w:tc>
          <w:tcPr>
            <w:tcW w:w="589"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8" w:space="0"/>
              <w:right w:val="single" w:color="000000" w:sz="8" w:space="0"/>
            </w:tcBorders>
            <w:noWrap w:val="0"/>
            <w:tcMar>
              <w:top w:w="0" w:type="dxa"/>
              <w:left w:w="115" w:type="dxa"/>
              <w:bottom w:w="0" w:type="dxa"/>
              <w:right w:w="115" w:type="dxa"/>
            </w:tcMar>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bl>
    <w:p>
      <w:pPr>
        <w:keepNext w:val="0"/>
        <w:keepLines w:val="0"/>
        <w:pageBreakBefore w:val="0"/>
        <w:numPr>
          <w:ilvl w:val="0"/>
          <w:numId w:val="1"/>
        </w:numPr>
        <w:kinsoku/>
        <w:overflowPunct/>
        <w:topLinePunct w:val="0"/>
        <w:autoSpaceDE/>
        <w:autoSpaceDN/>
        <w:bidi w:val="0"/>
        <w:adjustRightInd/>
        <w:snapToGrid/>
        <w:spacing w:line="520" w:lineRule="exact"/>
        <w:ind w:left="0" w:leftChars="0" w:firstLine="640" w:firstLineChars="200"/>
        <w:textAlignment w:val="auto"/>
        <w:rPr>
          <w:rFonts w:hint="eastAsia" w:ascii="黑体" w:hAnsi="黑体" w:eastAsia="黑体" w:cs="黑体"/>
          <w:b w:val="0"/>
          <w:bCs/>
          <w:i w:val="0"/>
          <w:caps w:val="0"/>
          <w:color w:val="333333"/>
          <w:spacing w:val="0"/>
          <w:kern w:val="0"/>
          <w:sz w:val="32"/>
          <w:szCs w:val="32"/>
          <w:shd w:val="clear" w:color="auto" w:fill="FFFFFF"/>
          <w:lang w:val="en-US" w:eastAsia="zh-CN" w:bidi="ar"/>
        </w:rPr>
      </w:pPr>
      <w:r>
        <w:rPr>
          <w:rFonts w:hint="eastAsia" w:ascii="黑体" w:hAnsi="黑体" w:eastAsia="黑体" w:cs="黑体"/>
          <w:b w:val="0"/>
          <w:bCs/>
          <w:i w:val="0"/>
          <w:caps w:val="0"/>
          <w:color w:val="333333"/>
          <w:spacing w:val="0"/>
          <w:kern w:val="0"/>
          <w:sz w:val="32"/>
          <w:szCs w:val="32"/>
          <w:shd w:val="clear" w:color="auto" w:fill="FFFFFF"/>
          <w:lang w:val="en-US" w:eastAsia="zh-CN" w:bidi="ar"/>
        </w:rPr>
        <w:t>政府信息公开行政复议、行政诉讼情况</w:t>
      </w:r>
    </w:p>
    <w:tbl>
      <w:tblPr>
        <w:tblStyle w:val="7"/>
        <w:tblpPr w:leftFromText="180" w:rightFromText="180" w:vertAnchor="text" w:horzAnchor="page" w:tblpX="1527" w:tblpY="444"/>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24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trPr>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黑体" w:hAnsi="黑体" w:eastAsia="黑体" w:cs="黑体"/>
          <w:b w:val="0"/>
          <w:bCs/>
          <w:i w:val="0"/>
          <w:caps w:val="0"/>
          <w:color w:val="333333"/>
          <w:spacing w:val="0"/>
          <w:kern w:val="0"/>
          <w:sz w:val="32"/>
          <w:szCs w:val="32"/>
          <w:shd w:val="clear" w:color="auto" w:fill="FFFFFF"/>
          <w:lang w:val="en-US" w:eastAsia="zh-CN" w:bidi="ar"/>
        </w:rPr>
      </w:pPr>
    </w:p>
    <w:p>
      <w:pPr>
        <w:pStyle w:val="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left="0" w:leftChars="0" w:right="0" w:firstLine="640" w:firstLineChars="200"/>
        <w:jc w:val="both"/>
        <w:textAlignment w:val="auto"/>
        <w:rPr>
          <w:rFonts w:hint="eastAsia" w:ascii="黑体" w:hAnsi="黑体" w:eastAsia="黑体" w:cs="黑体"/>
          <w:b w:val="0"/>
          <w:bCs/>
          <w:i w:val="0"/>
          <w:caps w:val="0"/>
          <w:color w:val="333333"/>
          <w:spacing w:val="0"/>
          <w:kern w:val="0"/>
          <w:sz w:val="32"/>
          <w:szCs w:val="32"/>
          <w:shd w:val="clear" w:color="auto" w:fill="FFFFFF"/>
          <w:lang w:val="en-US" w:eastAsia="zh-CN" w:bidi="ar"/>
        </w:rPr>
      </w:pPr>
      <w:r>
        <w:rPr>
          <w:rFonts w:hint="eastAsia" w:ascii="黑体" w:hAnsi="黑体" w:eastAsia="黑体" w:cs="黑体"/>
          <w:b w:val="0"/>
          <w:bCs/>
          <w:i w:val="0"/>
          <w:caps w:val="0"/>
          <w:color w:val="333333"/>
          <w:spacing w:val="0"/>
          <w:kern w:val="0"/>
          <w:sz w:val="32"/>
          <w:szCs w:val="32"/>
          <w:shd w:val="clear" w:color="auto" w:fill="FFFFFF"/>
          <w:lang w:val="en-US" w:eastAsia="zh-CN" w:bidi="ar"/>
        </w:rPr>
        <w:t>存在的主要问题及改进情况</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2025年，市退役军人局政府信</w:t>
      </w:r>
      <w:bookmarkStart w:id="8" w:name="_GoBack"/>
      <w:bookmarkEnd w:id="8"/>
      <w:r>
        <w:rPr>
          <w:rFonts w:hint="eastAsia" w:ascii="仿宋_GB2312" w:hAnsi="仿宋_GB2312" w:eastAsia="仿宋_GB2312" w:cs="仿宋_GB2312"/>
          <w:color w:val="000000"/>
          <w:kern w:val="0"/>
          <w:sz w:val="32"/>
          <w:szCs w:val="32"/>
          <w:shd w:val="clear" w:color="auto" w:fill="FFFFFF"/>
          <w:lang w:val="en-US" w:eastAsia="zh-CN" w:bidi="ar-SA"/>
        </w:rPr>
        <w:t>息公开工作取得了一定成绩，但对照标准要求，还存在差距和不足，主要体现在：</w:t>
      </w:r>
      <w:r>
        <w:rPr>
          <w:rFonts w:hint="eastAsia" w:ascii="仿宋_GB2312" w:hAnsi="仿宋_GB2312" w:eastAsia="仿宋_GB2312" w:cs="仿宋_GB2312"/>
          <w:b/>
          <w:bCs/>
          <w:color w:val="000000"/>
          <w:kern w:val="0"/>
          <w:sz w:val="32"/>
          <w:szCs w:val="32"/>
          <w:shd w:val="clear" w:color="auto" w:fill="FFFFFF"/>
          <w:lang w:val="en-US" w:eastAsia="zh-CN" w:bidi="ar-SA"/>
        </w:rPr>
        <w:t>一是</w:t>
      </w:r>
      <w:r>
        <w:rPr>
          <w:rFonts w:hint="eastAsia" w:ascii="仿宋_GB2312" w:hAnsi="仿宋_GB2312" w:eastAsia="仿宋_GB2312" w:cs="仿宋_GB2312"/>
          <w:color w:val="000000"/>
          <w:kern w:val="0"/>
          <w:sz w:val="32"/>
          <w:szCs w:val="32"/>
          <w:shd w:val="clear" w:color="auto" w:fill="FFFFFF"/>
          <w:lang w:val="en-US" w:eastAsia="zh-CN" w:bidi="ar-SA"/>
        </w:rPr>
        <w:t>公开内容精准性不足、时效性滞后。当前公开信息多为常规工作动态，针对性欠缺，对退役军人关注的就业创业扶持、优抚待遇落实等重点领域专项信息供给不足，难以满足差异化需求；部分政策调整、业务优化等关键信息发布滞后，与群众即时性信息需求存在差距；</w:t>
      </w:r>
      <w:r>
        <w:rPr>
          <w:rFonts w:hint="eastAsia" w:ascii="仿宋_GB2312" w:hAnsi="仿宋_GB2312" w:eastAsia="仿宋_GB2312" w:cs="仿宋_GB2312"/>
          <w:b/>
          <w:bCs/>
          <w:color w:val="000000"/>
          <w:kern w:val="0"/>
          <w:sz w:val="32"/>
          <w:szCs w:val="32"/>
          <w:shd w:val="clear" w:color="auto" w:fill="FFFFFF"/>
          <w:lang w:val="en-US" w:eastAsia="zh-CN" w:bidi="ar-SA"/>
        </w:rPr>
        <w:t>二是</w:t>
      </w:r>
      <w:r>
        <w:rPr>
          <w:rFonts w:hint="eastAsia" w:ascii="仿宋_GB2312" w:hAnsi="仿宋_GB2312" w:eastAsia="仿宋_GB2312" w:cs="仿宋_GB2312"/>
          <w:color w:val="000000"/>
          <w:kern w:val="0"/>
          <w:sz w:val="32"/>
          <w:szCs w:val="32"/>
          <w:shd w:val="clear" w:color="auto" w:fill="FFFFFF"/>
          <w:lang w:val="en-US" w:eastAsia="zh-CN" w:bidi="ar-SA"/>
        </w:rPr>
        <w:t>公开渠道适配性差、传播效能不足。受平台资源、运维力量等限制，信息公开主要依赖官方网站传统渠道，短视频、退役军人服务站线下专栏等贴近群众的多元渠道运用不充分；</w:t>
      </w:r>
      <w:r>
        <w:rPr>
          <w:rFonts w:hint="eastAsia" w:ascii="仿宋_GB2312" w:hAnsi="仿宋_GB2312" w:eastAsia="仿宋_GB2312" w:cs="仿宋_GB2312"/>
          <w:b/>
          <w:bCs/>
          <w:color w:val="000000"/>
          <w:kern w:val="0"/>
          <w:sz w:val="32"/>
          <w:szCs w:val="32"/>
          <w:shd w:val="clear" w:color="auto" w:fill="FFFFFF"/>
          <w:lang w:val="en-US" w:eastAsia="zh-CN" w:bidi="ar-SA"/>
        </w:rPr>
        <w:t>三是</w:t>
      </w:r>
      <w:r>
        <w:rPr>
          <w:rFonts w:hint="eastAsia" w:ascii="仿宋_GB2312" w:hAnsi="仿宋_GB2312" w:eastAsia="仿宋_GB2312" w:cs="仿宋_GB2312"/>
          <w:color w:val="000000"/>
          <w:kern w:val="0"/>
          <w:sz w:val="32"/>
          <w:szCs w:val="32"/>
          <w:shd w:val="clear" w:color="auto" w:fill="FFFFFF"/>
          <w:lang w:val="en-US" w:eastAsia="zh-CN" w:bidi="ar-SA"/>
        </w:rPr>
        <w:t>工作机制不健全、队伍能力有短板。政务公开政策法规培训缺乏常态化，部分工作人员对公开范围、时限要求、保密审查等规范掌握不扎实；责任分工不够细化，人员主动公开意识淡薄，专业能力难以适应高质量政务公开需求。</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针对上述问题，下一步，滕州市退役军人事务局将坚持问题导向、目标导向，聚焦整改提升，重点抓好三方面工作：</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一是优化内容供给。建立政务公开内容清单化管理机制，细化退役军人安置、优抚、就业、维权等核心领域公开条目，增强信息精准性；严格落实更新时限，建立重点信息“即时发布、动态更新”机制，确保关键信息第一时间公开，提升公开实效性。</w:t>
      </w:r>
    </w:p>
    <w:p>
      <w:pPr>
        <w:keepNext w:val="0"/>
        <w:keepLines w:val="0"/>
        <w:widowControl/>
        <w:suppressLineNumbers w:val="0"/>
        <w:ind w:firstLine="640" w:firstLineChars="200"/>
        <w:jc w:val="left"/>
        <w:rPr>
          <w:rFonts w:hint="eastAsia" w:ascii="仿宋_GB2312" w:hAnsi="仿宋_GB2312" w:eastAsia="仿宋_GB2312" w:cs="仿宋_GB2312"/>
          <w:color w:val="000000"/>
          <w:kern w:val="0"/>
          <w:sz w:val="32"/>
          <w:szCs w:val="32"/>
          <w:shd w:val="clear" w:color="auto" w:fill="FFFFFF"/>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二是创新渠道载体。整合线上线下资源，巩固官网、政务新媒体等现有渠道，拓展社区、退役军人服务站等线下阵地，构建多元联动公开体系；优化线上互动功能，开通咨询专线和留言通道，健全快速回应机制，提升政民互动质效。</w:t>
      </w:r>
    </w:p>
    <w:p>
      <w:pPr>
        <w:keepNext w:val="0"/>
        <w:keepLines w:val="0"/>
        <w:widowControl/>
        <w:suppressLineNumbers w:val="0"/>
        <w:ind w:firstLine="640" w:firstLineChars="200"/>
        <w:jc w:val="left"/>
        <w:rPr>
          <w:rFonts w:hint="eastAsia" w:ascii="仿宋_GB2312" w:hAnsi="仿宋_GB2312" w:eastAsia="仿宋_GB2312" w:cs="仿宋_GB2312"/>
          <w:color w:val="0000FF"/>
          <w:kern w:val="2"/>
          <w:sz w:val="32"/>
          <w:szCs w:val="32"/>
          <w:lang w:val="en-US" w:eastAsia="zh-CN" w:bidi="ar-SA"/>
        </w:rPr>
      </w:pPr>
      <w:r>
        <w:rPr>
          <w:rFonts w:hint="eastAsia" w:ascii="仿宋_GB2312" w:hAnsi="仿宋_GB2312" w:eastAsia="仿宋_GB2312" w:cs="仿宋_GB2312"/>
          <w:color w:val="000000"/>
          <w:kern w:val="0"/>
          <w:sz w:val="32"/>
          <w:szCs w:val="32"/>
          <w:shd w:val="clear" w:color="auto" w:fill="FFFFFF"/>
          <w:lang w:val="en-US" w:eastAsia="zh-CN" w:bidi="ar-SA"/>
        </w:rPr>
        <w:t>三是强化机制与队伍建设。建立常态化培训机制，提升工作人员政策理解和业务操作能力；细化各环节责任分工，健全内部协作机制，形成工作合力；加强督导检查，建立考核评价机制，推动政务公开工作规范化、标准化开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0" w:beforeAutospacing="0" w:after="0" w:afterAutospacing="0" w:line="520" w:lineRule="exact"/>
        <w:ind w:right="0" w:firstLine="640" w:firstLineChars="200"/>
        <w:jc w:val="both"/>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黑体" w:hAnsi="黑体" w:eastAsia="黑体" w:cs="黑体"/>
          <w:b w:val="0"/>
          <w:bCs/>
          <w:i w:val="0"/>
          <w:caps w:val="0"/>
          <w:color w:val="333333"/>
          <w:spacing w:val="0"/>
          <w:kern w:val="0"/>
          <w:sz w:val="32"/>
          <w:szCs w:val="32"/>
          <w:shd w:val="clear" w:color="auto" w:fill="FFFFFF"/>
          <w:lang w:val="en-US" w:eastAsia="zh-CN" w:bidi="ar"/>
        </w:rPr>
        <w:t>六、其他需要报告的事项</w:t>
      </w:r>
    </w:p>
    <w:p>
      <w:pPr>
        <w:pStyle w:val="6"/>
        <w:keepNext w:val="0"/>
        <w:keepLines w:val="0"/>
        <w:pageBreakBefore w:val="0"/>
        <w:widowControl/>
        <w:shd w:val="clear" w:color="auto" w:fill="FFFFFF"/>
        <w:kinsoku/>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收取信息处理费</w:t>
      </w:r>
      <w:r>
        <w:rPr>
          <w:rFonts w:hint="eastAsia" w:ascii="仿宋_GB2312" w:hAnsi="仿宋_GB2312" w:eastAsia="仿宋_GB2312" w:cs="仿宋_GB2312"/>
          <w:color w:val="000000"/>
          <w:sz w:val="32"/>
          <w:szCs w:val="32"/>
          <w:shd w:val="clear" w:color="auto" w:fill="FFFFFF"/>
          <w:lang w:eastAsia="zh-CN"/>
        </w:rPr>
        <w:t>情况</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年度，本单位未收取信息处理费</w:t>
      </w:r>
      <w:r>
        <w:rPr>
          <w:rFonts w:hint="eastAsia" w:ascii="仿宋_GB2312" w:hAnsi="仿宋_GB2312" w:eastAsia="仿宋_GB2312" w:cs="仿宋_GB2312"/>
          <w:color w:val="000000"/>
          <w:sz w:val="32"/>
          <w:szCs w:val="32"/>
          <w:shd w:val="clear" w:color="auto" w:fill="FFFFFF"/>
          <w:lang w:eastAsia="zh-CN"/>
        </w:rPr>
        <w:t>。</w:t>
      </w:r>
    </w:p>
    <w:p>
      <w:pPr>
        <w:pStyle w:val="6"/>
        <w:keepNext w:val="0"/>
        <w:keepLines w:val="0"/>
        <w:pageBreakBefore w:val="0"/>
        <w:widowControl/>
        <w:shd w:val="clear" w:color="auto" w:fill="FFFFFF"/>
        <w:kinsoku/>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2.认真落实滕州市政府办公室制定的202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年度政务公开工作要点，扎实做好信息公开工作。</w:t>
      </w:r>
    </w:p>
    <w:p>
      <w:pPr>
        <w:pStyle w:val="6"/>
        <w:keepNext w:val="0"/>
        <w:keepLines w:val="0"/>
        <w:pageBreakBefore w:val="0"/>
        <w:widowControl/>
        <w:shd w:val="clear" w:color="auto" w:fill="FFFFFF"/>
        <w:kinsoku/>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lang w:val="en-US" w:eastAsia="zh-CN"/>
        </w:rPr>
        <w:t>3.</w:t>
      </w:r>
      <w:r>
        <w:rPr>
          <w:rFonts w:hint="eastAsia" w:ascii="仿宋_GB2312" w:hAnsi="仿宋_GB2312" w:eastAsia="仿宋_GB2312" w:cs="仿宋_GB2312"/>
          <w:color w:val="000000"/>
          <w:sz w:val="32"/>
          <w:szCs w:val="32"/>
          <w:shd w:val="clear" w:color="auto" w:fill="FFFFFF"/>
        </w:rPr>
        <w:t>人大代表建议和政协提案办理</w:t>
      </w:r>
      <w:r>
        <w:rPr>
          <w:rFonts w:hint="eastAsia" w:ascii="仿宋_GB2312" w:hAnsi="仿宋_GB2312" w:eastAsia="仿宋_GB2312" w:cs="仿宋_GB2312"/>
          <w:color w:val="000000"/>
          <w:sz w:val="32"/>
          <w:szCs w:val="32"/>
          <w:shd w:val="clear" w:color="auto" w:fill="FFFFFF"/>
          <w:lang w:eastAsia="zh-CN"/>
        </w:rPr>
        <w:t>情况</w:t>
      </w:r>
      <w:r>
        <w:rPr>
          <w:rFonts w:hint="eastAsia" w:ascii="仿宋_GB2312" w:hAnsi="仿宋_GB2312" w:eastAsia="仿宋_GB2312" w:cs="仿宋_GB2312"/>
          <w:color w:val="000000"/>
          <w:sz w:val="32"/>
          <w:szCs w:val="32"/>
          <w:shd w:val="clear" w:color="auto" w:fill="FFFFFF"/>
        </w:rPr>
        <w:t>。202</w:t>
      </w:r>
      <w:r>
        <w:rPr>
          <w:rFonts w:hint="eastAsia" w:ascii="仿宋_GB2312" w:hAnsi="仿宋_GB2312" w:eastAsia="仿宋_GB2312" w:cs="仿宋_GB2312"/>
          <w:color w:val="000000"/>
          <w:sz w:val="32"/>
          <w:szCs w:val="32"/>
          <w:shd w:val="clear" w:color="auto" w:fill="FFFFFF"/>
          <w:lang w:val="en-US" w:eastAsia="zh-CN"/>
        </w:rPr>
        <w:t>5</w:t>
      </w:r>
      <w:r>
        <w:rPr>
          <w:rFonts w:hint="eastAsia" w:ascii="仿宋_GB2312" w:hAnsi="仿宋_GB2312" w:eastAsia="仿宋_GB2312" w:cs="仿宋_GB2312"/>
          <w:color w:val="000000"/>
          <w:sz w:val="32"/>
          <w:szCs w:val="32"/>
          <w:shd w:val="clear" w:color="auto" w:fill="FFFFFF"/>
        </w:rPr>
        <w:t>年滕州市退役军人事务局共办理建议提案</w:t>
      </w:r>
      <w:r>
        <w:rPr>
          <w:rFonts w:hint="eastAsia" w:ascii="仿宋_GB2312" w:hAnsi="仿宋_GB2312" w:eastAsia="仿宋_GB2312" w:cs="仿宋_GB2312"/>
          <w:color w:val="000000"/>
          <w:sz w:val="32"/>
          <w:szCs w:val="32"/>
          <w:shd w:val="clear" w:color="auto" w:fill="FFFFFF"/>
          <w:lang w:val="en-US" w:eastAsia="zh-CN"/>
        </w:rPr>
        <w:t>1</w:t>
      </w:r>
      <w:r>
        <w:rPr>
          <w:rFonts w:hint="eastAsia" w:ascii="仿宋_GB2312" w:hAnsi="仿宋_GB2312" w:eastAsia="仿宋_GB2312" w:cs="仿宋_GB2312"/>
          <w:color w:val="000000"/>
          <w:sz w:val="32"/>
          <w:szCs w:val="32"/>
          <w:shd w:val="clear" w:color="auto" w:fill="FFFFFF"/>
        </w:rPr>
        <w:t>件，主要涉及退役军人</w:t>
      </w:r>
      <w:r>
        <w:rPr>
          <w:rFonts w:hint="eastAsia" w:ascii="仿宋_GB2312" w:hAnsi="仿宋_GB2312" w:eastAsia="仿宋_GB2312" w:cs="仿宋_GB2312"/>
          <w:color w:val="000000"/>
          <w:sz w:val="32"/>
          <w:szCs w:val="32"/>
          <w:shd w:val="clear" w:color="auto" w:fill="FFFFFF"/>
          <w:lang w:val="en-US" w:eastAsia="zh-CN"/>
        </w:rPr>
        <w:t>优抚</w:t>
      </w:r>
      <w:r>
        <w:rPr>
          <w:rFonts w:hint="eastAsia" w:ascii="仿宋_GB2312" w:hAnsi="仿宋_GB2312" w:eastAsia="仿宋_GB2312" w:cs="仿宋_GB2312"/>
          <w:color w:val="000000"/>
          <w:sz w:val="32"/>
          <w:szCs w:val="32"/>
          <w:shd w:val="clear" w:color="auto" w:fill="FFFFFF"/>
        </w:rPr>
        <w:t>纪念褒扬等方面</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答复全文及办理情况总结已在网站“建议提案”专栏公开。</w:t>
      </w:r>
    </w:p>
    <w:p>
      <w:pPr>
        <w:pStyle w:val="6"/>
        <w:keepNext w:val="0"/>
        <w:keepLines w:val="0"/>
        <w:pageBreakBefore w:val="0"/>
        <w:widowControl/>
        <w:shd w:val="clear" w:color="auto" w:fill="FFFFFF"/>
        <w:kinsoku/>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4.开展政务公开创新方面。深化重点领域信息公开，加大</w:t>
      </w:r>
      <w:r>
        <w:rPr>
          <w:rFonts w:hint="eastAsia" w:ascii="仿宋_GB2312" w:hAnsi="仿宋_GB2312" w:eastAsia="仿宋_GB2312" w:cs="仿宋_GB2312"/>
          <w:color w:val="000000"/>
          <w:sz w:val="32"/>
          <w:szCs w:val="32"/>
          <w:shd w:val="clear" w:color="auto" w:fill="FFFFFF"/>
          <w:lang w:val="en-US" w:eastAsia="zh-CN"/>
        </w:rPr>
        <w:t>退役军人事务</w:t>
      </w:r>
      <w:r>
        <w:rPr>
          <w:rFonts w:hint="eastAsia" w:ascii="仿宋_GB2312" w:hAnsi="仿宋_GB2312" w:eastAsia="仿宋_GB2312" w:cs="仿宋_GB2312"/>
          <w:color w:val="000000"/>
          <w:sz w:val="32"/>
          <w:szCs w:val="32"/>
          <w:shd w:val="clear" w:color="auto" w:fill="FFFFFF"/>
        </w:rPr>
        <w:t>信息公开力度，建立健全政府信息依申请公开转主动公开机制，畅通依申请公开受理渠道，依法保障公众合理的信息需求。</w:t>
      </w:r>
    </w:p>
    <w:p>
      <w:pPr>
        <w:pStyle w:val="6"/>
        <w:keepNext w:val="0"/>
        <w:keepLines w:val="0"/>
        <w:pageBreakBefore w:val="0"/>
        <w:widowControl/>
        <w:shd w:val="clear" w:color="auto" w:fill="FFFFFF"/>
        <w:kinsoku/>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lang w:eastAsia="zh-CN"/>
        </w:rPr>
      </w:pPr>
      <w:r>
        <w:rPr>
          <w:rFonts w:hint="eastAsia" w:ascii="仿宋_GB2312" w:hAnsi="仿宋_GB2312" w:eastAsia="仿宋_GB2312" w:cs="仿宋_GB2312"/>
          <w:color w:val="000000"/>
          <w:sz w:val="32"/>
          <w:szCs w:val="32"/>
          <w:shd w:val="clear" w:color="auto" w:fill="FFFFFF"/>
        </w:rPr>
        <w:t>5.本单位政府信息公开工作年度报告数据统计需要说明的事项：无</w:t>
      </w:r>
      <w:r>
        <w:rPr>
          <w:rFonts w:hint="eastAsia" w:ascii="仿宋_GB2312" w:hAnsi="仿宋_GB2312" w:eastAsia="仿宋_GB2312" w:cs="仿宋_GB2312"/>
          <w:color w:val="000000"/>
          <w:sz w:val="32"/>
          <w:szCs w:val="32"/>
          <w:shd w:val="clear" w:color="auto" w:fill="FFFFFF"/>
          <w:lang w:eastAsia="zh-CN"/>
        </w:rPr>
        <w:t>。</w:t>
      </w:r>
    </w:p>
    <w:p>
      <w:pPr>
        <w:pStyle w:val="6"/>
        <w:keepNext w:val="0"/>
        <w:keepLines w:val="0"/>
        <w:pageBreakBefore w:val="0"/>
        <w:widowControl/>
        <w:shd w:val="clear" w:color="auto" w:fill="FFFFFF"/>
        <w:kinsoku/>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6.其他有关文件专门要求通过政府信息公开工作年度报告予以报告的事项：无</w:t>
      </w:r>
      <w:r>
        <w:rPr>
          <w:rFonts w:hint="eastAsia" w:ascii="仿宋_GB2312" w:hAnsi="仿宋_GB2312" w:eastAsia="仿宋_GB2312" w:cs="仿宋_GB2312"/>
          <w:color w:val="000000"/>
          <w:sz w:val="32"/>
          <w:szCs w:val="32"/>
          <w:shd w:val="clear" w:color="auto" w:fill="FFFFFF"/>
          <w:lang w:eastAsia="zh-CN"/>
        </w:rPr>
        <w:t>。</w:t>
      </w:r>
    </w:p>
    <w:p>
      <w:pPr>
        <w:pStyle w:val="6"/>
        <w:keepNext w:val="0"/>
        <w:keepLines w:val="0"/>
        <w:pageBreakBefore w:val="0"/>
        <w:widowControl/>
        <w:shd w:val="clear" w:color="auto" w:fill="FFFFFF"/>
        <w:kinsoku/>
        <w:overflowPunct/>
        <w:topLinePunct w:val="0"/>
        <w:autoSpaceDE/>
        <w:autoSpaceDN/>
        <w:bidi w:val="0"/>
        <w:adjustRightInd/>
        <w:snapToGrid/>
        <w:spacing w:beforeAutospacing="0" w:afterAutospacing="0" w:line="52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shd w:val="clear" w:color="auto" w:fill="FFFFFF"/>
          <w:lang w:val="en-US" w:eastAsia="zh-CN"/>
        </w:rPr>
        <w:t>7.</w:t>
      </w:r>
      <w:r>
        <w:rPr>
          <w:rFonts w:hint="eastAsia" w:ascii="仿宋_GB2312" w:hAnsi="仿宋_GB2312" w:eastAsia="仿宋_GB2312" w:cs="仿宋_GB2312"/>
          <w:color w:val="000000"/>
          <w:sz w:val="32"/>
          <w:szCs w:val="32"/>
          <w:shd w:val="clear" w:color="auto" w:fill="FFFFFF"/>
        </w:rPr>
        <w:t>本报告的电子版可在“中国滕州网”（http://www.tengzhou.gov.cn/）网站查询和下载。如对本报告有任何疑问，请与滕州市退役军人事务局办公室联系。</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地址</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山东省滕州市春藤东路1566号办公室106房间，联系电话</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0632-8028600，电子邮箱</w:t>
      </w:r>
      <w:r>
        <w:rPr>
          <w:rFonts w:hint="eastAsia" w:ascii="仿宋_GB2312" w:hAnsi="仿宋_GB2312" w:eastAsia="仿宋_GB2312" w:cs="仿宋_GB2312"/>
          <w:color w:val="000000"/>
          <w:sz w:val="32"/>
          <w:szCs w:val="32"/>
          <w:shd w:val="clear" w:color="auto" w:fill="FFFFFF"/>
          <w:lang w:eastAsia="zh-CN"/>
        </w:rPr>
        <w:t>：</w:t>
      </w:r>
      <w:r>
        <w:rPr>
          <w:rFonts w:hint="eastAsia" w:ascii="仿宋_GB2312" w:hAnsi="仿宋_GB2312" w:eastAsia="仿宋_GB2312" w:cs="仿宋_GB2312"/>
          <w:color w:val="000000"/>
          <w:sz w:val="32"/>
          <w:szCs w:val="32"/>
          <w:shd w:val="clear" w:color="auto" w:fill="FFFFFF"/>
        </w:rPr>
        <w:t>tzstyjrdyxc@163.com</w:t>
      </w:r>
      <w:r>
        <w:rPr>
          <w:rFonts w:hint="eastAsia" w:ascii="仿宋_GB2312" w:hAnsi="仿宋_GB2312" w:eastAsia="仿宋_GB2312" w:cs="仿宋_GB2312"/>
          <w:color w:val="000000"/>
          <w:sz w:val="32"/>
          <w:szCs w:val="32"/>
          <w:shd w:val="clear" w:color="auto" w:fill="FFFFFF"/>
          <w:lang w:eastAsia="zh-CN"/>
        </w:rPr>
        <w:t>）</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EB0DEA"/>
    <w:multiLevelType w:val="singleLevel"/>
    <w:tmpl w:val="9EEB0DE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3D3E53"/>
    <w:rsid w:val="000C1FF9"/>
    <w:rsid w:val="006D0CE9"/>
    <w:rsid w:val="01203FAE"/>
    <w:rsid w:val="027A149C"/>
    <w:rsid w:val="0341645D"/>
    <w:rsid w:val="04C96727"/>
    <w:rsid w:val="07A64AE1"/>
    <w:rsid w:val="07B90CB8"/>
    <w:rsid w:val="07D23B28"/>
    <w:rsid w:val="08063374"/>
    <w:rsid w:val="08892439"/>
    <w:rsid w:val="0945170F"/>
    <w:rsid w:val="096A04BC"/>
    <w:rsid w:val="0ACF434F"/>
    <w:rsid w:val="0B293A5F"/>
    <w:rsid w:val="0BC1638D"/>
    <w:rsid w:val="0C542D5E"/>
    <w:rsid w:val="0C6108AD"/>
    <w:rsid w:val="0DC3473D"/>
    <w:rsid w:val="0E417312"/>
    <w:rsid w:val="0EEA5BFB"/>
    <w:rsid w:val="0EFA4090"/>
    <w:rsid w:val="0F59068B"/>
    <w:rsid w:val="108B5765"/>
    <w:rsid w:val="116B3023"/>
    <w:rsid w:val="11F76665"/>
    <w:rsid w:val="133E3A7C"/>
    <w:rsid w:val="16BE3BF5"/>
    <w:rsid w:val="17BE19D3"/>
    <w:rsid w:val="17F17FFA"/>
    <w:rsid w:val="182A5940"/>
    <w:rsid w:val="191E097B"/>
    <w:rsid w:val="19C05ED6"/>
    <w:rsid w:val="1B183D42"/>
    <w:rsid w:val="1B9B18E6"/>
    <w:rsid w:val="1CF0262F"/>
    <w:rsid w:val="1D271DC8"/>
    <w:rsid w:val="1D7E40DE"/>
    <w:rsid w:val="1E4F5A7B"/>
    <w:rsid w:val="1EA731C1"/>
    <w:rsid w:val="1ECC70CB"/>
    <w:rsid w:val="1FCA53B9"/>
    <w:rsid w:val="24D26ABE"/>
    <w:rsid w:val="273A3A5B"/>
    <w:rsid w:val="27856069"/>
    <w:rsid w:val="27DB5F60"/>
    <w:rsid w:val="28033B5E"/>
    <w:rsid w:val="29114058"/>
    <w:rsid w:val="2A2B2EF8"/>
    <w:rsid w:val="2ACA2711"/>
    <w:rsid w:val="2BBA09D7"/>
    <w:rsid w:val="2C2C73FB"/>
    <w:rsid w:val="2F473FE1"/>
    <w:rsid w:val="2FA15A0A"/>
    <w:rsid w:val="30534F57"/>
    <w:rsid w:val="313F5CD8"/>
    <w:rsid w:val="318A0E4C"/>
    <w:rsid w:val="34A15D73"/>
    <w:rsid w:val="35956011"/>
    <w:rsid w:val="35CB1A33"/>
    <w:rsid w:val="37991366"/>
    <w:rsid w:val="38AF73EA"/>
    <w:rsid w:val="398B39B3"/>
    <w:rsid w:val="39D2513E"/>
    <w:rsid w:val="3A2D05C6"/>
    <w:rsid w:val="3AA46CD1"/>
    <w:rsid w:val="3B026D8D"/>
    <w:rsid w:val="3B3977BC"/>
    <w:rsid w:val="3BBD3BCC"/>
    <w:rsid w:val="3C3814A4"/>
    <w:rsid w:val="3CBD76E4"/>
    <w:rsid w:val="3E8D412D"/>
    <w:rsid w:val="3F1D32FF"/>
    <w:rsid w:val="3F514D57"/>
    <w:rsid w:val="40EE76ED"/>
    <w:rsid w:val="422A6DE5"/>
    <w:rsid w:val="435766B4"/>
    <w:rsid w:val="43E8198D"/>
    <w:rsid w:val="442944F4"/>
    <w:rsid w:val="44466E54"/>
    <w:rsid w:val="4AAA17BF"/>
    <w:rsid w:val="4C4A14AC"/>
    <w:rsid w:val="4CA855AA"/>
    <w:rsid w:val="4D8E0BE8"/>
    <w:rsid w:val="4E4D5283"/>
    <w:rsid w:val="4F714FA1"/>
    <w:rsid w:val="4FDF1F0B"/>
    <w:rsid w:val="4FF21C3E"/>
    <w:rsid w:val="4FF72AEC"/>
    <w:rsid w:val="4FF7B611"/>
    <w:rsid w:val="508A1E77"/>
    <w:rsid w:val="508C2093"/>
    <w:rsid w:val="50947199"/>
    <w:rsid w:val="50C7131D"/>
    <w:rsid w:val="517F7502"/>
    <w:rsid w:val="51BD002A"/>
    <w:rsid w:val="51D610EC"/>
    <w:rsid w:val="51FB0B52"/>
    <w:rsid w:val="52263E21"/>
    <w:rsid w:val="571A1A7B"/>
    <w:rsid w:val="571B7CCD"/>
    <w:rsid w:val="57A777B2"/>
    <w:rsid w:val="5901420E"/>
    <w:rsid w:val="594D25DB"/>
    <w:rsid w:val="5B687259"/>
    <w:rsid w:val="5D521F6E"/>
    <w:rsid w:val="5EE62ABD"/>
    <w:rsid w:val="5F2C5541"/>
    <w:rsid w:val="5F531043"/>
    <w:rsid w:val="5F881C77"/>
    <w:rsid w:val="600B6FA1"/>
    <w:rsid w:val="63ED52EB"/>
    <w:rsid w:val="64AB4024"/>
    <w:rsid w:val="64BB2AEF"/>
    <w:rsid w:val="6502071E"/>
    <w:rsid w:val="65474D35"/>
    <w:rsid w:val="68E1064A"/>
    <w:rsid w:val="693D3E53"/>
    <w:rsid w:val="6A325601"/>
    <w:rsid w:val="6A445335"/>
    <w:rsid w:val="6B225676"/>
    <w:rsid w:val="6C011998"/>
    <w:rsid w:val="6D323CCC"/>
    <w:rsid w:val="6D6C2BD8"/>
    <w:rsid w:val="6DB225B5"/>
    <w:rsid w:val="6DE83B08"/>
    <w:rsid w:val="6E511DCE"/>
    <w:rsid w:val="6F60051B"/>
    <w:rsid w:val="6F8D6E36"/>
    <w:rsid w:val="70D80585"/>
    <w:rsid w:val="7130216F"/>
    <w:rsid w:val="72655E48"/>
    <w:rsid w:val="72800ED4"/>
    <w:rsid w:val="7544268D"/>
    <w:rsid w:val="760D6F22"/>
    <w:rsid w:val="77B37656"/>
    <w:rsid w:val="7A6231C9"/>
    <w:rsid w:val="7AB7745D"/>
    <w:rsid w:val="7AEF309B"/>
    <w:rsid w:val="7B3702FB"/>
    <w:rsid w:val="7B5178B1"/>
    <w:rsid w:val="7BEE3352"/>
    <w:rsid w:val="7F6C6A68"/>
    <w:rsid w:val="7FF753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spacing w:before="0" w:beforeAutospacing="1" w:after="0" w:afterAutospacing="1"/>
      <w:jc w:val="left"/>
      <w:outlineLvl w:val="0"/>
    </w:pPr>
    <w:rPr>
      <w:rFonts w:hint="eastAsia" w:ascii="宋体" w:hAnsi="宋体" w:eastAsia="黑体" w:cs="宋体"/>
      <w:kern w:val="44"/>
      <w:sz w:val="44"/>
      <w:szCs w:val="48"/>
      <w:lang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1"/>
    <w:basedOn w:val="1"/>
    <w:next w:val="1"/>
    <w:qFormat/>
    <w:uiPriority w:val="0"/>
    <w:pPr>
      <w:spacing w:line="660" w:lineRule="exact"/>
      <w:ind w:firstLine="705"/>
    </w:pPr>
    <w:rPr>
      <w:rFonts w:ascii="仿宋_GB2312" w:eastAsia="仿宋_GB2312"/>
      <w:color w:val="000000"/>
      <w:sz w:val="36"/>
      <w:szCs w:val="36"/>
    </w:rPr>
  </w:style>
  <w:style w:type="paragraph" w:styleId="6">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3198</Words>
  <Characters>3329</Characters>
  <Lines>0</Lines>
  <Paragraphs>0</Paragraphs>
  <TotalTime>2</TotalTime>
  <ScaleCrop>false</ScaleCrop>
  <LinksUpToDate>false</LinksUpToDate>
  <CharactersWithSpaces>3336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2025-01-07T21:56:00Z</dcterms:created>
  <dc:creator>沈面</dc:creator>
  <cp:lastModifiedBy>爱新觉罗-琛</cp:lastModifiedBy>
  <dcterms:modified xsi:type="dcterms:W3CDTF">2026-01-14T15:23:43Z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94AB84E4F2AE48858E1C7BD9427FA61F_13</vt:lpwstr>
  </property>
  <property fmtid="{D5CDD505-2E9C-101B-9397-08002B2CF9AE}" pid="4" name="KSOTemplateDocerSaveRecord">
    <vt:lpwstr>eyJoZGlkIjoiNTA2ZDMzMWUyYWQ1Nzc2ZTk5NTg4MjhjZDdhNDg0MmEiLCJ1c2VySWQiOiI5ODk1NDk1NDcifQ==</vt:lpwstr>
  </property>
</Properties>
</file>