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滕州市国有资产监督管理局2025年</w:t>
      </w:r>
    </w:p>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简体" w:hAnsi="方正小标宋简体" w:eastAsia="方正小标宋简体" w:cs="方正小标宋简体"/>
          <w:sz w:val="44"/>
          <w:szCs w:val="44"/>
        </w:rPr>
      </w:pPr>
      <w:r>
        <w:rPr>
          <w:rFonts w:hint="eastAsia" w:ascii="方正小标宋简体" w:hAnsi="方正小标宋简体" w:eastAsia="方正小标宋简体" w:cs="方正小标宋简体"/>
          <w:sz w:val="44"/>
          <w:szCs w:val="44"/>
        </w:rPr>
        <w:t>政府信息公开工作年度报告</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小标宋简体" w:hAnsi="方正小标宋简体" w:eastAsia="方正小标宋简体" w:cs="方正小标宋简体"/>
          <w:sz w:val="44"/>
          <w:szCs w:val="44"/>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根据《中华人民共和国政府信息公开条例》《山东省政府信息公开办法》及滕州市政务公开相关工作要求，结合</w:t>
      </w:r>
      <w:r>
        <w:rPr>
          <w:rFonts w:hint="eastAsia" w:ascii="仿宋_GB2312" w:hAnsi="仿宋_GB2312" w:eastAsia="仿宋_GB2312" w:cs="仿宋_GB2312"/>
          <w:sz w:val="32"/>
          <w:szCs w:val="32"/>
          <w:lang w:val="en-US" w:eastAsia="zh-CN"/>
        </w:rPr>
        <w:t>滕州市国资局</w:t>
      </w:r>
      <w:r>
        <w:rPr>
          <w:rFonts w:hint="eastAsia" w:ascii="仿宋_GB2312" w:hAnsi="仿宋_GB2312" w:eastAsia="仿宋_GB2312" w:cs="仿宋_GB2312"/>
          <w:sz w:val="32"/>
          <w:szCs w:val="32"/>
        </w:rPr>
        <w:t>2025年国有资产监管工作实际，编制本年度政府信息公开工作年度报告。</w:t>
      </w:r>
      <w:r>
        <w:rPr>
          <w:rFonts w:hint="eastAsia" w:ascii="仿宋_GB2312" w:hAnsi="仿宋_GB2312" w:eastAsia="仿宋_GB2312" w:cs="仿宋_GB2312"/>
          <w:sz w:val="32"/>
          <w:szCs w:val="32"/>
          <w:lang w:val="en-US" w:eastAsia="zh-CN"/>
        </w:rPr>
        <w:t>本年度报告中所列数据的统计期限自2025年1月1日起，至2025年12月31日止。</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一、总体情况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2025年，市国资局坚持以习近平新时代中国特色社会主义思想为指导，深入贯彻落实国家、省、市关于政务公开工作的最新部署，将政务公开与国资监管核心业务深度融合。围绕</w:t>
      </w:r>
      <w:r>
        <w:rPr>
          <w:rFonts w:hint="eastAsia" w:ascii="仿宋_GB2312" w:hAnsi="仿宋_GB2312" w:eastAsia="仿宋_GB2312" w:cs="仿宋_GB2312"/>
          <w:sz w:val="32"/>
          <w:szCs w:val="32"/>
          <w:lang w:val="en-US" w:eastAsia="zh-CN"/>
        </w:rPr>
        <w:t>国资监管</w:t>
      </w:r>
      <w:r>
        <w:rPr>
          <w:rFonts w:hint="eastAsia" w:ascii="仿宋_GB2312" w:hAnsi="仿宋_GB2312" w:eastAsia="仿宋_GB2312" w:cs="仿宋_GB2312"/>
          <w:sz w:val="32"/>
          <w:szCs w:val="32"/>
        </w:rPr>
        <w:t>重点领域，健全公开机制、拓宽公开渠道、提升公开质效，以公开促规范、以公开促服务、以公开促发展，为全市国有经济高质量发展提供了有力支撑。</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主动公开政府信息情况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lang w:val="en-US" w:eastAsia="zh-CN"/>
        </w:rPr>
        <w:t>2025年市国资局</w:t>
      </w:r>
      <w:r>
        <w:rPr>
          <w:rFonts w:hint="eastAsia" w:ascii="仿宋_GB2312" w:hAnsi="仿宋_GB2312" w:eastAsia="仿宋_GB2312" w:cs="仿宋_GB2312"/>
          <w:sz w:val="32"/>
          <w:szCs w:val="32"/>
        </w:rPr>
        <w:t>聚焦</w:t>
      </w:r>
      <w:r>
        <w:rPr>
          <w:rFonts w:hint="eastAsia" w:ascii="仿宋_GB2312" w:hAnsi="仿宋_GB2312" w:eastAsia="仿宋_GB2312" w:cs="仿宋_GB2312"/>
          <w:sz w:val="32"/>
          <w:szCs w:val="32"/>
          <w:lang w:val="en-US" w:eastAsia="zh-CN"/>
        </w:rPr>
        <w:t>国企招聘、</w:t>
      </w:r>
      <w:r>
        <w:rPr>
          <w:rFonts w:hint="eastAsia" w:ascii="仿宋_GB2312" w:hAnsi="仿宋_GB2312" w:eastAsia="仿宋_GB2312" w:cs="仿宋_GB2312"/>
          <w:sz w:val="32"/>
          <w:szCs w:val="32"/>
        </w:rPr>
        <w:t>国有资产盘活、国企改革进展等社会关切</w:t>
      </w:r>
      <w:r>
        <w:rPr>
          <w:rFonts w:hint="eastAsia" w:ascii="仿宋_GB2312" w:hAnsi="仿宋_GB2312" w:eastAsia="仿宋_GB2312" w:cs="仿宋_GB2312"/>
          <w:sz w:val="32"/>
          <w:szCs w:val="32"/>
          <w:lang w:val="en-US" w:eastAsia="zh-CN"/>
        </w:rPr>
        <w:t>问题</w:t>
      </w:r>
      <w:r>
        <w:rPr>
          <w:rFonts w:hint="eastAsia" w:ascii="仿宋_GB2312" w:hAnsi="仿宋_GB2312" w:eastAsia="仿宋_GB2312" w:cs="仿宋_GB2312"/>
          <w:sz w:val="32"/>
          <w:szCs w:val="32"/>
        </w:rPr>
        <w:t>，主动公开信息</w:t>
      </w:r>
      <w:r>
        <w:rPr>
          <w:rFonts w:hint="eastAsia" w:ascii="仿宋_GB2312" w:hAnsi="仿宋_GB2312" w:eastAsia="仿宋_GB2312" w:cs="仿宋_GB2312"/>
          <w:sz w:val="32"/>
          <w:szCs w:val="32"/>
          <w:lang w:val="en-US" w:eastAsia="zh-CN"/>
        </w:rPr>
        <w:t>近900条</w:t>
      </w:r>
      <w:r>
        <w:rPr>
          <w:rFonts w:hint="eastAsia" w:ascii="仿宋_GB2312" w:hAnsi="仿宋_GB2312" w:eastAsia="仿宋_GB2312" w:cs="仿宋_GB2312"/>
          <w:sz w:val="32"/>
          <w:szCs w:val="32"/>
        </w:rPr>
        <w:t>，其中</w:t>
      </w:r>
      <w:r>
        <w:rPr>
          <w:rFonts w:hint="eastAsia" w:ascii="仿宋_GB2312" w:hAnsi="仿宋_GB2312" w:eastAsia="仿宋_GB2312" w:cs="仿宋_GB2312"/>
          <w:sz w:val="32"/>
          <w:szCs w:val="32"/>
          <w:lang w:val="en-US" w:eastAsia="zh-CN"/>
        </w:rPr>
        <w:t>滕州市人民政府官网82</w:t>
      </w:r>
      <w:r>
        <w:rPr>
          <w:rFonts w:hint="eastAsia" w:ascii="仿宋_GB2312" w:hAnsi="仿宋_GB2312" w:eastAsia="仿宋_GB2312" w:cs="仿宋_GB2312"/>
          <w:sz w:val="32"/>
          <w:szCs w:val="32"/>
        </w:rPr>
        <w:t>条、</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滕州国资</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lang w:val="en-US" w:eastAsia="zh-CN"/>
        </w:rPr>
        <w:t>微信公众号800余条</w:t>
      </w:r>
      <w:r>
        <w:rPr>
          <w:rFonts w:hint="eastAsia" w:ascii="仿宋_GB2312" w:hAnsi="仿宋_GB2312" w:eastAsia="仿宋_GB2312" w:cs="仿宋_GB2312"/>
          <w:sz w:val="32"/>
          <w:szCs w:val="32"/>
        </w:rPr>
        <w:t>。</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（二）政府信息依申请公开情况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eastAsia="zh-CN"/>
        </w:rPr>
      </w:pPr>
      <w:r>
        <w:rPr>
          <w:rFonts w:hint="eastAsia" w:ascii="仿宋_GB2312" w:hAnsi="仿宋_GB2312" w:eastAsia="仿宋_GB2312" w:cs="仿宋_GB2312"/>
          <w:sz w:val="32"/>
          <w:szCs w:val="32"/>
        </w:rPr>
        <w:t>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年市</w:t>
      </w:r>
      <w:r>
        <w:rPr>
          <w:rFonts w:hint="eastAsia" w:ascii="仿宋_GB2312" w:hAnsi="仿宋_GB2312" w:eastAsia="仿宋_GB2312" w:cs="仿宋_GB2312"/>
          <w:sz w:val="32"/>
          <w:szCs w:val="32"/>
          <w:lang w:val="en-US" w:eastAsia="zh-CN"/>
        </w:rPr>
        <w:t>国资局</w:t>
      </w:r>
      <w:r>
        <w:rPr>
          <w:rFonts w:hint="eastAsia" w:ascii="仿宋_GB2312" w:hAnsi="仿宋_GB2312" w:eastAsia="仿宋_GB2312" w:cs="仿宋_GB2312"/>
          <w:sz w:val="32"/>
          <w:szCs w:val="32"/>
        </w:rPr>
        <w:t>未收到政府信息公开申请</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本年度无因政府信息公开申请提起行政复议、行政诉讼情况。与往年相比，数量无变化。</w:t>
      </w:r>
    </w:p>
    <w:p>
      <w:pPr>
        <w:keepNext w:val="0"/>
        <w:keepLines w:val="0"/>
        <w:pageBreakBefore w:val="0"/>
        <w:widowControl w:val="0"/>
        <w:numPr>
          <w:ilvl w:val="0"/>
          <w:numId w:val="1"/>
        </w:numPr>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政府信息</w:t>
      </w:r>
      <w:r>
        <w:rPr>
          <w:rFonts w:hint="eastAsia" w:ascii="楷体_GB2312" w:hAnsi="楷体_GB2312" w:eastAsia="楷体_GB2312" w:cs="楷体_GB2312"/>
          <w:sz w:val="32"/>
          <w:szCs w:val="32"/>
          <w:lang w:val="en-US" w:eastAsia="zh-CN"/>
        </w:rPr>
        <w:t>管理情况</w:t>
      </w:r>
    </w:p>
    <w:p>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结合全市国资监管工作实际，动态更新信息公开指南及主动公开基本目录，严格执行信息发布保密审查机制，全面落实“谁公开谁审查、谁审查谁负责”“先审查后公开”“一事一审”原则，保障政府信息发布精准、安全、规范。</w:t>
      </w:r>
    </w:p>
    <w:p>
      <w:pPr>
        <w:pStyle w:val="4"/>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600" w:lineRule="exact"/>
        <w:ind w:left="0" w:right="0" w:firstLine="640" w:firstLineChars="200"/>
        <w:jc w:val="left"/>
        <w:textAlignment w:val="auto"/>
        <w:rPr>
          <w:rFonts w:hint="eastAsia" w:ascii="楷体_GB2312" w:hAnsi="楷体_GB2312" w:eastAsia="楷体_GB2312" w:cs="楷体_GB2312"/>
          <w:kern w:val="2"/>
          <w:sz w:val="32"/>
          <w:szCs w:val="32"/>
          <w:highlight w:val="none"/>
          <w:lang w:val="en-US" w:eastAsia="zh-CN" w:bidi="ar-SA"/>
        </w:rPr>
      </w:pPr>
      <w:r>
        <w:rPr>
          <w:rFonts w:hint="eastAsia" w:ascii="楷体_GB2312" w:hAnsi="楷体_GB2312" w:eastAsia="楷体_GB2312" w:cs="楷体_GB2312"/>
          <w:kern w:val="2"/>
          <w:sz w:val="32"/>
          <w:szCs w:val="32"/>
          <w:highlight w:val="none"/>
          <w:lang w:val="en-US" w:eastAsia="zh-CN" w:bidi="ar-SA"/>
        </w:rPr>
        <w:t>（四）政府信息公开平台建设</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市国资局</w:t>
      </w:r>
      <w:r>
        <w:rPr>
          <w:rFonts w:hint="eastAsia" w:ascii="仿宋_GB2312" w:hAnsi="仿宋_GB2312" w:eastAsia="仿宋_GB2312" w:cs="仿宋_GB2312"/>
          <w:sz w:val="32"/>
          <w:szCs w:val="32"/>
        </w:rPr>
        <w:t>政府信息公开平台</w:t>
      </w:r>
      <w:r>
        <w:rPr>
          <w:rFonts w:hint="eastAsia" w:ascii="仿宋_GB2312" w:hAnsi="仿宋_GB2312" w:eastAsia="仿宋_GB2312" w:cs="仿宋_GB2312"/>
          <w:sz w:val="32"/>
          <w:szCs w:val="32"/>
          <w:lang w:val="en-US" w:eastAsia="zh-CN"/>
        </w:rPr>
        <w:t>建立专人负责制，明确1名工作人员专职负责政府信息公开平台的日常管理，涵盖信息收集、整理、发布及平台维护等全流程工作。同时明确分管领导审核把关职责，形成“专人操作、领导审核、规范发布”的工作机制，确保平台运行责任到人、流程闭环。</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lang w:val="en-US" w:eastAsia="zh-CN"/>
        </w:rPr>
        <w:t>五</w:t>
      </w:r>
      <w:r>
        <w:rPr>
          <w:rFonts w:hint="eastAsia" w:ascii="楷体_GB2312" w:hAnsi="楷体_GB2312" w:eastAsia="楷体_GB2312" w:cs="楷体_GB2312"/>
          <w:sz w:val="32"/>
          <w:szCs w:val="32"/>
          <w:lang w:eastAsia="zh-CN"/>
        </w:rPr>
        <w:t>）</w:t>
      </w:r>
      <w:r>
        <w:rPr>
          <w:rFonts w:hint="eastAsia" w:ascii="楷体_GB2312" w:hAnsi="楷体_GB2312" w:eastAsia="楷体_GB2312" w:cs="楷体_GB2312"/>
          <w:sz w:val="32"/>
          <w:szCs w:val="32"/>
        </w:rPr>
        <w:t>强化监督保障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完善政务公开工作制度体系，明确信息公开的范围、流程、责任分工及保密审查要求。建立“事前审查、事中把控、事后复盘”全链条管理机制，对公开信息的准确性、时效性、合规性进行严格审核，确保公开内容既全面规范，又不泄露国家秘密、商业秘密和个人隐私，妥善处理政务公开与保守秘密的关系</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2025年，滕州市国资局未发生因信息公开审查不当或保密审查机构未履行保密审查职责而引起的失泄密情况。2025年度未进行社会评议，未发生责任追究情况。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二、2025年度滕州市国资局主动公开政府信息情况</w:t>
      </w:r>
    </w:p>
    <w:tbl>
      <w:tblPr>
        <w:tblStyle w:val="5"/>
        <w:tblW w:w="9740"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15" w:type="dxa"/>
          <w:left w:w="15" w:type="dxa"/>
          <w:bottom w:w="15" w:type="dxa"/>
          <w:right w:w="15" w:type="dxa"/>
        </w:tblCellMar>
      </w:tblPr>
      <w:tblGrid>
        <w:gridCol w:w="2435"/>
        <w:gridCol w:w="2435"/>
        <w:gridCol w:w="2435"/>
        <w:gridCol w:w="2435"/>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single" w:color="auto" w:sz="8" w:space="0"/>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第二十条第（一）项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w:t>
            </w:r>
            <w:r>
              <w:rPr>
                <w:rFonts w:hint="eastAsia" w:ascii="宋体" w:hAnsi="宋体" w:eastAsia="宋体" w:cs="宋体"/>
                <w:color w:val="auto"/>
                <w:kern w:val="0"/>
                <w:sz w:val="20"/>
                <w:szCs w:val="20"/>
                <w:lang w:val="en-US" w:eastAsia="zh-CN" w:bidi="ar"/>
              </w:rPr>
              <w:t>制发件数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本年废止件数</w:t>
            </w:r>
          </w:p>
        </w:tc>
        <w:tc>
          <w:tcPr>
            <w:tcW w:w="2435" w:type="dxa"/>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现行有效件</w:t>
            </w:r>
            <w:r>
              <w:rPr>
                <w:rFonts w:hint="eastAsia" w:ascii="宋体" w:hAnsi="宋体" w:eastAsia="宋体" w:cs="宋体"/>
                <w:color w:val="auto"/>
                <w:kern w:val="0"/>
                <w:sz w:val="20"/>
                <w:szCs w:val="20"/>
                <w:lang w:val="en-US" w:eastAsia="zh-CN" w:bidi="ar"/>
              </w:rPr>
              <w:t>数</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规章</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行政规范性文件</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rPr>
                <w:rFonts w:hint="default"/>
                <w:lang w:val="en-US"/>
              </w:rPr>
            </w:pPr>
            <w:r>
              <w:rPr>
                <w:rFonts w:hint="eastAsia" w:ascii="宋体" w:hAnsi="宋体" w:eastAsia="宋体" w:cs="宋体"/>
                <w:color w:val="000000"/>
                <w:kern w:val="0"/>
                <w:sz w:val="20"/>
                <w:szCs w:val="20"/>
                <w:lang w:val="en-US" w:eastAsia="zh-CN" w:bidi="ar"/>
              </w:rPr>
              <w:t>　</w:t>
            </w:r>
            <w:r>
              <w:rPr>
                <w:rFonts w:hint="eastAsia" w:ascii="宋体" w:hAnsi="宋体" w:cs="宋体"/>
                <w:color w:val="000000"/>
                <w:kern w:val="0"/>
                <w:sz w:val="20"/>
                <w:szCs w:val="20"/>
                <w:lang w:val="en-US" w:eastAsia="zh-CN" w:bidi="ar"/>
              </w:rPr>
              <w:t>0</w:t>
            </w:r>
          </w:p>
        </w:tc>
        <w:tc>
          <w:tcPr>
            <w:tcW w:w="2435" w:type="dxa"/>
            <w:tcBorders>
              <w:top w:val="nil"/>
              <w:left w:val="nil"/>
              <w:bottom w:val="single" w:color="auto" w:sz="8" w:space="0"/>
              <w:right w:val="single" w:color="auto" w:sz="8" w:space="0"/>
            </w:tcBorders>
            <w:noWrap w:val="0"/>
            <w:tcMar>
              <w:top w:w="0" w:type="dxa"/>
              <w:left w:w="57" w:type="dxa"/>
              <w:bottom w:w="0" w:type="dxa"/>
              <w:right w:w="57" w:type="dxa"/>
            </w:tcMar>
            <w:vAlign w:val="center"/>
          </w:tcPr>
          <w:p>
            <w:pPr>
              <w:rPr>
                <w:rFonts w:hint="eastAsia" w:ascii="宋体" w:eastAsia="宋体"/>
                <w:sz w:val="24"/>
                <w:szCs w:val="24"/>
                <w:lang w:val="en-US" w:eastAsia="zh-CN"/>
              </w:rPr>
            </w:pPr>
            <w:r>
              <w:rPr>
                <w:rFonts w:hint="eastAsia" w:ascii="宋体"/>
                <w:sz w:val="24"/>
                <w:szCs w:val="24"/>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第二十条第（五）项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行政许可</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jc w:val="center"/>
              <w:rPr>
                <w:rFonts w:hint="eastAsia" w:ascii="宋体" w:eastAsia="宋体"/>
                <w:sz w:val="24"/>
                <w:szCs w:val="24"/>
                <w:lang w:eastAsia="zh-CN"/>
              </w:rPr>
            </w:pPr>
            <w:r>
              <w:rPr>
                <w:rFonts w:hint="eastAsia" w:ascii="宋体"/>
                <w:color w:val="auto"/>
                <w:sz w:val="24"/>
                <w:szCs w:val="24"/>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第二十条第（六）项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single" w:color="auto" w:sz="8" w:space="0"/>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本年处理决定数量</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行政处罚</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rFonts w:hint="default"/>
                <w:highlight w:val="yellow"/>
                <w:lang w:val="en-US"/>
              </w:rPr>
            </w:pPr>
            <w:r>
              <w:rPr>
                <w:rFonts w:hint="eastAsia" w:ascii="宋体"/>
                <w:color w:val="auto"/>
                <w:sz w:val="24"/>
                <w:szCs w:val="24"/>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行政强制</w:t>
            </w:r>
          </w:p>
        </w:tc>
        <w:tc>
          <w:tcPr>
            <w:tcW w:w="7305" w:type="dxa"/>
            <w:gridSpan w:val="3"/>
            <w:tcBorders>
              <w:top w:val="nil"/>
              <w:left w:val="nil"/>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rPr>
                <w:highlight w:val="yellow"/>
              </w:rPr>
            </w:pPr>
            <w:r>
              <w:rPr>
                <w:rFonts w:hint="eastAsia" w:ascii="宋体"/>
                <w:color w:val="auto"/>
                <w:sz w:val="24"/>
                <w:szCs w:val="24"/>
                <w:highlight w:val="none"/>
                <w:lang w:val="en-US" w:eastAsia="zh-CN"/>
              </w:rPr>
              <w:t>0</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9740" w:type="dxa"/>
            <w:gridSpan w:val="4"/>
            <w:tcBorders>
              <w:top w:val="nil"/>
              <w:left w:val="single" w:color="auto" w:sz="8" w:space="0"/>
              <w:bottom w:val="single" w:color="auto" w:sz="8" w:space="0"/>
              <w:right w:val="single" w:color="auto" w:sz="8" w:space="0"/>
            </w:tcBorders>
            <w:shd w:val="clear" w:color="auto" w:fill="C6D9F1"/>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第二十条第（八）项</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信息内容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center"/>
            </w:pPr>
            <w:r>
              <w:rPr>
                <w:rFonts w:hint="eastAsia" w:ascii="宋体" w:hAnsi="宋体" w:eastAsia="宋体" w:cs="宋体"/>
                <w:color w:val="000000"/>
                <w:kern w:val="0"/>
                <w:sz w:val="20"/>
                <w:szCs w:val="20"/>
                <w:lang w:val="en-US" w:eastAsia="zh-CN" w:bidi="ar"/>
              </w:rPr>
              <w:t>本年收费金额（单位：万元）</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15" w:type="dxa"/>
            <w:left w:w="15" w:type="dxa"/>
            <w:bottom w:w="15" w:type="dxa"/>
            <w:right w:w="15" w:type="dxa"/>
          </w:tblCellMar>
        </w:tblPrEx>
        <w:trPr>
          <w:trHeight w:val="340" w:hRule="atLeast"/>
          <w:jc w:val="center"/>
        </w:trPr>
        <w:tc>
          <w:tcPr>
            <w:tcW w:w="2435" w:type="dxa"/>
            <w:tcBorders>
              <w:top w:val="nil"/>
              <w:left w:val="single" w:color="auto" w:sz="8" w:space="0"/>
              <w:bottom w:val="single" w:color="auto" w:sz="8" w:space="0"/>
              <w:right w:val="single" w:color="auto" w:sz="8" w:space="0"/>
            </w:tcBorders>
            <w:noWrap w:val="0"/>
            <w:tcMar>
              <w:top w:w="0" w:type="dxa"/>
              <w:left w:w="57" w:type="dxa"/>
              <w:bottom w:w="0" w:type="dxa"/>
              <w:right w:w="57"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jc w:val="left"/>
            </w:pPr>
            <w:r>
              <w:rPr>
                <w:rFonts w:hint="eastAsia" w:ascii="宋体" w:hAnsi="宋体" w:eastAsia="宋体" w:cs="宋体"/>
                <w:color w:val="000000"/>
                <w:kern w:val="0"/>
                <w:sz w:val="20"/>
                <w:szCs w:val="20"/>
                <w:lang w:val="en-US" w:eastAsia="zh-CN" w:bidi="ar"/>
              </w:rPr>
              <w:t>行政事业性收费</w:t>
            </w:r>
          </w:p>
        </w:tc>
        <w:tc>
          <w:tcPr>
            <w:tcW w:w="7305" w:type="dxa"/>
            <w:gridSpan w:val="3"/>
            <w:tcBorders>
              <w:top w:val="nil"/>
              <w:left w:val="nil"/>
              <w:bottom w:val="single" w:color="auto" w:sz="8" w:space="0"/>
              <w:right w:val="single" w:color="000000" w:sz="8" w:space="0"/>
            </w:tcBorders>
            <w:noWrap w:val="0"/>
            <w:tcMar>
              <w:top w:w="0" w:type="dxa"/>
              <w:left w:w="57" w:type="dxa"/>
              <w:bottom w:w="0" w:type="dxa"/>
              <w:right w:w="57" w:type="dxa"/>
            </w:tcMar>
            <w:vAlign w:val="center"/>
          </w:tcPr>
          <w:p>
            <w:pPr>
              <w:jc w:val="center"/>
              <w:rPr>
                <w:rFonts w:hint="eastAsia" w:ascii="宋体"/>
                <w:sz w:val="24"/>
                <w:szCs w:val="24"/>
              </w:rPr>
            </w:pPr>
            <w:r>
              <w:rPr>
                <w:rFonts w:hint="eastAsia" w:ascii="宋体"/>
                <w:color w:val="auto"/>
                <w:sz w:val="24"/>
                <w:szCs w:val="24"/>
                <w:highlight w:val="none"/>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rPr>
        <w:t>三、收到和处理政府信息公开申请情况</w:t>
      </w:r>
    </w:p>
    <w:tbl>
      <w:tblPr>
        <w:tblStyle w:val="5"/>
        <w:tblW w:w="10020" w:type="dxa"/>
        <w:jc w:val="center"/>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Layout w:type="autofit"/>
        <w:tblCellMar>
          <w:top w:w="75" w:type="dxa"/>
          <w:left w:w="150" w:type="dxa"/>
          <w:bottom w:w="75" w:type="dxa"/>
          <w:right w:w="150" w:type="dxa"/>
        </w:tblCellMar>
      </w:tblPr>
      <w:tblGrid>
        <w:gridCol w:w="503"/>
        <w:gridCol w:w="1417"/>
        <w:gridCol w:w="2966"/>
        <w:gridCol w:w="589"/>
        <w:gridCol w:w="499"/>
        <w:gridCol w:w="489"/>
        <w:gridCol w:w="763"/>
        <w:gridCol w:w="720"/>
        <w:gridCol w:w="754"/>
        <w:gridCol w:w="1320"/>
      </w:tblGrid>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restart"/>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ascii="楷体_GB2312" w:eastAsia="楷体_GB2312" w:cs="楷体_GB2312"/>
                <w:sz w:val="19"/>
                <w:szCs w:val="19"/>
              </w:rPr>
              <w:t>（本列数据的勾稽关系为：第一项加第二项之和，</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楷体_GB2312" w:eastAsia="楷体_GB2312" w:cs="楷体_GB2312"/>
                <w:sz w:val="19"/>
                <w:szCs w:val="19"/>
              </w:rPr>
              <w:t>等于第三项加第四项之和）</w:t>
            </w:r>
          </w:p>
        </w:tc>
        <w:tc>
          <w:tcPr>
            <w:tcW w:w="5134" w:type="dxa"/>
            <w:gridSpan w:val="7"/>
            <w:tcBorders>
              <w:top w:val="single" w:color="000000" w:sz="8"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申请人情况</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continue"/>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589"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自然人</w:t>
            </w:r>
          </w:p>
        </w:tc>
        <w:tc>
          <w:tcPr>
            <w:tcW w:w="3225" w:type="dxa"/>
            <w:gridSpan w:val="5"/>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法人或其他组织</w:t>
            </w:r>
          </w:p>
        </w:tc>
        <w:tc>
          <w:tcPr>
            <w:tcW w:w="1320" w:type="dxa"/>
            <w:vMerge w:val="restart"/>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黑体" w:hAnsi="宋体" w:eastAsia="黑体" w:cs="黑体"/>
                <w:sz w:val="19"/>
                <w:szCs w:val="19"/>
              </w:rPr>
              <w:t>总计</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vMerge w:val="continue"/>
            <w:tcBorders>
              <w:top w:val="single" w:color="000000" w:sz="8"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589"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rFonts w:hint="eastAsia" w:ascii="黑体" w:hAnsi="宋体" w:eastAsia="黑体" w:cs="黑体"/>
                <w:sz w:val="19"/>
                <w:szCs w:val="19"/>
              </w:rPr>
            </w:pPr>
            <w:r>
              <w:rPr>
                <w:rFonts w:hint="eastAsia" w:ascii="黑体" w:hAnsi="宋体" w:eastAsia="黑体" w:cs="黑体"/>
                <w:sz w:val="19"/>
                <w:szCs w:val="19"/>
              </w:rPr>
              <w:t>商业</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sz w:val="19"/>
                <w:szCs w:val="19"/>
              </w:rPr>
            </w:pPr>
            <w:r>
              <w:rPr>
                <w:rFonts w:hint="eastAsia" w:ascii="黑体" w:hAnsi="宋体" w:eastAsia="黑体" w:cs="黑体"/>
                <w:sz w:val="19"/>
                <w:szCs w:val="19"/>
              </w:rPr>
              <w:t>企业</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rFonts w:hint="eastAsia" w:ascii="黑体" w:hAnsi="宋体" w:eastAsia="黑体" w:cs="黑体"/>
                <w:sz w:val="19"/>
                <w:szCs w:val="19"/>
              </w:rPr>
            </w:pPr>
            <w:r>
              <w:rPr>
                <w:rFonts w:hint="eastAsia" w:ascii="黑体" w:hAnsi="宋体" w:eastAsia="黑体" w:cs="黑体"/>
                <w:sz w:val="19"/>
                <w:szCs w:val="19"/>
              </w:rPr>
              <w:t>科研</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sz w:val="19"/>
                <w:szCs w:val="19"/>
              </w:rPr>
            </w:pPr>
            <w:r>
              <w:rPr>
                <w:rFonts w:hint="eastAsia" w:ascii="黑体" w:hAnsi="宋体" w:eastAsia="黑体" w:cs="黑体"/>
                <w:sz w:val="19"/>
                <w:szCs w:val="19"/>
              </w:rPr>
              <w:t>机构</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rFonts w:hint="eastAsia" w:ascii="黑体" w:hAnsi="宋体" w:eastAsia="黑体" w:cs="黑体"/>
                <w:sz w:val="19"/>
                <w:szCs w:val="19"/>
              </w:rPr>
            </w:pPr>
            <w:r>
              <w:rPr>
                <w:rFonts w:hint="eastAsia" w:ascii="黑体" w:hAnsi="宋体" w:eastAsia="黑体" w:cs="黑体"/>
                <w:sz w:val="19"/>
                <w:szCs w:val="19"/>
              </w:rPr>
              <w:t>社会公</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jc w:val="center"/>
              <w:rPr>
                <w:sz w:val="19"/>
                <w:szCs w:val="19"/>
              </w:rPr>
            </w:pPr>
            <w:r>
              <w:rPr>
                <w:rFonts w:hint="eastAsia" w:ascii="黑体" w:hAnsi="宋体" w:eastAsia="黑体" w:cs="黑体"/>
                <w:sz w:val="19"/>
                <w:szCs w:val="19"/>
              </w:rPr>
              <w:t>益组织</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rFonts w:hint="eastAsia" w:ascii="黑体" w:hAnsi="宋体" w:eastAsia="黑体" w:cs="黑体"/>
                <w:sz w:val="19"/>
                <w:szCs w:val="19"/>
              </w:rPr>
            </w:pPr>
            <w:r>
              <w:rPr>
                <w:rFonts w:hint="eastAsia" w:ascii="黑体" w:hAnsi="宋体" w:eastAsia="黑体" w:cs="黑体"/>
                <w:sz w:val="19"/>
                <w:szCs w:val="19"/>
              </w:rPr>
              <w:t>法律服</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101" w:firstLine="0"/>
              <w:jc w:val="center"/>
              <w:rPr>
                <w:sz w:val="19"/>
                <w:szCs w:val="19"/>
              </w:rPr>
            </w:pPr>
            <w:r>
              <w:rPr>
                <w:rFonts w:hint="eastAsia" w:ascii="黑体" w:hAnsi="宋体" w:eastAsia="黑体" w:cs="黑体"/>
                <w:sz w:val="19"/>
                <w:szCs w:val="19"/>
              </w:rPr>
              <w:t>务机构</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58" w:right="-130"/>
              <w:jc w:val="center"/>
              <w:rPr>
                <w:sz w:val="19"/>
                <w:szCs w:val="19"/>
              </w:rPr>
            </w:pPr>
            <w:r>
              <w:rPr>
                <w:rFonts w:hint="eastAsia" w:ascii="黑体" w:hAnsi="宋体" w:eastAsia="黑体" w:cs="黑体"/>
                <w:sz w:val="19"/>
                <w:szCs w:val="19"/>
              </w:rPr>
              <w:t>其他</w:t>
            </w:r>
          </w:p>
        </w:tc>
        <w:tc>
          <w:tcPr>
            <w:tcW w:w="1320" w:type="dxa"/>
            <w:vMerge w:val="continue"/>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rPr>
                <w:rFonts w:hint="eastAsia" w:ascii="宋体"/>
                <w:sz w:val="24"/>
                <w:szCs w:val="24"/>
              </w:rPr>
            </w:pP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0" w:name="_Hlk66973412"/>
            <w:bookmarkEnd w:id="0"/>
            <w:r>
              <w:rPr>
                <w:rFonts w:hint="eastAsia" w:ascii="黑体" w:hAnsi="宋体" w:eastAsia="黑体" w:cs="黑体"/>
                <w:sz w:val="19"/>
                <w:szCs w:val="19"/>
              </w:rPr>
              <w:t>一、本年新收政府信息公开申请数量</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二、上年结转政府信息公开申请数量</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restart"/>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三、本年度办理结果</w:t>
            </w: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（一）予以公开</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1" w:name="_Hlk66973981"/>
            <w:bookmarkEnd w:id="1"/>
            <w:r>
              <w:rPr>
                <w:rFonts w:hint="eastAsia" w:ascii="黑体" w:hAnsi="宋体" w:eastAsia="黑体" w:cs="黑体"/>
                <w:sz w:val="19"/>
                <w:szCs w:val="19"/>
              </w:rPr>
              <w:t>（二）部分公开（区分处理的，只计这一情形，不计其他情形）</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sz w:val="19"/>
                <w:szCs w:val="19"/>
              </w:rPr>
            </w:pPr>
            <w:r>
              <w:rPr>
                <w:rFonts w:hint="eastAsia" w:ascii="黑体" w:hAnsi="宋体" w:eastAsia="黑体" w:cs="黑体"/>
                <w:sz w:val="19"/>
                <w:szCs w:val="19"/>
              </w:rPr>
              <w:t>（三）不予公开</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1.属于国家秘密</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2" w:name="_Hlk66974104"/>
            <w:bookmarkEnd w:id="2"/>
            <w:r>
              <w:rPr>
                <w:rFonts w:hint="eastAsia" w:ascii="仿宋_GB2312" w:eastAsia="仿宋_GB2312" w:cs="仿宋_GB2312"/>
                <w:sz w:val="19"/>
                <w:szCs w:val="19"/>
              </w:rPr>
              <w:t>2.其他法律行政法规禁止公开</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3.危及“三安全一稳定”</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3" w:name="_Hlk66974290"/>
            <w:bookmarkEnd w:id="3"/>
            <w:r>
              <w:rPr>
                <w:rFonts w:hint="eastAsia" w:ascii="仿宋_GB2312" w:eastAsia="仿宋_GB2312" w:cs="仿宋_GB2312"/>
                <w:sz w:val="19"/>
                <w:szCs w:val="19"/>
              </w:rPr>
              <w:t>4.保护第三方合法权益</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5.属于三类内部事务信息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4" w:name="_Hlk66974555"/>
            <w:bookmarkEnd w:id="4"/>
            <w:r>
              <w:rPr>
                <w:rFonts w:hint="eastAsia" w:ascii="仿宋_GB2312" w:eastAsia="仿宋_GB2312" w:cs="仿宋_GB2312"/>
                <w:sz w:val="19"/>
                <w:szCs w:val="19"/>
              </w:rPr>
              <w:t>6.属于四类过程性信息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7.属于行政执法案卷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5" w:name="_Hlk66975211"/>
            <w:bookmarkEnd w:id="5"/>
            <w:r>
              <w:rPr>
                <w:rFonts w:hint="eastAsia" w:ascii="仿宋_GB2312" w:eastAsia="仿宋_GB2312" w:cs="仿宋_GB2312"/>
                <w:sz w:val="19"/>
                <w:szCs w:val="19"/>
              </w:rPr>
              <w:t>8.属于行政查询事项</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sz w:val="19"/>
                <w:szCs w:val="19"/>
              </w:rPr>
            </w:pPr>
            <w:r>
              <w:rPr>
                <w:rFonts w:hint="eastAsia" w:ascii="黑体" w:hAnsi="宋体" w:eastAsia="黑体" w:cs="黑体"/>
                <w:sz w:val="19"/>
                <w:szCs w:val="19"/>
              </w:rPr>
              <w:t>（四）无法提供</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1.本机关不掌握相关政府信息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6" w:name="_Hlk66975392"/>
            <w:bookmarkEnd w:id="6"/>
            <w:r>
              <w:rPr>
                <w:rFonts w:hint="eastAsia" w:ascii="仿宋_GB2312" w:eastAsia="仿宋_GB2312" w:cs="仿宋_GB2312"/>
                <w:sz w:val="19"/>
                <w:szCs w:val="19"/>
              </w:rPr>
              <w:t>2.没有现成信息需要另行制作</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7" w:name="_Hlk66975466"/>
            <w:bookmarkEnd w:id="7"/>
            <w:r>
              <w:rPr>
                <w:rFonts w:hint="eastAsia" w:ascii="仿宋_GB2312" w:eastAsia="仿宋_GB2312" w:cs="仿宋_GB2312"/>
                <w:sz w:val="19"/>
                <w:szCs w:val="19"/>
              </w:rPr>
              <w:t>3.补正后申请内容仍不明确</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101" w:right="0"/>
              <w:rPr>
                <w:sz w:val="19"/>
                <w:szCs w:val="19"/>
              </w:rPr>
            </w:pPr>
            <w:r>
              <w:rPr>
                <w:rFonts w:hint="eastAsia" w:ascii="黑体" w:hAnsi="宋体" w:eastAsia="黑体" w:cs="黑体"/>
                <w:sz w:val="19"/>
                <w:szCs w:val="19"/>
              </w:rPr>
              <w:t>（五）不予处理</w:t>
            </w: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bookmarkStart w:id="8" w:name="_Hlk66975537"/>
            <w:bookmarkEnd w:id="8"/>
            <w:r>
              <w:rPr>
                <w:rFonts w:hint="eastAsia" w:ascii="仿宋_GB2312" w:eastAsia="仿宋_GB2312" w:cs="仿宋_GB2312"/>
                <w:sz w:val="19"/>
                <w:szCs w:val="19"/>
              </w:rPr>
              <w:t>1.信访举报投诉类申请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2.重复申请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3.要求提供公开出版物</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4.无正当理由大量反复申请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5.要求行政机关确认或重新</w:t>
            </w:r>
          </w:p>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firstLine="216"/>
              <w:rPr>
                <w:sz w:val="19"/>
                <w:szCs w:val="19"/>
              </w:rPr>
            </w:pPr>
            <w:r>
              <w:rPr>
                <w:rFonts w:hint="eastAsia" w:ascii="仿宋_GB2312" w:eastAsia="仿宋_GB2312" w:cs="仿宋_GB2312"/>
                <w:sz w:val="19"/>
                <w:szCs w:val="19"/>
              </w:rPr>
              <w:t>出具已获取信息</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restart"/>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（六）其他处理</w:t>
            </w: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1.申请人无正当理由逾期不补正、行政机关不再处理其政府信息公开申请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2.申请人逾期未按收费通知要求缴纳费用、行政机关不再处理其政府信息公开申请</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1417" w:type="dxa"/>
            <w:vMerge w:val="continue"/>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2966" w:type="dxa"/>
            <w:tcBorders>
              <w:top w:val="single" w:color="000000" w:sz="6" w:space="0"/>
              <w:left w:val="single" w:color="000000" w:sz="6" w:space="0"/>
              <w:bottom w:val="single" w:color="000000" w:sz="6" w:space="0"/>
              <w:right w:val="nil"/>
            </w:tcBorders>
            <w:noWrap w:val="0"/>
            <w:tcMar>
              <w:top w:w="0" w:type="dxa"/>
              <w:left w:w="0"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仿宋_GB2312" w:eastAsia="仿宋_GB2312" w:cs="仿宋_GB2312"/>
                <w:sz w:val="19"/>
                <w:szCs w:val="19"/>
              </w:rPr>
              <w:t>3.其他</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503" w:type="dxa"/>
            <w:vMerge w:val="continue"/>
            <w:tcBorders>
              <w:top w:val="single" w:color="000000" w:sz="6" w:space="0"/>
              <w:left w:val="single" w:color="000000" w:sz="8" w:space="0"/>
              <w:bottom w:val="single" w:color="000000" w:sz="6" w:space="0"/>
              <w:right w:val="nil"/>
            </w:tcBorders>
            <w:noWrap w:val="0"/>
            <w:tcMar>
              <w:top w:w="0" w:type="dxa"/>
              <w:left w:w="115" w:type="dxa"/>
              <w:bottom w:w="0" w:type="dxa"/>
              <w:right w:w="0" w:type="dxa"/>
            </w:tcMar>
            <w:vAlign w:val="center"/>
          </w:tcPr>
          <w:p>
            <w:pPr>
              <w:rPr>
                <w:rFonts w:hint="eastAsia" w:ascii="宋体"/>
                <w:sz w:val="24"/>
                <w:szCs w:val="24"/>
              </w:rPr>
            </w:pPr>
          </w:p>
        </w:tc>
        <w:tc>
          <w:tcPr>
            <w:tcW w:w="4383" w:type="dxa"/>
            <w:gridSpan w:val="2"/>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（七）总计</w:t>
            </w:r>
          </w:p>
        </w:tc>
        <w:tc>
          <w:tcPr>
            <w:tcW w:w="5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6"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6"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r>
        <w:tblPrEx>
          <w:tblBorders>
            <w:top w:val="outset" w:color="333333" w:sz="6" w:space="0"/>
            <w:left w:val="outset" w:color="333333" w:sz="6" w:space="0"/>
            <w:bottom w:val="outset" w:color="333333" w:sz="6" w:space="0"/>
            <w:right w:val="outset" w:color="333333" w:sz="6" w:space="0"/>
            <w:insideH w:val="outset" w:color="auto" w:sz="6" w:space="0"/>
            <w:insideV w:val="outset" w:color="auto" w:sz="6" w:space="0"/>
          </w:tblBorders>
          <w:tblCellMar>
            <w:top w:w="75" w:type="dxa"/>
            <w:left w:w="150" w:type="dxa"/>
            <w:bottom w:w="75" w:type="dxa"/>
            <w:right w:w="150" w:type="dxa"/>
          </w:tblCellMar>
        </w:tblPrEx>
        <w:trPr>
          <w:jc w:val="center"/>
        </w:trPr>
        <w:tc>
          <w:tcPr>
            <w:tcW w:w="4886" w:type="dxa"/>
            <w:gridSpan w:val="3"/>
            <w:tcBorders>
              <w:top w:val="single" w:color="000000" w:sz="6" w:space="0"/>
              <w:left w:val="single" w:color="000000" w:sz="8" w:space="0"/>
              <w:bottom w:val="single" w:color="000000" w:sz="8"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rPr>
                <w:sz w:val="19"/>
                <w:szCs w:val="19"/>
              </w:rPr>
            </w:pPr>
            <w:r>
              <w:rPr>
                <w:rFonts w:hint="eastAsia" w:ascii="黑体" w:hAnsi="宋体" w:eastAsia="黑体" w:cs="黑体"/>
                <w:sz w:val="19"/>
                <w:szCs w:val="19"/>
              </w:rPr>
              <w:t>四、结转下年度继续办理</w:t>
            </w:r>
          </w:p>
        </w:tc>
        <w:tc>
          <w:tcPr>
            <w:tcW w:w="58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9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489"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63"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20"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754" w:type="dxa"/>
            <w:tcBorders>
              <w:top w:val="single" w:color="000000" w:sz="6" w:space="0"/>
              <w:left w:val="single" w:color="000000" w:sz="6" w:space="0"/>
              <w:bottom w:val="single" w:color="000000" w:sz="8" w:space="0"/>
              <w:right w:val="nil"/>
            </w:tcBorders>
            <w:noWrap w:val="0"/>
            <w:tcMar>
              <w:top w:w="0" w:type="dxa"/>
              <w:left w:w="115" w:type="dxa"/>
              <w:bottom w:w="0" w:type="dxa"/>
              <w:right w:w="0"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c>
          <w:tcPr>
            <w:tcW w:w="1320" w:type="dxa"/>
            <w:tcBorders>
              <w:top w:val="single" w:color="000000" w:sz="6" w:space="0"/>
              <w:left w:val="single" w:color="000000" w:sz="6" w:space="0"/>
              <w:bottom w:val="single" w:color="000000" w:sz="8" w:space="0"/>
              <w:right w:val="single" w:color="000000" w:sz="8" w:space="0"/>
            </w:tcBorders>
            <w:noWrap w:val="0"/>
            <w:tcMar>
              <w:top w:w="0" w:type="dxa"/>
              <w:left w:w="115" w:type="dxa"/>
              <w:bottom w:w="0" w:type="dxa"/>
              <w:right w:w="115" w:type="dxa"/>
            </w:tcMar>
            <w:vAlign w:val="center"/>
          </w:tcPr>
          <w:p>
            <w:pPr>
              <w:pStyle w:val="4"/>
              <w:keepNext w:val="0"/>
              <w:keepLines w:val="0"/>
              <w:widowControl/>
              <w:suppressLineNumbers w:val="0"/>
              <w:pBdr>
                <w:top w:val="none" w:color="auto" w:sz="0" w:space="0"/>
                <w:left w:val="none" w:color="auto" w:sz="0" w:space="0"/>
                <w:bottom w:val="none" w:color="auto" w:sz="0" w:space="0"/>
                <w:right w:val="none" w:color="auto" w:sz="0" w:space="0"/>
              </w:pBdr>
              <w:wordWrap w:val="0"/>
              <w:spacing w:before="0" w:beforeAutospacing="0" w:after="0" w:afterAutospacing="0" w:line="315" w:lineRule="atLeast"/>
              <w:ind w:left="0" w:right="0"/>
              <w:jc w:val="center"/>
              <w:rPr>
                <w:sz w:val="19"/>
                <w:szCs w:val="19"/>
              </w:rPr>
            </w:pPr>
            <w:r>
              <w:rPr>
                <w:rFonts w:hint="eastAsia" w:ascii="仿宋_GB2312" w:eastAsia="仿宋_GB2312" w:cs="仿宋_GB2312"/>
                <w:sz w:val="19"/>
                <w:szCs w:val="19"/>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四、政府信息公开行政复议、行政诉讼情况</w:t>
      </w:r>
    </w:p>
    <w:tbl>
      <w:tblPr>
        <w:tblStyle w:val="5"/>
        <w:tblpPr w:leftFromText="180" w:rightFromText="180" w:vertAnchor="text" w:horzAnchor="page" w:tblpX="1527" w:tblpY="444"/>
        <w:tblOverlap w:val="never"/>
        <w:tblW w:w="9748" w:type="dxa"/>
        <w:tblInd w:w="0" w:type="dxa"/>
        <w:tblBorders>
          <w:top w:val="none" w:color="auto" w:sz="6" w:space="0"/>
          <w:left w:val="none" w:color="auto" w:sz="6" w:space="0"/>
          <w:bottom w:val="none" w:color="auto" w:sz="6" w:space="0"/>
          <w:right w:val="none" w:color="auto" w:sz="6" w:space="0"/>
          <w:insideH w:val="outset" w:color="auto" w:sz="6" w:space="0"/>
          <w:insideV w:val="outset" w:color="auto" w:sz="6" w:space="0"/>
        </w:tblBorders>
        <w:tblLayout w:type="autofit"/>
        <w:tblCellMar>
          <w:top w:w="15" w:type="dxa"/>
          <w:left w:w="15" w:type="dxa"/>
          <w:bottom w:w="15" w:type="dxa"/>
          <w:right w:w="15" w:type="dxa"/>
        </w:tblCellMar>
      </w:tblPr>
      <w:tblGrid>
        <w:gridCol w:w="649"/>
        <w:gridCol w:w="649"/>
        <w:gridCol w:w="649"/>
        <w:gridCol w:w="649"/>
        <w:gridCol w:w="649"/>
        <w:gridCol w:w="649"/>
        <w:gridCol w:w="649"/>
        <w:gridCol w:w="650"/>
        <w:gridCol w:w="650"/>
        <w:gridCol w:w="650"/>
        <w:gridCol w:w="651"/>
        <w:gridCol w:w="651"/>
        <w:gridCol w:w="651"/>
        <w:gridCol w:w="651"/>
        <w:gridCol w:w="651"/>
      </w:tblGrid>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324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行政复议</w:t>
            </w:r>
          </w:p>
        </w:tc>
        <w:tc>
          <w:tcPr>
            <w:tcW w:w="6503" w:type="dxa"/>
            <w:gridSpan w:val="10"/>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行政诉讼</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结果维持</w:t>
            </w:r>
          </w:p>
        </w:tc>
        <w:tc>
          <w:tcPr>
            <w:tcW w:w="649" w:type="dxa"/>
            <w:vMerge w:val="restart"/>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49" w:type="dxa"/>
            <w:vMerge w:val="restart"/>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总计</w:t>
            </w:r>
          </w:p>
        </w:tc>
        <w:tc>
          <w:tcPr>
            <w:tcW w:w="3248"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未经复议直接起诉</w:t>
            </w:r>
          </w:p>
        </w:tc>
        <w:tc>
          <w:tcPr>
            <w:tcW w:w="3255" w:type="dxa"/>
            <w:gridSpan w:val="5"/>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复议后起诉</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p>
        </w:tc>
        <w:tc>
          <w:tcPr>
            <w:tcW w:w="649" w:type="dxa"/>
            <w:vMerge w:val="continue"/>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p>
        </w:tc>
        <w:tc>
          <w:tcPr>
            <w:tcW w:w="649" w:type="dxa"/>
            <w:vMerge w:val="continue"/>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其他</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结果</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0"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维持</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结果</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纠正</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其他</w:t>
            </w:r>
            <w:r>
              <w:rPr>
                <w:rFonts w:hint="eastAsia" w:ascii="宋体" w:hAnsi="宋体" w:eastAsia="宋体" w:cs="宋体"/>
                <w:color w:val="000000"/>
                <w:kern w:val="0"/>
                <w:sz w:val="20"/>
                <w:szCs w:val="20"/>
                <w:lang w:val="en-US" w:eastAsia="zh-CN" w:bidi="ar"/>
              </w:rPr>
              <w:br w:type="textWrapping"/>
            </w:r>
            <w:r>
              <w:rPr>
                <w:rFonts w:hint="eastAsia" w:ascii="宋体" w:hAnsi="宋体" w:eastAsia="宋体" w:cs="宋体"/>
                <w:color w:val="000000"/>
                <w:kern w:val="0"/>
                <w:sz w:val="20"/>
                <w:szCs w:val="20"/>
                <w:lang w:val="en-US" w:eastAsia="zh-CN" w:bidi="ar"/>
              </w:rPr>
              <w:t>结果</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auto"/>
                <w:kern w:val="0"/>
                <w:sz w:val="20"/>
                <w:szCs w:val="20"/>
                <w:lang w:val="en-US" w:eastAsia="zh-CN" w:bidi="ar"/>
              </w:rPr>
              <w:t>尚未</w:t>
            </w:r>
            <w:r>
              <w:rPr>
                <w:rFonts w:hint="eastAsia" w:ascii="宋体" w:hAnsi="宋体" w:eastAsia="宋体" w:cs="宋体"/>
                <w:color w:val="auto"/>
                <w:kern w:val="0"/>
                <w:sz w:val="20"/>
                <w:szCs w:val="20"/>
                <w:lang w:val="en-US" w:eastAsia="zh-CN" w:bidi="ar"/>
              </w:rPr>
              <w:br w:type="textWrapping"/>
            </w:r>
            <w:r>
              <w:rPr>
                <w:rFonts w:hint="eastAsia" w:ascii="宋体" w:hAnsi="宋体" w:eastAsia="宋体" w:cs="宋体"/>
                <w:color w:val="auto"/>
                <w:kern w:val="0"/>
                <w:sz w:val="20"/>
                <w:szCs w:val="20"/>
                <w:lang w:val="en-US" w:eastAsia="zh-CN" w:bidi="ar"/>
              </w:rPr>
              <w:t>审结</w:t>
            </w:r>
          </w:p>
        </w:tc>
        <w:tc>
          <w:tcPr>
            <w:tcW w:w="651" w:type="dxa"/>
            <w:tcBorders>
              <w:top w:val="single" w:color="auto" w:sz="8" w:space="0"/>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ind w:left="0" w:right="0" w:firstLine="0"/>
              <w:jc w:val="center"/>
            </w:pPr>
            <w:r>
              <w:rPr>
                <w:rFonts w:hint="eastAsia" w:ascii="宋体" w:hAnsi="宋体" w:eastAsia="宋体" w:cs="宋体"/>
                <w:color w:val="000000"/>
                <w:kern w:val="0"/>
                <w:sz w:val="20"/>
                <w:szCs w:val="20"/>
                <w:lang w:val="en-US" w:eastAsia="zh-CN" w:bidi="ar"/>
              </w:rPr>
              <w:t>总计</w:t>
            </w:r>
          </w:p>
        </w:tc>
      </w:tr>
      <w:tr>
        <w:tblPrEx>
          <w:tblBorders>
            <w:top w:val="none" w:color="auto" w:sz="6" w:space="0"/>
            <w:left w:val="none" w:color="auto" w:sz="6" w:space="0"/>
            <w:bottom w:val="none" w:color="auto" w:sz="6" w:space="0"/>
            <w:right w:val="none" w:color="auto" w:sz="6" w:space="0"/>
            <w:insideH w:val="outset" w:color="auto" w:sz="6" w:space="0"/>
            <w:insideV w:val="outset" w:color="auto" w:sz="6" w:space="0"/>
          </w:tblBorders>
          <w:tblCellMar>
            <w:top w:w="15" w:type="dxa"/>
            <w:left w:w="15" w:type="dxa"/>
            <w:bottom w:w="15" w:type="dxa"/>
            <w:right w:w="15" w:type="dxa"/>
          </w:tblCellMar>
        </w:tblPrEx>
        <w:trPr>
          <w:trHeight w:val="672" w:hRule="atLeast"/>
        </w:trPr>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eastAsiaTheme="minorEastAsia"/>
                <w:sz w:val="24"/>
                <w:szCs w:val="24"/>
                <w:lang w:val="en-US" w:eastAsia="zh-CN"/>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r>
              <w:rPr>
                <w:rFonts w:hint="eastAsia" w:ascii="宋体"/>
                <w:sz w:val="24"/>
                <w:szCs w:val="24"/>
                <w:lang w:val="en-US" w:eastAsia="zh-CN"/>
              </w:rPr>
              <w:t>0</w:t>
            </w:r>
          </w:p>
        </w:tc>
        <w:tc>
          <w:tcPr>
            <w:tcW w:w="649"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r>
              <w:rPr>
                <w:rFonts w:hint="eastAsia" w:ascii="宋体"/>
                <w:sz w:val="24"/>
                <w:szCs w:val="24"/>
                <w:lang w:val="en-US" w:eastAsia="zh-CN"/>
              </w:rPr>
              <w:t>0</w:t>
            </w:r>
          </w:p>
        </w:tc>
        <w:tc>
          <w:tcPr>
            <w:tcW w:w="650"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r>
              <w:rPr>
                <w:rFonts w:hint="eastAsia" w:ascii="宋体"/>
                <w:sz w:val="24"/>
                <w:szCs w:val="24"/>
                <w:lang w:val="en-US" w:eastAsia="zh-CN"/>
              </w:rPr>
              <w:t>0</w:t>
            </w:r>
          </w:p>
        </w:tc>
        <w:tc>
          <w:tcPr>
            <w:tcW w:w="651" w:type="dxa"/>
            <w:tcBorders>
              <w:top w:val="nil"/>
              <w:left w:val="single" w:color="auto" w:sz="8" w:space="0"/>
              <w:bottom w:val="single" w:color="auto" w:sz="8" w:space="0"/>
              <w:right w:val="single" w:color="auto" w:sz="8" w:space="0"/>
            </w:tcBorders>
            <w:noWrap w:val="0"/>
            <w:tcMar>
              <w:top w:w="0" w:type="dxa"/>
              <w:left w:w="108" w:type="dxa"/>
              <w:bottom w:w="0" w:type="dxa"/>
              <w:right w:w="108" w:type="dxa"/>
            </w:tcMar>
            <w:vAlign w:val="center"/>
          </w:tcPr>
          <w:p>
            <w:pPr>
              <w:rPr>
                <w:rFonts w:hint="eastAsia" w:ascii="宋体"/>
                <w:sz w:val="24"/>
                <w:szCs w:val="24"/>
              </w:rPr>
            </w:pPr>
            <w:r>
              <w:rPr>
                <w:rFonts w:hint="eastAsia" w:ascii="宋体"/>
                <w:sz w:val="24"/>
                <w:szCs w:val="24"/>
                <w:lang w:val="en-US" w:eastAsia="zh-CN"/>
              </w:rPr>
              <w:t>0</w:t>
            </w:r>
          </w:p>
        </w:tc>
      </w:tr>
    </w:tbl>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黑体" w:hAnsi="黑体" w:eastAsia="黑体" w:cs="黑体"/>
          <w:sz w:val="32"/>
          <w:szCs w:val="32"/>
          <w:lang w:val="en-US" w:eastAsia="zh-CN"/>
        </w:rPr>
        <w:t>五、存在的主要问题及改进情况</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lang w:val="en-US" w:eastAsia="zh-CN"/>
        </w:rPr>
      </w:pPr>
      <w:r>
        <w:rPr>
          <w:rFonts w:hint="eastAsia" w:ascii="楷体_GB2312" w:hAnsi="楷体_GB2312" w:eastAsia="楷体_GB2312" w:cs="楷体_GB2312"/>
          <w:sz w:val="32"/>
          <w:szCs w:val="32"/>
        </w:rPr>
        <w:t>（一）存在的主要问题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2025年，滕州市国资局政务公开工作虽稳步推进，但对标《中华人民共和国政府信息公开条例》要求和公众期盼，仍存在部分短板有待补齐。</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rPr>
        <w:t>公开内容精准度不足：主动公开目录部分事项细化程度不够，聚焦企业发展、群众关切的国资领域重点信息公开不够全面，与公众需求契合度有待提高。</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rPr>
        <w:t>队伍专业能力需强化：政务公开工作人员虽专职负责相关工作，但在国资领域专业知识与公开业务融合方面存在不足，对复杂信息的筛选、分类及公开尺度的把握能力仍需提升。</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（二）改进情况及下一步工作打算</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lang w:val="en-US" w:eastAsia="zh-CN"/>
        </w:rPr>
        <w:t>下一步，市国资局将重点推进两项工作提升政务公开质效：</w:t>
      </w:r>
      <w:r>
        <w:rPr>
          <w:rFonts w:hint="eastAsia" w:ascii="仿宋_GB2312" w:hAnsi="仿宋_GB2312" w:eastAsia="仿宋_GB2312" w:cs="仿宋_GB2312"/>
          <w:b/>
          <w:bCs/>
          <w:sz w:val="32"/>
          <w:szCs w:val="32"/>
          <w:lang w:val="en-US" w:eastAsia="zh-CN"/>
        </w:rPr>
        <w:t>一是</w:t>
      </w:r>
      <w:r>
        <w:rPr>
          <w:rFonts w:hint="eastAsia" w:ascii="仿宋_GB2312" w:hAnsi="仿宋_GB2312" w:eastAsia="仿宋_GB2312" w:cs="仿宋_GB2312"/>
          <w:sz w:val="32"/>
          <w:szCs w:val="32"/>
          <w:lang w:val="en-US" w:eastAsia="zh-CN"/>
        </w:rPr>
        <w:t>细化公开目录，增强针对性。对照国资监管核心职能，修订主动公开事项目录，明确重点领域公开内容、时限及标准；聚焦企业和群众高频咨询事项，梳理“需求清单”，提升实用性。</w:t>
      </w:r>
      <w:r>
        <w:rPr>
          <w:rFonts w:hint="eastAsia" w:ascii="仿宋_GB2312" w:hAnsi="仿宋_GB2312" w:eastAsia="仿宋_GB2312" w:cs="仿宋_GB2312"/>
          <w:b/>
          <w:bCs/>
          <w:sz w:val="32"/>
          <w:szCs w:val="32"/>
          <w:lang w:val="en-US" w:eastAsia="zh-CN"/>
        </w:rPr>
        <w:t>二是</w:t>
      </w:r>
      <w:r>
        <w:rPr>
          <w:rFonts w:hint="eastAsia" w:ascii="仿宋_GB2312" w:hAnsi="仿宋_GB2312" w:eastAsia="仿宋_GB2312" w:cs="仿宋_GB2312"/>
          <w:sz w:val="32"/>
          <w:szCs w:val="32"/>
          <w:lang w:val="en-US" w:eastAsia="zh-CN"/>
        </w:rPr>
        <w:t>强化能力建设，夯实基础。将政务公开培训纳入年度计划，通过专题授课、案例研讨等提升工作人员业务能力。</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rPr>
      </w:pPr>
      <w:r>
        <w:rPr>
          <w:rFonts w:hint="eastAsia" w:ascii="黑体" w:hAnsi="黑体" w:eastAsia="黑体" w:cs="黑体"/>
          <w:sz w:val="32"/>
          <w:szCs w:val="32"/>
        </w:rPr>
        <w:t>六、其他需要报告的事项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1、滕州市</w:t>
      </w:r>
      <w:r>
        <w:rPr>
          <w:rFonts w:hint="eastAsia" w:ascii="仿宋_GB2312" w:hAnsi="仿宋_GB2312" w:eastAsia="仿宋_GB2312" w:cs="仿宋_GB2312"/>
          <w:sz w:val="32"/>
          <w:szCs w:val="32"/>
          <w:lang w:val="en-US" w:eastAsia="zh-CN"/>
        </w:rPr>
        <w:t>国资局</w:t>
      </w:r>
      <w:r>
        <w:rPr>
          <w:rFonts w:hint="eastAsia" w:ascii="仿宋_GB2312" w:hAnsi="仿宋_GB2312" w:eastAsia="仿宋_GB2312" w:cs="仿宋_GB2312"/>
          <w:sz w:val="32"/>
          <w:szCs w:val="32"/>
        </w:rPr>
        <w:t>本年度未收取政府信息处理费。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2、202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年滕州市</w:t>
      </w:r>
      <w:r>
        <w:rPr>
          <w:rFonts w:hint="eastAsia" w:ascii="仿宋_GB2312" w:hAnsi="仿宋_GB2312" w:eastAsia="仿宋_GB2312" w:cs="仿宋_GB2312"/>
          <w:sz w:val="32"/>
          <w:szCs w:val="32"/>
          <w:lang w:val="en-US" w:eastAsia="zh-CN"/>
        </w:rPr>
        <w:t>国资局</w:t>
      </w:r>
      <w:r>
        <w:rPr>
          <w:rFonts w:hint="eastAsia" w:ascii="仿宋_GB2312" w:hAnsi="仿宋_GB2312" w:eastAsia="仿宋_GB2312" w:cs="仿宋_GB2312"/>
          <w:sz w:val="32"/>
          <w:szCs w:val="32"/>
        </w:rPr>
        <w:t>按照《滕州市202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年政务公开工作要点》要求，认真做好政务公开工作，及时发布相关信息，确保政务公开工作成效。</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3、202</w:t>
      </w:r>
      <w:r>
        <w:rPr>
          <w:rFonts w:hint="eastAsia" w:ascii="仿宋_GB2312" w:hAnsi="仿宋_GB2312" w:eastAsia="仿宋_GB2312" w:cs="仿宋_GB2312"/>
          <w:sz w:val="32"/>
          <w:szCs w:val="32"/>
          <w:lang w:val="en-US" w:eastAsia="zh-CN"/>
        </w:rPr>
        <w:t>5</w:t>
      </w:r>
      <w:r>
        <w:rPr>
          <w:rFonts w:hint="eastAsia" w:ascii="仿宋_GB2312" w:hAnsi="仿宋_GB2312" w:eastAsia="仿宋_GB2312" w:cs="仿宋_GB2312"/>
          <w:sz w:val="32"/>
          <w:szCs w:val="32"/>
        </w:rPr>
        <w:t>年，滕州市国资局未收到未办理市级政协提案</w:t>
      </w:r>
      <w:r>
        <w:rPr>
          <w:rFonts w:hint="eastAsia" w:ascii="仿宋_GB2312" w:hAnsi="仿宋_GB2312" w:eastAsia="仿宋_GB2312" w:cs="仿宋_GB2312"/>
          <w:sz w:val="32"/>
          <w:szCs w:val="32"/>
          <w:lang w:eastAsia="zh-CN"/>
        </w:rPr>
        <w:t>、</w:t>
      </w:r>
      <w:r>
        <w:rPr>
          <w:rFonts w:hint="eastAsia" w:ascii="仿宋_GB2312" w:hAnsi="仿宋_GB2312" w:eastAsia="仿宋_GB2312" w:cs="仿宋_GB2312"/>
          <w:sz w:val="32"/>
          <w:szCs w:val="32"/>
        </w:rPr>
        <w:t>人大建议。</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4、2025年，滕州市国资局坚持以群众需求为导向，持续创新政务公开传播方式。官方微信公众号在优化文字、图片等传统公开形式的基础上，新增短视频传播载体，让政务信息从“纸面”走向“指尖”。</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5、无政府信息公开工作年报报告数据统计中需要说明的事项。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Pr>
        <w:t>6、无其他需要报告事项。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仿宋_GB2312" w:hAnsi="仿宋_GB2312" w:eastAsia="仿宋_GB2312" w:cs="仿宋_GB2312"/>
          <w:sz w:val="32"/>
          <w:szCs w:val="32"/>
          <w:lang w:val="en-US" w:eastAsia="zh-CN"/>
        </w:rPr>
      </w:pPr>
      <w:r>
        <w:rPr>
          <w:rFonts w:hint="eastAsia" w:ascii="仿宋_GB2312" w:hAnsi="仿宋_GB2312" w:eastAsia="仿宋_GB2312" w:cs="仿宋_GB2312"/>
          <w:sz w:val="32"/>
          <w:szCs w:val="32"/>
        </w:rPr>
        <w:t>7、本报告的电子版可在“中国滕州网”（http://www.tengzhou.gov.cn/）网站查询和下载。如对本报告有任何疑问，请与滕州市</w:t>
      </w:r>
      <w:r>
        <w:rPr>
          <w:rFonts w:hint="eastAsia" w:ascii="仿宋_GB2312" w:hAnsi="仿宋_GB2312" w:eastAsia="仿宋_GB2312" w:cs="仿宋_GB2312"/>
          <w:sz w:val="32"/>
          <w:szCs w:val="32"/>
          <w:lang w:val="en-US" w:eastAsia="zh-CN"/>
        </w:rPr>
        <w:t>国资局</w:t>
      </w:r>
      <w:r>
        <w:rPr>
          <w:rFonts w:hint="eastAsia" w:ascii="仿宋_GB2312" w:hAnsi="仿宋_GB2312" w:eastAsia="仿宋_GB2312" w:cs="仿宋_GB2312"/>
          <w:sz w:val="32"/>
          <w:szCs w:val="32"/>
        </w:rPr>
        <w:t>办公室联系。（地址：山东省滕州市北辛中路政务中心A415-1房间，联系电话：0632—8055155，电子邮箱：gzjgjbgs@zz.shandong.</w:t>
      </w:r>
      <w:bookmarkStart w:id="9" w:name="_GoBack"/>
      <w:bookmarkEnd w:id="9"/>
      <w:r>
        <w:rPr>
          <w:rFonts w:hint="eastAsia" w:ascii="仿宋_GB2312" w:hAnsi="仿宋_GB2312" w:eastAsia="仿宋_GB2312" w:cs="仿宋_GB2312"/>
          <w:sz w:val="32"/>
          <w:szCs w:val="32"/>
        </w:rPr>
        <w:t>cn）。</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Calibri">
    <w:panose1 w:val="020F0502020204030204"/>
    <w:charset w:val="00"/>
    <w:family w:val="swiss"/>
    <w:pitch w:val="default"/>
    <w:sig w:usb0="E0002EFF" w:usb1="C000247B" w:usb2="00000009" w:usb3="00000000" w:csb0="200001F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8240"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true"/>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false" anchor="t" anchorCtr="false" forceAA="false" upright="false" compatLnSpc="true">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8240;mso-width-relative:page;mso-height-relative:page;" filled="f" stroked="f" coordsize="21600,21600" o:gfxdata="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FgAAAGRycy9QSwECFAAUAAAA&#10;CACHTuJAs0lY7tAAAAAFAQAADwAAAAAAAAABACAAAAA4AAAAZHJzL2Rvd25yZXYueG1sUEsBAhQA&#10;FAAAAAgAh07iQHZIUkvIAgAA7AUAAA4AAAAAAAAAAQAgAAAANQEAAGRycy9lMm9Eb2MueG1sUEsF&#10;BgAAAAAGAAYAWQEAAG8GAAAAAA==&#10;">
              <v:fill on="f" focussize="0,0"/>
              <v:stroke on="f" weight="0.5pt"/>
              <v:imagedata o:title=""/>
              <o:lock v:ext="edit" aspectratio="f"/>
              <v:textbox inset="0mm,0mm,0mm,0mm" style="mso-fit-shape-to-text:t;">
                <w:txbxContent>
                  <w:p>
                    <w:pPr>
                      <w:pStyle w:val="2"/>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4FD2C6DF"/>
    <w:multiLevelType w:val="singleLevel"/>
    <w:tmpl w:val="4FD2C6DF"/>
    <w:lvl w:ilvl="0" w:tentative="0">
      <w:start w:val="3"/>
      <w:numFmt w:val="chineseCounting"/>
      <w:suff w:val="nothing"/>
      <w:lvlText w:val="（%1）"/>
      <w:lvlJc w:val="left"/>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0"/>
  <w:embedSystemFonts/>
  <w:bordersDoNotSurroundHeader w:val="false"/>
  <w:bordersDoNotSurroundFooter w:val="false"/>
  <w:documentProtection w:enforcement="0"/>
  <w:defaultTabStop w:val="420"/>
  <w:drawingGridVerticalSpacing w:val="156"/>
  <w:displayHorizontalDrawingGridEvery w:val="1"/>
  <w:displayVerticalDrawingGridEvery w:val="1"/>
  <w:noPunctuationKerning w:val="true"/>
  <w:characterSpacingControl w:val="compressPunctuation"/>
  <w:compat>
    <w:spaceForUL/>
    <w:balanceSingleByteDoubleByteWidth/>
    <w:doNotLeaveBackslashAlone/>
    <w:ulTrailSpac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1953F4A"/>
    <w:rsid w:val="09945539"/>
    <w:rsid w:val="0E5F6E7C"/>
    <w:rsid w:val="1ED270CC"/>
    <w:rsid w:val="309D08C8"/>
    <w:rsid w:val="350D601C"/>
    <w:rsid w:val="52884ADC"/>
    <w:rsid w:val="56102938"/>
    <w:rsid w:val="5EB84830"/>
    <w:rsid w:val="65F52031"/>
    <w:rsid w:val="6AE82164"/>
    <w:rsid w:val="6B625689"/>
    <w:rsid w:val="6EF32B5C"/>
    <w:rsid w:val="7329156C"/>
    <w:rsid w:val="74634609"/>
    <w:rsid w:val="76BD26F7"/>
    <w:rsid w:val="77152964"/>
    <w:rsid w:val="7B807A28"/>
    <w:rsid w:val="7F0B7D77"/>
    <w:rsid w:val="F83FB79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6">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4">
    <w:name w:val="Normal (Web)"/>
    <w:basedOn w:val="1"/>
    <w:qFormat/>
    <w:uiPriority w:val="0"/>
    <w:pPr>
      <w:spacing w:before="100" w:beforeAutospacing="1" w:after="10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false"/>
        </a:gradFill>
        <a:gradFill>
          <a:gsLst>
            <a:gs pos="0">
              <a:schemeClr val="phClr">
                <a:hueOff val="-2520000"/>
              </a:schemeClr>
            </a:gs>
            <a:gs pos="100000">
              <a:schemeClr val="phClr"/>
            </a:gs>
          </a:gsLst>
          <a:lin ang="2700000" scaled="false"/>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true"/>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1286</Words>
  <Characters>1330</Characters>
  <Lines>0</Lines>
  <Paragraphs>0</Paragraphs>
  <TotalTime>6</TotalTime>
  <ScaleCrop>false</ScaleCrop>
  <LinksUpToDate>false</LinksUpToDate>
  <CharactersWithSpaces>1336</CharactersWithSpaces>
  <Application>WPS Office_11.8.2.10337_F1E327BC-269C-435d-A152-05C5408002CA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2026-01-08T11:02:00Z</dcterms:created>
  <dc:creator>Administrator</dc:creator>
  <cp:lastModifiedBy>爱新觉罗-琛</cp:lastModifiedBy>
  <dcterms:modified xsi:type="dcterms:W3CDTF">2026-01-19T15:35:13Z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2052-11.8.2.10337</vt:lpwstr>
  </property>
  <property fmtid="{D5CDD505-2E9C-101B-9397-08002B2CF9AE}" pid="3" name="KSOTemplateDocerSaveRecord">
    <vt:lpwstr>eyJoZGlkIjoiMDE5MGVhYWUyODNmZjc5ZGViYTAwZmQyZjljMWNhZTMiLCJ1c2VySWQiOiIzMzc0MjMyOTEifQ==</vt:lpwstr>
  </property>
  <property fmtid="{D5CDD505-2E9C-101B-9397-08002B2CF9AE}" pid="4" name="ICV">
    <vt:lpwstr>B97A240F28384998999505D1DAB88DF1_12</vt:lpwstr>
  </property>
</Properties>
</file>