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ABF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滕州市教育和体育局</w:t>
      </w:r>
    </w:p>
    <w:p w14:paraId="1C5EE5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2025年</w:t>
      </w:r>
      <w:r>
        <w:rPr>
          <w:rFonts w:hint="eastAsia" w:ascii="方正小标宋_GBK" w:hAnsi="方正小标宋_GBK" w:eastAsia="方正小标宋_GBK" w:cs="方正小标宋_GBK"/>
          <w:b w:val="0"/>
          <w:bCs/>
          <w:sz w:val="44"/>
          <w:szCs w:val="44"/>
        </w:rPr>
        <w:t>政府信息公开工作年度报告</w:t>
      </w:r>
    </w:p>
    <w:p w14:paraId="5E20AE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52365991">
      <w:pPr>
        <w:pStyle w:val="5"/>
        <w:keepNext w:val="0"/>
        <w:keepLines w:val="0"/>
        <w:widowControl/>
        <w:suppressLineNumbers w:val="0"/>
        <w:spacing w:before="0" w:beforeAutospacing="0" w:after="0" w:afterAutospacing="0" w:line="315" w:lineRule="atLeast"/>
        <w:ind w:left="0" w:firstLine="640" w:firstLineChars="200"/>
        <w:jc w:val="both"/>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按照《中华人民共和国政府信息公开条例》和《国务院办公厅政府信息与政务公开办公室关于印发＜中华人民共和国政府信息公开工作年度报告格式＞的通知》（国办公开办函〔2021〕30号）以及有关文件要求，编制滕州市教育和体育局2025年度信息公开工作年度报告。本报告所列数据的统计时限自2025年1月1日起至2025年12月31日止。</w:t>
      </w:r>
    </w:p>
    <w:p w14:paraId="6187B2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仿宋_GB2312" w:hAnsi="宋体" w:eastAsia="仿宋_GB2312" w:cs="仿宋_GB2312"/>
          <w:i w:val="0"/>
          <w:iCs w:val="0"/>
          <w:caps w:val="0"/>
          <w:color w:val="000000"/>
          <w:spacing w:val="0"/>
          <w:sz w:val="27"/>
          <w:szCs w:val="27"/>
        </w:rPr>
      </w:pPr>
      <w:r>
        <w:rPr>
          <w:rFonts w:hint="eastAsia" w:ascii="黑体" w:hAnsi="黑体" w:eastAsia="黑体" w:cs="黑体"/>
          <w:b w:val="0"/>
          <w:bCs/>
          <w:sz w:val="32"/>
          <w:szCs w:val="32"/>
        </w:rPr>
        <w:t>一、总体情况</w:t>
      </w:r>
    </w:p>
    <w:p w14:paraId="39AECDE8">
      <w:pPr>
        <w:pStyle w:val="5"/>
        <w:keepNext w:val="0"/>
        <w:keepLines w:val="0"/>
        <w:widowControl/>
        <w:suppressLineNumbers w:val="0"/>
        <w:spacing w:before="0" w:beforeAutospacing="0" w:after="0" w:afterAutospacing="0" w:line="315" w:lineRule="atLeast"/>
        <w:ind w:left="0" w:firstLine="640" w:firstLineChars="200"/>
        <w:jc w:val="both"/>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楷体_GB2312" w:hAnsi="楷体_GB2312" w:eastAsia="楷体_GB2312" w:cs="楷体_GB2312"/>
          <w:color w:val="auto"/>
          <w:kern w:val="2"/>
          <w:sz w:val="32"/>
          <w:szCs w:val="32"/>
          <w:highlight w:val="none"/>
          <w:shd w:val="clear" w:color="auto" w:fill="auto"/>
          <w:lang w:val="en-US" w:eastAsia="zh-CN" w:bidi="ar-SA"/>
        </w:rPr>
        <w:t>（一）主动公开政府信息情况</w:t>
      </w:r>
    </w:p>
    <w:p w14:paraId="39EF3217">
      <w:pPr>
        <w:pStyle w:val="5"/>
        <w:keepNext w:val="0"/>
        <w:keepLines w:val="0"/>
        <w:widowControl/>
        <w:suppressLineNumbers w:val="0"/>
        <w:spacing w:before="0" w:beforeAutospacing="0" w:after="0" w:afterAutospacing="0" w:line="315" w:lineRule="atLeast"/>
        <w:ind w:left="0" w:firstLine="640" w:firstLineChars="200"/>
        <w:jc w:val="both"/>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教育体育局机关基本信息公开工作。2025年，主动公开基本信息共128条。其中部门文件6条，涉及义务教育划片、高中阶段学校招生志愿填报、教师资格认定、人大建议、政协提案等信息。</w:t>
      </w:r>
    </w:p>
    <w:p w14:paraId="17C6395F">
      <w:pPr>
        <w:pStyle w:val="5"/>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27"/>
          <w:szCs w:val="27"/>
        </w:rPr>
      </w:pPr>
      <w:r>
        <w:drawing>
          <wp:inline distT="0" distB="0" distL="114300" distR="114300">
            <wp:extent cx="5057140" cy="2741930"/>
            <wp:effectExtent l="0" t="0" r="1016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057140" cy="2741930"/>
                    </a:xfrm>
                    <a:prstGeom prst="rect">
                      <a:avLst/>
                    </a:prstGeom>
                    <a:noFill/>
                    <a:ln>
                      <a:noFill/>
                    </a:ln>
                  </pic:spPr>
                </pic:pic>
              </a:graphicData>
            </a:graphic>
          </wp:inline>
        </w:drawing>
      </w:r>
    </w:p>
    <w:p w14:paraId="3398604C">
      <w:pPr>
        <w:bidi w:val="0"/>
        <w:ind w:firstLine="640" w:firstLineChars="200"/>
        <w:rPr>
          <w:rFonts w:hint="default" w:ascii="sans-serif" w:hAnsi="sans-serif" w:eastAsia="sans-serif" w:cs="sans-serif"/>
          <w:i w:val="0"/>
          <w:iCs w:val="0"/>
          <w:caps w:val="0"/>
          <w:color w:val="000000"/>
          <w:spacing w:val="0"/>
          <w:sz w:val="27"/>
          <w:szCs w:val="27"/>
        </w:rPr>
      </w:pPr>
      <w:r>
        <w:rPr>
          <w:rFonts w:hint="eastAsia" w:ascii="仿宋_GB2312" w:hAnsi="仿宋_GB2312" w:eastAsia="仿宋_GB2312" w:cs="仿宋_GB2312"/>
          <w:color w:val="auto"/>
          <w:kern w:val="2"/>
          <w:sz w:val="32"/>
          <w:szCs w:val="32"/>
          <w:highlight w:val="none"/>
          <w:shd w:val="clear" w:color="auto" w:fill="auto"/>
          <w:lang w:val="en-US" w:eastAsia="zh-CN" w:bidi="ar-SA"/>
        </w:rPr>
        <w:t>所属中小学信息公开工作。将信息公开工作列入全市教育和体育工作的目标任务中，与其他工作统一规划、统一部署，并将政务信息公开工作的好坏作为年度评比考核指标之一。定期维护滕州市教育资源公共服务云平台（http://www.tzjtzy.cn）集中公开中小学信息。并在滕州市公共企事业单位信息公开平台集中链接市属重点学校公开信息。各学校明确专人保障信息公开内容，尤其是校务公开以及群众关心关注的教育情况。 </w:t>
      </w:r>
    </w:p>
    <w:p w14:paraId="4D4BF4D1">
      <w:pPr>
        <w:pStyle w:val="5"/>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27"/>
          <w:szCs w:val="27"/>
        </w:rPr>
      </w:pPr>
      <w:r>
        <w:drawing>
          <wp:inline distT="0" distB="0" distL="114300" distR="114300">
            <wp:extent cx="5543550" cy="2903855"/>
            <wp:effectExtent l="0" t="0" r="0" b="1079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543550" cy="2903855"/>
                    </a:xfrm>
                    <a:prstGeom prst="rect">
                      <a:avLst/>
                    </a:prstGeom>
                    <a:noFill/>
                    <a:ln>
                      <a:noFill/>
                    </a:ln>
                  </pic:spPr>
                </pic:pic>
              </a:graphicData>
            </a:graphic>
          </wp:inline>
        </w:drawing>
      </w:r>
    </w:p>
    <w:p w14:paraId="61949C3D">
      <w:pPr>
        <w:bidi w:val="0"/>
        <w:ind w:firstLine="640" w:firstLineChars="200"/>
        <w:rPr>
          <w:rFonts w:hint="default" w:ascii="楷体_GB2312" w:hAnsi="楷体_GB2312" w:eastAsia="楷体_GB2312" w:cs="楷体_GB2312"/>
          <w:color w:val="auto"/>
          <w:kern w:val="2"/>
          <w:sz w:val="32"/>
          <w:szCs w:val="32"/>
          <w:highlight w:val="none"/>
          <w:shd w:val="clear" w:color="auto" w:fill="auto"/>
          <w:lang w:val="en-US" w:eastAsia="zh-CN" w:bidi="ar-SA"/>
        </w:rPr>
      </w:pPr>
      <w:r>
        <w:rPr>
          <w:rFonts w:hint="eastAsia" w:ascii="楷体_GB2312" w:hAnsi="楷体_GB2312" w:eastAsia="楷体_GB2312" w:cs="楷体_GB2312"/>
          <w:color w:val="auto"/>
          <w:kern w:val="2"/>
          <w:sz w:val="32"/>
          <w:szCs w:val="32"/>
          <w:highlight w:val="none"/>
          <w:shd w:val="clear" w:color="auto" w:fill="auto"/>
          <w:lang w:val="en-US" w:eastAsia="zh-CN" w:bidi="ar-SA"/>
        </w:rPr>
        <w:t>（二）政府信息依申请公开情况 </w:t>
      </w:r>
    </w:p>
    <w:p w14:paraId="4DD6004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sz w:val="32"/>
          <w:szCs w:val="32"/>
          <w:highlight w:val="none"/>
          <w:shd w:val="clear" w:color="auto" w:fill="auto"/>
          <w:lang w:val="en-US" w:eastAsia="zh-CN"/>
        </w:rPr>
        <w:t>健全依申请公开接收、审查、办理、答复全流程工作机制，明确办理时限和责任分工，工作重点正从“被动答复”向“主动服务”深化，以更好地满足社会需求。</w:t>
      </w:r>
      <w:r>
        <w:rPr>
          <w:rFonts w:hint="eastAsia" w:ascii="仿宋_GB2312" w:hAnsi="仿宋_GB2312" w:eastAsia="仿宋_GB2312" w:cs="仿宋_GB2312"/>
          <w:color w:val="auto"/>
          <w:kern w:val="2"/>
          <w:sz w:val="32"/>
          <w:szCs w:val="32"/>
          <w:highlight w:val="none"/>
          <w:shd w:val="clear" w:color="auto" w:fill="auto"/>
          <w:lang w:val="en-US" w:eastAsia="zh-CN" w:bidi="ar-SA"/>
        </w:rPr>
        <w:t>2025年，共受理公民、法人和其他组织政府信息公开申请3件，均为线上平台申请3件，全部按期答复、办理完毕，其中予以公开2件，信息不存在1件。因政府信息公开申请提起的行政复议1件，无行政诉讼情况。</w:t>
      </w:r>
    </w:p>
    <w:p w14:paraId="3AC70BA8">
      <w:pPr>
        <w:bidi w:val="0"/>
        <w:ind w:firstLine="640" w:firstLineChars="200"/>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楷体_GB2312" w:hAnsi="楷体_GB2312" w:eastAsia="楷体_GB2312" w:cs="楷体_GB2312"/>
          <w:color w:val="auto"/>
          <w:kern w:val="2"/>
          <w:sz w:val="32"/>
          <w:szCs w:val="32"/>
          <w:highlight w:val="none"/>
          <w:shd w:val="clear" w:color="auto" w:fill="auto"/>
          <w:lang w:val="en-US" w:eastAsia="zh-CN" w:bidi="ar-SA"/>
        </w:rPr>
        <w:t>（三）政府信息管理情况</w:t>
      </w:r>
    </w:p>
    <w:p w14:paraId="2748F698">
      <w:pPr>
        <w:bidi w:val="0"/>
        <w:ind w:firstLine="640" w:firstLineChars="200"/>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教育体育局细化了信息审核的“三审三校”制度，同时严格按照《中华人民共和国保守国家秘密法》及相关规定，严格执行政府信息公开前保密审查制度，明确审查工作程序和责任，坚持“谁审查谁负责”“先审核后公开”和“一事一审”的原则，对拟公开的政府信息进行严格的保密审查，严格禁止未经审查和批准的政府信息对外公开。截至目前，在我局对外公开的政府信息中未发现涉密信息。</w:t>
      </w:r>
    </w:p>
    <w:p w14:paraId="6AAD6717">
      <w:pPr>
        <w:bidi w:val="0"/>
        <w:ind w:firstLine="640" w:firstLineChars="200"/>
        <w:rPr>
          <w:rFonts w:hint="default" w:ascii="楷体_GB2312" w:hAnsi="楷体_GB2312" w:eastAsia="楷体_GB2312" w:cs="楷体_GB2312"/>
          <w:color w:val="auto"/>
          <w:kern w:val="2"/>
          <w:sz w:val="32"/>
          <w:szCs w:val="32"/>
          <w:highlight w:val="none"/>
          <w:shd w:val="clear" w:color="auto" w:fill="auto"/>
          <w:lang w:val="en-US" w:eastAsia="zh-CN" w:bidi="ar-SA"/>
        </w:rPr>
      </w:pPr>
      <w:r>
        <w:rPr>
          <w:rFonts w:hint="eastAsia" w:ascii="楷体_GB2312" w:hAnsi="楷体_GB2312" w:eastAsia="楷体_GB2312" w:cs="楷体_GB2312"/>
          <w:color w:val="auto"/>
          <w:kern w:val="2"/>
          <w:sz w:val="32"/>
          <w:szCs w:val="32"/>
          <w:highlight w:val="none"/>
          <w:shd w:val="clear" w:color="auto" w:fill="auto"/>
          <w:lang w:val="en-US" w:eastAsia="zh-CN" w:bidi="ar-SA"/>
        </w:rPr>
        <w:t>（四）公开平台建设情况</w:t>
      </w:r>
    </w:p>
    <w:p w14:paraId="240ABF9F">
      <w:pPr>
        <w:bidi w:val="0"/>
        <w:ind w:firstLine="640" w:firstLineChars="200"/>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定期维护滕州市教育资源公共服务云平台，集中公开中小学信息。并在滕州市公共企事业单位信息公开平台集中链接市属重点学校公开信息。各学校明确专人保障信息公开内容，尤其是校务公开以及群众关心关注的教育情况。加强对滕州市政府官网政府信息公开页面的信息保障，及时信息公开，确保教育和体育局信息公开及时高效。加强对滕州市教育和体育局微信公众号名称等政务新媒体的管理，强化政府信息公开职能。积极与上级政务公开部门对接，及时更新网站专栏设置，确保高效信息公开。</w:t>
      </w:r>
    </w:p>
    <w:p w14:paraId="7E256447">
      <w:pPr>
        <w:bidi w:val="0"/>
        <w:ind w:firstLine="640" w:firstLineChars="200"/>
        <w:rPr>
          <w:rFonts w:hint="default" w:ascii="楷体_GB2312" w:hAnsi="楷体_GB2312" w:eastAsia="楷体_GB2312" w:cs="楷体_GB2312"/>
          <w:color w:val="auto"/>
          <w:kern w:val="2"/>
          <w:sz w:val="32"/>
          <w:szCs w:val="32"/>
          <w:highlight w:val="none"/>
          <w:shd w:val="clear" w:color="auto" w:fill="auto"/>
          <w:lang w:val="en-US" w:eastAsia="zh-CN" w:bidi="ar-SA"/>
        </w:rPr>
      </w:pPr>
      <w:r>
        <w:rPr>
          <w:rFonts w:hint="eastAsia" w:ascii="楷体_GB2312" w:hAnsi="楷体_GB2312" w:eastAsia="楷体_GB2312" w:cs="楷体_GB2312"/>
          <w:color w:val="auto"/>
          <w:kern w:val="2"/>
          <w:sz w:val="32"/>
          <w:szCs w:val="32"/>
          <w:highlight w:val="none"/>
          <w:shd w:val="clear" w:color="auto" w:fill="auto"/>
          <w:lang w:val="en-US" w:eastAsia="zh-CN" w:bidi="ar-SA"/>
        </w:rPr>
        <w:t>（五）监督保障情况</w:t>
      </w:r>
    </w:p>
    <w:p w14:paraId="6F203F91">
      <w:pPr>
        <w:bidi w:val="0"/>
        <w:ind w:firstLine="640" w:firstLineChars="200"/>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根据市级信息公开工作计划，制定了我单位的工作计划，按季度进行业务培训。教体局</w:t>
      </w:r>
      <w:bookmarkStart w:id="10" w:name="_GoBack"/>
      <w:bookmarkEnd w:id="10"/>
      <w:r>
        <w:rPr>
          <w:rFonts w:hint="eastAsia" w:ascii="仿宋_GB2312" w:hAnsi="仿宋_GB2312" w:eastAsia="仿宋_GB2312" w:cs="仿宋_GB2312"/>
          <w:color w:val="auto"/>
          <w:kern w:val="2"/>
          <w:sz w:val="32"/>
          <w:szCs w:val="32"/>
          <w:highlight w:val="none"/>
          <w:shd w:val="clear" w:color="auto" w:fill="auto"/>
          <w:lang w:val="en-US" w:eastAsia="zh-CN" w:bidi="ar-SA"/>
        </w:rPr>
        <w:t>始终将政务公开摆在全局工作的重要位置，坚持主要领导总体抓、分管领导具体抓、相关科室协同落实的工作机制，将政务公开深度融入各项业务工作的决策、执行、管理、服务全过程，通过强化统筹协调、常态监督与人员培训，确保责任层层压实</w:t>
      </w:r>
      <w:r>
        <w:rPr>
          <w:rFonts w:hint="eastAsia" w:ascii="仿宋_GB2312" w:hAnsi="仿宋_GB2312" w:eastAsia="仿宋_GB2312" w:cs="仿宋_GB2312"/>
          <w:color w:val="auto"/>
          <w:kern w:val="2"/>
          <w:sz w:val="32"/>
          <w:szCs w:val="32"/>
          <w:highlight w:val="none"/>
          <w:shd w:val="clear" w:color="auto" w:fill="auto"/>
          <w:lang w:val="en-US" w:eastAsia="zh-CN" w:bidi="ar-SA"/>
        </w:rPr>
        <w:t>。2025年，教体局未发生因政府信息公开审查不当或保密审查机构未履行保密审查职责而引起的失泄密情况。</w:t>
      </w:r>
    </w:p>
    <w:p w14:paraId="12D49E18">
      <w:pPr>
        <w:pStyle w:val="5"/>
        <w:keepNext w:val="0"/>
        <w:keepLines w:val="0"/>
        <w:widowControl/>
        <w:suppressLineNumbers w:val="0"/>
        <w:spacing w:after="0" w:afterAutospacing="0" w:line="315" w:lineRule="atLeast"/>
        <w:ind w:left="0" w:firstLine="0"/>
        <w:jc w:val="center"/>
        <w:rPr>
          <w:rFonts w:hint="default" w:ascii="sans-serif" w:hAnsi="sans-serif" w:eastAsia="sans-serif" w:cs="sans-serif"/>
          <w:i w:val="0"/>
          <w:iCs w:val="0"/>
          <w:caps w:val="0"/>
          <w:color w:val="000000"/>
          <w:spacing w:val="0"/>
          <w:sz w:val="32"/>
          <w:szCs w:val="32"/>
        </w:rPr>
      </w:pPr>
      <w:r>
        <w:rPr>
          <w:rFonts w:ascii="黑体" w:hAnsi="宋体" w:eastAsia="黑体" w:cs="黑体"/>
          <w:i w:val="0"/>
          <w:iCs w:val="0"/>
          <w:caps w:val="0"/>
          <w:color w:val="000000"/>
          <w:spacing w:val="0"/>
          <w:sz w:val="32"/>
          <w:szCs w:val="32"/>
        </w:rPr>
        <w:t>二、</w:t>
      </w:r>
      <w:r>
        <w:rPr>
          <w:rFonts w:hint="eastAsia" w:ascii="黑体" w:hAnsi="宋体" w:eastAsia="黑体" w:cs="黑体"/>
          <w:i w:val="0"/>
          <w:iCs w:val="0"/>
          <w:caps w:val="0"/>
          <w:color w:val="000000"/>
          <w:spacing w:val="0"/>
          <w:sz w:val="32"/>
          <w:szCs w:val="32"/>
        </w:rPr>
        <w:t>主动公开政府信息情况统计表</w:t>
      </w:r>
    </w:p>
    <w:tbl>
      <w:tblPr>
        <w:tblStyle w:val="6"/>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1970"/>
        <w:gridCol w:w="1985"/>
        <w:gridCol w:w="1985"/>
        <w:gridCol w:w="2596"/>
      </w:tblGrid>
      <w:tr w14:paraId="64F88E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8580" w:type="dxa"/>
            <w:gridSpan w:val="4"/>
            <w:tcBorders>
              <w:top w:val="single" w:color="000000" w:sz="6" w:space="0"/>
              <w:left w:val="single" w:color="000000" w:sz="6" w:space="0"/>
              <w:bottom w:val="single" w:color="000000" w:sz="6" w:space="0"/>
              <w:right w:val="single" w:color="000000" w:sz="6" w:space="0"/>
            </w:tcBorders>
            <w:shd w:val="clear" w:color="auto" w:fill="C6D9F1"/>
            <w:tcMar>
              <w:top w:w="0" w:type="dxa"/>
              <w:left w:w="115" w:type="dxa"/>
              <w:bottom w:w="0" w:type="dxa"/>
              <w:right w:w="115" w:type="dxa"/>
            </w:tcMar>
            <w:vAlign w:val="center"/>
          </w:tcPr>
          <w:p w14:paraId="7A7C21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rPr>
              <w:t>第二十条第（一）项</w:t>
            </w:r>
          </w:p>
        </w:tc>
      </w:tr>
      <w:tr w14:paraId="740FC6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1980" w:type="dxa"/>
            <w:tcBorders>
              <w:top w:val="nil"/>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097875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信息内容</w:t>
            </w:r>
          </w:p>
        </w:tc>
        <w:tc>
          <w:tcPr>
            <w:tcW w:w="1995"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1F8E52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本年制发件数</w:t>
            </w:r>
          </w:p>
        </w:tc>
        <w:tc>
          <w:tcPr>
            <w:tcW w:w="1995"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46C773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本年废止件数</w:t>
            </w: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1357C5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现行有效件数</w:t>
            </w:r>
          </w:p>
        </w:tc>
      </w:tr>
      <w:tr w14:paraId="137894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1980" w:type="dxa"/>
            <w:tcBorders>
              <w:top w:val="nil"/>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B42A5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规章</w:t>
            </w:r>
          </w:p>
        </w:tc>
        <w:tc>
          <w:tcPr>
            <w:tcW w:w="1995"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3770BF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1995"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689A3F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40B4837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37C42B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1980" w:type="dxa"/>
            <w:tcBorders>
              <w:top w:val="nil"/>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B1AAC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行政规范性文件</w:t>
            </w:r>
          </w:p>
        </w:tc>
        <w:tc>
          <w:tcPr>
            <w:tcW w:w="1995"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533D51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1995"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625E1C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41DD601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351266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8580" w:type="dxa"/>
            <w:gridSpan w:val="4"/>
            <w:tcBorders>
              <w:top w:val="single" w:color="000000" w:sz="6" w:space="0"/>
              <w:left w:val="single" w:color="000000" w:sz="6" w:space="0"/>
              <w:bottom w:val="single" w:color="000000" w:sz="6" w:space="0"/>
              <w:right w:val="single" w:color="000000" w:sz="6" w:space="0"/>
            </w:tcBorders>
            <w:shd w:val="clear" w:color="auto" w:fill="C6D9F1"/>
            <w:tcMar>
              <w:top w:w="0" w:type="dxa"/>
              <w:left w:w="115" w:type="dxa"/>
              <w:bottom w:w="0" w:type="dxa"/>
              <w:right w:w="115" w:type="dxa"/>
            </w:tcMar>
            <w:vAlign w:val="center"/>
          </w:tcPr>
          <w:p w14:paraId="672600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rPr>
              <w:t>第二十条第（五）项</w:t>
            </w:r>
          </w:p>
        </w:tc>
      </w:tr>
      <w:tr w14:paraId="773702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1980" w:type="dxa"/>
            <w:tcBorders>
              <w:top w:val="nil"/>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0BC0F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信息内容</w:t>
            </w:r>
          </w:p>
        </w:tc>
        <w:tc>
          <w:tcPr>
            <w:tcW w:w="6390" w:type="dxa"/>
            <w:gridSpan w:val="3"/>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6E44E7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本年处理决定数量</w:t>
            </w:r>
          </w:p>
        </w:tc>
      </w:tr>
      <w:tr w14:paraId="05F7A4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1980" w:type="dxa"/>
            <w:tcBorders>
              <w:top w:val="nil"/>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E301C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行政许可</w:t>
            </w:r>
          </w:p>
        </w:tc>
        <w:tc>
          <w:tcPr>
            <w:tcW w:w="6390" w:type="dxa"/>
            <w:gridSpan w:val="3"/>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44A375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1A2005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8580" w:type="dxa"/>
            <w:gridSpan w:val="4"/>
            <w:tcBorders>
              <w:top w:val="single" w:color="000000" w:sz="6" w:space="0"/>
              <w:left w:val="single" w:color="000000" w:sz="6" w:space="0"/>
              <w:bottom w:val="single" w:color="000000" w:sz="6" w:space="0"/>
              <w:right w:val="single" w:color="000000" w:sz="6" w:space="0"/>
            </w:tcBorders>
            <w:shd w:val="clear" w:color="auto" w:fill="C6D9F1"/>
            <w:tcMar>
              <w:top w:w="0" w:type="dxa"/>
              <w:left w:w="115" w:type="dxa"/>
              <w:bottom w:w="0" w:type="dxa"/>
              <w:right w:w="115" w:type="dxa"/>
            </w:tcMar>
            <w:vAlign w:val="center"/>
          </w:tcPr>
          <w:p w14:paraId="7BB48D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rPr>
              <w:t>第二十条第（六）项</w:t>
            </w:r>
          </w:p>
        </w:tc>
      </w:tr>
      <w:tr w14:paraId="6B3C5B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1980" w:type="dxa"/>
            <w:tcBorders>
              <w:top w:val="nil"/>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79FF3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信息内容</w:t>
            </w:r>
          </w:p>
        </w:tc>
        <w:tc>
          <w:tcPr>
            <w:tcW w:w="6390" w:type="dxa"/>
            <w:gridSpan w:val="3"/>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3E60A5B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本年处理决定数量</w:t>
            </w:r>
          </w:p>
        </w:tc>
      </w:tr>
      <w:tr w14:paraId="4681C7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1980" w:type="dxa"/>
            <w:tcBorders>
              <w:top w:val="nil"/>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3631C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行政处罚</w:t>
            </w:r>
          </w:p>
        </w:tc>
        <w:tc>
          <w:tcPr>
            <w:tcW w:w="6390" w:type="dxa"/>
            <w:gridSpan w:val="3"/>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5AF7AC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2A37AE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1980" w:type="dxa"/>
            <w:tcBorders>
              <w:top w:val="nil"/>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A8260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行政强制</w:t>
            </w:r>
          </w:p>
        </w:tc>
        <w:tc>
          <w:tcPr>
            <w:tcW w:w="6390" w:type="dxa"/>
            <w:gridSpan w:val="3"/>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543A933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7859D3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8580" w:type="dxa"/>
            <w:gridSpan w:val="4"/>
            <w:tcBorders>
              <w:top w:val="single" w:color="000000" w:sz="6" w:space="0"/>
              <w:left w:val="single" w:color="000000" w:sz="6" w:space="0"/>
              <w:bottom w:val="single" w:color="000000" w:sz="6" w:space="0"/>
              <w:right w:val="single" w:color="000000" w:sz="6" w:space="0"/>
            </w:tcBorders>
            <w:shd w:val="clear" w:color="auto" w:fill="C6D9F1"/>
            <w:tcMar>
              <w:top w:w="0" w:type="dxa"/>
              <w:left w:w="115" w:type="dxa"/>
              <w:bottom w:w="0" w:type="dxa"/>
              <w:right w:w="115" w:type="dxa"/>
            </w:tcMar>
            <w:vAlign w:val="center"/>
          </w:tcPr>
          <w:p w14:paraId="06DAF6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rPr>
              <w:t>第二十条第（八）项</w:t>
            </w:r>
          </w:p>
        </w:tc>
      </w:tr>
      <w:tr w14:paraId="2F3836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1980" w:type="dxa"/>
            <w:tcBorders>
              <w:top w:val="nil"/>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D7A73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信息内容</w:t>
            </w:r>
          </w:p>
        </w:tc>
        <w:tc>
          <w:tcPr>
            <w:tcW w:w="6390" w:type="dxa"/>
            <w:gridSpan w:val="3"/>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6688705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本年收费金额（单位：万元）</w:t>
            </w:r>
          </w:p>
        </w:tc>
      </w:tr>
      <w:tr w14:paraId="3712A3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jc w:val="center"/>
        </w:trPr>
        <w:tc>
          <w:tcPr>
            <w:tcW w:w="1980" w:type="dxa"/>
            <w:tcBorders>
              <w:top w:val="nil"/>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370FED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行政事业性收费</w:t>
            </w:r>
          </w:p>
        </w:tc>
        <w:tc>
          <w:tcPr>
            <w:tcW w:w="6390" w:type="dxa"/>
            <w:gridSpan w:val="3"/>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2D6F2B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57.93</w:t>
            </w:r>
          </w:p>
        </w:tc>
      </w:tr>
    </w:tbl>
    <w:p w14:paraId="6B0DCAEE">
      <w:pPr>
        <w:pStyle w:val="5"/>
        <w:keepNext w:val="0"/>
        <w:keepLines w:val="0"/>
        <w:widowControl/>
        <w:suppressLineNumbers w:val="0"/>
        <w:spacing w:after="0" w:afterAutospacing="0" w:line="315" w:lineRule="atLeast"/>
        <w:ind w:left="0" w:firstLine="0"/>
        <w:jc w:val="center"/>
        <w:rPr>
          <w:rFonts w:hint="default" w:ascii="黑体" w:hAnsi="宋体" w:eastAsia="黑体" w:cs="黑体"/>
          <w:i w:val="0"/>
          <w:iCs w:val="0"/>
          <w:caps w:val="0"/>
          <w:color w:val="000000"/>
          <w:spacing w:val="0"/>
          <w:sz w:val="32"/>
          <w:szCs w:val="32"/>
        </w:rPr>
      </w:pPr>
      <w:bookmarkStart w:id="0" w:name="_Hlk83814431"/>
      <w:bookmarkEnd w:id="0"/>
      <w:r>
        <w:rPr>
          <w:rFonts w:hint="eastAsia" w:ascii="黑体" w:hAnsi="宋体" w:eastAsia="黑体" w:cs="黑体"/>
          <w:i w:val="0"/>
          <w:iCs w:val="0"/>
          <w:caps w:val="0"/>
          <w:color w:val="000000"/>
          <w:spacing w:val="0"/>
          <w:sz w:val="32"/>
          <w:szCs w:val="32"/>
        </w:rPr>
        <w:t>三、收到和处理政府信息公开申请情况统计表</w:t>
      </w:r>
    </w:p>
    <w:tbl>
      <w:tblPr>
        <w:tblStyle w:val="6"/>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710"/>
        <w:gridCol w:w="1427"/>
        <w:gridCol w:w="2249"/>
        <w:gridCol w:w="687"/>
        <w:gridCol w:w="477"/>
        <w:gridCol w:w="477"/>
        <w:gridCol w:w="587"/>
        <w:gridCol w:w="567"/>
        <w:gridCol w:w="547"/>
        <w:gridCol w:w="808"/>
      </w:tblGrid>
      <w:tr w14:paraId="0DC2E1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4386" w:type="dxa"/>
            <w:gridSpan w:val="3"/>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6B468F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楷体_GB2312" w:eastAsia="楷体_GB2312" w:cs="楷体_GB2312"/>
              </w:rPr>
              <w:t>（本列数据的勾稽关系为：第一项加第二项之和，</w:t>
            </w:r>
          </w:p>
          <w:p w14:paraId="74FE087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楷体_GB2312" w:eastAsia="楷体_GB2312" w:cs="楷体_GB2312"/>
              </w:rPr>
              <w:t>等于第三项加第四项之和）</w:t>
            </w:r>
          </w:p>
        </w:tc>
        <w:tc>
          <w:tcPr>
            <w:tcW w:w="4150"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0E850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rPr>
              <w:t>申请人情况</w:t>
            </w:r>
          </w:p>
        </w:tc>
      </w:tr>
      <w:tr w14:paraId="2199C8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4386"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CA184FC">
            <w:pPr>
              <w:rPr>
                <w:rFonts w:hint="eastAsia" w:ascii="宋体"/>
                <w:sz w:val="24"/>
                <w:szCs w:val="24"/>
              </w:rPr>
            </w:pPr>
          </w:p>
        </w:tc>
        <w:tc>
          <w:tcPr>
            <w:tcW w:w="687"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6F8C0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rPr>
              <w:t>自然人</w:t>
            </w:r>
          </w:p>
        </w:tc>
        <w:tc>
          <w:tcPr>
            <w:tcW w:w="2655"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574B16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rPr>
              <w:t>法人或其他组织</w:t>
            </w:r>
          </w:p>
        </w:tc>
        <w:tc>
          <w:tcPr>
            <w:tcW w:w="808"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633BF0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rPr>
              <w:t>总计</w:t>
            </w:r>
          </w:p>
        </w:tc>
      </w:tr>
      <w:tr w14:paraId="5139DA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4386"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7AEFDF0">
            <w:pPr>
              <w:rPr>
                <w:rFonts w:hint="eastAsia" w:ascii="宋体"/>
                <w:sz w:val="24"/>
                <w:szCs w:val="24"/>
              </w:rPr>
            </w:pPr>
          </w:p>
        </w:tc>
        <w:tc>
          <w:tcPr>
            <w:tcW w:w="68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7C6B5A3">
            <w:pPr>
              <w:rPr>
                <w:rFonts w:hint="eastAsia" w:ascii="宋体"/>
                <w:sz w:val="24"/>
                <w:szCs w:val="24"/>
              </w:rPr>
            </w:pP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F5347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pPr>
            <w:r>
              <w:rPr>
                <w:rFonts w:hint="eastAsia" w:ascii="黑体" w:hAnsi="宋体" w:eastAsia="黑体" w:cs="黑体"/>
              </w:rPr>
              <w:t>商业企业</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5A96AB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pPr>
            <w:r>
              <w:rPr>
                <w:rFonts w:hint="eastAsia" w:ascii="黑体" w:hAnsi="宋体" w:eastAsia="黑体" w:cs="黑体"/>
              </w:rPr>
              <w:t>科研机构</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7CB231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pPr>
            <w:r>
              <w:rPr>
                <w:rFonts w:hint="eastAsia" w:ascii="黑体" w:hAnsi="宋体" w:eastAsia="黑体" w:cs="黑体"/>
              </w:rPr>
              <w:t>社会公益组织</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43A368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pPr>
            <w:r>
              <w:rPr>
                <w:rFonts w:hint="eastAsia" w:ascii="黑体" w:hAnsi="宋体" w:eastAsia="黑体" w:cs="黑体"/>
              </w:rPr>
              <w:t>法律服务机构</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A5588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8" w:right="-130"/>
              <w:jc w:val="center"/>
            </w:pPr>
            <w:r>
              <w:rPr>
                <w:rFonts w:hint="eastAsia" w:ascii="黑体" w:hAnsi="宋体" w:eastAsia="黑体" w:cs="黑体"/>
              </w:rPr>
              <w:t>其他</w:t>
            </w:r>
          </w:p>
        </w:tc>
        <w:tc>
          <w:tcPr>
            <w:tcW w:w="808"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DCADFEE">
            <w:pPr>
              <w:rPr>
                <w:rFonts w:hint="eastAsia" w:ascii="宋体"/>
                <w:sz w:val="24"/>
                <w:szCs w:val="24"/>
              </w:rPr>
            </w:pPr>
          </w:p>
        </w:tc>
      </w:tr>
      <w:tr w14:paraId="29C284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438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E25B84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bookmarkStart w:id="1" w:name="_Hlk66973412"/>
            <w:bookmarkEnd w:id="1"/>
            <w:r>
              <w:rPr>
                <w:rFonts w:hint="eastAsia" w:ascii="黑体" w:hAnsi="宋体" w:eastAsia="黑体" w:cs="黑体"/>
              </w:rPr>
              <w:t>一、本年新收政府信息公开申请数量</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CCFBCE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3</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87F508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5EF05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8F17C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D8AD4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95FF4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FC224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3</w:t>
            </w:r>
          </w:p>
        </w:tc>
      </w:tr>
      <w:tr w14:paraId="545D85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438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F83D7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黑体" w:hAnsi="宋体" w:eastAsia="黑体" w:cs="黑体"/>
              </w:rPr>
              <w:t>二、上年结转政府信息公开申请数量</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97027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55EEE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24071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99C64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1DB40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E5F6F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A7A434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1187B5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3DE01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黑体" w:hAnsi="宋体" w:eastAsia="黑体" w:cs="黑体"/>
              </w:rPr>
              <w:t>三、本年度办理结果</w:t>
            </w:r>
          </w:p>
        </w:tc>
        <w:tc>
          <w:tcPr>
            <w:tcW w:w="367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DAD8D4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黑体" w:hAnsi="宋体" w:eastAsia="黑体" w:cs="黑体"/>
              </w:rPr>
              <w:t>（一）予以公开</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23C07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highlight w:val="none"/>
                <w:lang w:eastAsia="zh-CN"/>
              </w:rPr>
            </w:pPr>
            <w:r>
              <w:rPr>
                <w:rFonts w:hint="eastAsia" w:ascii="仿宋_GB2312" w:eastAsia="仿宋_GB2312" w:cs="仿宋_GB2312"/>
                <w:highlight w:val="none"/>
                <w:lang w:val="en-US" w:eastAsia="zh-CN"/>
              </w:rPr>
              <w:t>2</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C75AA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B1269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FA0CE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97A44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D8B160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59A00E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highlight w:val="none"/>
                <w:lang w:eastAsia="zh-CN"/>
              </w:rPr>
            </w:pPr>
            <w:r>
              <w:rPr>
                <w:rFonts w:hint="eastAsia" w:ascii="仿宋_GB2312" w:eastAsia="仿宋_GB2312" w:cs="仿宋_GB2312"/>
                <w:highlight w:val="none"/>
                <w:lang w:val="en-US" w:eastAsia="zh-CN"/>
              </w:rPr>
              <w:t>2</w:t>
            </w:r>
          </w:p>
        </w:tc>
      </w:tr>
      <w:tr w14:paraId="34ABC9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2E16435">
            <w:pPr>
              <w:rPr>
                <w:rFonts w:hint="eastAsia" w:ascii="宋体"/>
                <w:sz w:val="24"/>
                <w:szCs w:val="24"/>
              </w:rPr>
            </w:pPr>
          </w:p>
        </w:tc>
        <w:tc>
          <w:tcPr>
            <w:tcW w:w="367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409CF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bookmarkStart w:id="2" w:name="_Hlk66973981"/>
            <w:bookmarkEnd w:id="2"/>
            <w:r>
              <w:rPr>
                <w:rFonts w:hint="eastAsia" w:ascii="黑体" w:hAnsi="宋体" w:eastAsia="黑体" w:cs="黑体"/>
              </w:rPr>
              <w:t>（二）部分公开（区分处理的，只计这一情形，不计其他情形）</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40FDB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E0278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FD4B8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CDAA4E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CA990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EE4C5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C641F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329DA9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84BD0C9">
            <w:pPr>
              <w:rPr>
                <w:rFonts w:hint="eastAsia" w:ascii="宋体"/>
                <w:sz w:val="24"/>
                <w:szCs w:val="24"/>
              </w:rPr>
            </w:pPr>
          </w:p>
        </w:tc>
        <w:tc>
          <w:tcPr>
            <w:tcW w:w="1427"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AB8C8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pPr>
            <w:r>
              <w:rPr>
                <w:rFonts w:hint="eastAsia" w:ascii="黑体" w:hAnsi="宋体" w:eastAsia="黑体" w:cs="黑体"/>
              </w:rPr>
              <w:t>（三）不予公开</w:t>
            </w: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8A1F57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1.属于国家秘密</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8C07FF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620CE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C0B11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617D2E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1A7B7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2D4F4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AFA209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6F0DC7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05D81A0">
            <w:pPr>
              <w:rPr>
                <w:rFonts w:hint="eastAsia" w:ascii="宋体"/>
                <w:sz w:val="24"/>
                <w:szCs w:val="24"/>
              </w:rPr>
            </w:pPr>
          </w:p>
        </w:tc>
        <w:tc>
          <w:tcPr>
            <w:tcW w:w="1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50605E1">
            <w:pPr>
              <w:rPr>
                <w:rFonts w:hint="eastAsia" w:ascii="宋体"/>
                <w:sz w:val="24"/>
                <w:szCs w:val="24"/>
              </w:rPr>
            </w:pP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6D231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bookmarkStart w:id="3" w:name="_Hlk66974104"/>
            <w:bookmarkEnd w:id="3"/>
            <w:r>
              <w:rPr>
                <w:rFonts w:hint="eastAsia" w:ascii="仿宋_GB2312" w:eastAsia="仿宋_GB2312" w:cs="仿宋_GB2312"/>
              </w:rPr>
              <w:t>2.其他法律行政法规禁止公开</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9BAD8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CAE93B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A88A12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E68B0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E61EA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16545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D77A15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573270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A58F59B">
            <w:pPr>
              <w:rPr>
                <w:rFonts w:hint="eastAsia" w:ascii="宋体"/>
                <w:sz w:val="24"/>
                <w:szCs w:val="24"/>
              </w:rPr>
            </w:pPr>
          </w:p>
        </w:tc>
        <w:tc>
          <w:tcPr>
            <w:tcW w:w="1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273C2E9">
            <w:pPr>
              <w:rPr>
                <w:rFonts w:hint="eastAsia" w:ascii="宋体"/>
                <w:sz w:val="24"/>
                <w:szCs w:val="24"/>
              </w:rPr>
            </w:pP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3E2C5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3.危及“三安全一稳定”</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F7E61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12BE2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2464F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E7E138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8B4830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AF22B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E3DF6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70E217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E6C78AC">
            <w:pPr>
              <w:rPr>
                <w:rFonts w:hint="eastAsia" w:ascii="宋体"/>
                <w:sz w:val="24"/>
                <w:szCs w:val="24"/>
              </w:rPr>
            </w:pPr>
          </w:p>
        </w:tc>
        <w:tc>
          <w:tcPr>
            <w:tcW w:w="1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C7468ED">
            <w:pPr>
              <w:rPr>
                <w:rFonts w:hint="eastAsia" w:ascii="宋体"/>
                <w:sz w:val="24"/>
                <w:szCs w:val="24"/>
              </w:rPr>
            </w:pP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D43CE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bookmarkStart w:id="4" w:name="_Hlk66974290"/>
            <w:bookmarkEnd w:id="4"/>
            <w:r>
              <w:rPr>
                <w:rFonts w:hint="eastAsia" w:ascii="仿宋_GB2312" w:eastAsia="仿宋_GB2312" w:cs="仿宋_GB2312"/>
              </w:rPr>
              <w:t>4.保护第三方合法权益</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EB3910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FB0FF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A523A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C1398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EF6F8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AD155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0BD612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69A9B5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8B49FA7">
            <w:pPr>
              <w:rPr>
                <w:rFonts w:hint="eastAsia" w:ascii="宋体"/>
                <w:sz w:val="24"/>
                <w:szCs w:val="24"/>
              </w:rPr>
            </w:pPr>
          </w:p>
        </w:tc>
        <w:tc>
          <w:tcPr>
            <w:tcW w:w="1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821C992">
            <w:pPr>
              <w:rPr>
                <w:rFonts w:hint="eastAsia" w:ascii="宋体"/>
                <w:sz w:val="24"/>
                <w:szCs w:val="24"/>
              </w:rPr>
            </w:pP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0D456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5.属于三类内部事务信息</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D2BD9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C84BB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6FBC4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B4704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038421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1BA0C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50521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5BBADF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DC421C3">
            <w:pPr>
              <w:rPr>
                <w:rFonts w:hint="eastAsia" w:ascii="宋体"/>
                <w:sz w:val="24"/>
                <w:szCs w:val="24"/>
              </w:rPr>
            </w:pPr>
          </w:p>
        </w:tc>
        <w:tc>
          <w:tcPr>
            <w:tcW w:w="1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CDA6F63">
            <w:pPr>
              <w:rPr>
                <w:rFonts w:hint="eastAsia" w:ascii="宋体"/>
                <w:sz w:val="24"/>
                <w:szCs w:val="24"/>
              </w:rPr>
            </w:pP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1BC80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bookmarkStart w:id="5" w:name="_Hlk66974555"/>
            <w:bookmarkEnd w:id="5"/>
            <w:r>
              <w:rPr>
                <w:rFonts w:hint="eastAsia" w:ascii="仿宋_GB2312" w:eastAsia="仿宋_GB2312" w:cs="仿宋_GB2312"/>
              </w:rPr>
              <w:t>6.属于四类过程性信息</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A21EA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65C0E2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397230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96690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4E432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CED535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7A19D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0F47D7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A8FE183">
            <w:pPr>
              <w:rPr>
                <w:rFonts w:hint="eastAsia" w:ascii="宋体"/>
                <w:sz w:val="24"/>
                <w:szCs w:val="24"/>
              </w:rPr>
            </w:pPr>
          </w:p>
        </w:tc>
        <w:tc>
          <w:tcPr>
            <w:tcW w:w="1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A4CC46B">
            <w:pPr>
              <w:rPr>
                <w:rFonts w:hint="eastAsia" w:ascii="宋体"/>
                <w:sz w:val="24"/>
                <w:szCs w:val="24"/>
              </w:rPr>
            </w:pP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858912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7.属于行政执法案卷</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FD31C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10343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EAA7C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8147D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DD3F73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C60E7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785985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7EB8E7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7BBFE24">
            <w:pPr>
              <w:rPr>
                <w:rFonts w:hint="eastAsia" w:ascii="宋体"/>
                <w:sz w:val="24"/>
                <w:szCs w:val="24"/>
              </w:rPr>
            </w:pPr>
          </w:p>
        </w:tc>
        <w:tc>
          <w:tcPr>
            <w:tcW w:w="1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065FC67">
            <w:pPr>
              <w:rPr>
                <w:rFonts w:hint="eastAsia" w:ascii="宋体"/>
                <w:sz w:val="24"/>
                <w:szCs w:val="24"/>
              </w:rPr>
            </w:pP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D3125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bookmarkStart w:id="6" w:name="_Hlk66975211"/>
            <w:bookmarkEnd w:id="6"/>
            <w:r>
              <w:rPr>
                <w:rFonts w:hint="eastAsia" w:ascii="仿宋_GB2312" w:eastAsia="仿宋_GB2312" w:cs="仿宋_GB2312"/>
              </w:rPr>
              <w:t>8.属于行政查询事项</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360F1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ECA4F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2EAB4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9C4FD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6D63F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6CACE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5644C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655642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1083ED5">
            <w:pPr>
              <w:rPr>
                <w:rFonts w:hint="eastAsia" w:ascii="宋体"/>
                <w:sz w:val="24"/>
                <w:szCs w:val="24"/>
              </w:rPr>
            </w:pPr>
          </w:p>
        </w:tc>
        <w:tc>
          <w:tcPr>
            <w:tcW w:w="1427"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A571D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pPr>
            <w:r>
              <w:rPr>
                <w:rFonts w:hint="eastAsia" w:ascii="黑体" w:hAnsi="宋体" w:eastAsia="黑体" w:cs="黑体"/>
              </w:rPr>
              <w:t>（四）无法提供</w:t>
            </w: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5AA79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highlight w:val="none"/>
              </w:rPr>
            </w:pPr>
            <w:r>
              <w:rPr>
                <w:rFonts w:hint="eastAsia" w:ascii="仿宋_GB2312" w:eastAsia="仿宋_GB2312" w:cs="仿宋_GB2312"/>
                <w:highlight w:val="none"/>
              </w:rPr>
              <w:t>1.本机关不掌握相关政府信息</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7C1220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highlight w:val="none"/>
                <w:lang w:eastAsia="zh-CN"/>
              </w:rPr>
            </w:pPr>
            <w:r>
              <w:rPr>
                <w:rFonts w:hint="eastAsia" w:ascii="仿宋_GB2312" w:eastAsia="仿宋_GB2312" w:cs="仿宋_GB2312"/>
                <w:highlight w:val="none"/>
                <w:lang w:val="en-US" w:eastAsia="zh-CN"/>
              </w:rPr>
              <w:t>1</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3E35B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17A7A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99089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393BF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CC05D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eastAsia" w:ascii="仿宋_GB2312" w:eastAsia="仿宋_GB2312" w:cs="仿宋_GB2312"/>
                <w:highlight w:val="none"/>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45B95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highlight w:val="none"/>
                <w:lang w:eastAsia="zh-CN"/>
              </w:rPr>
            </w:pPr>
            <w:r>
              <w:rPr>
                <w:rFonts w:hint="eastAsia" w:ascii="仿宋_GB2312" w:eastAsia="仿宋_GB2312" w:cs="仿宋_GB2312"/>
                <w:highlight w:val="none"/>
                <w:lang w:val="en-US" w:eastAsia="zh-CN"/>
              </w:rPr>
              <w:t>1</w:t>
            </w:r>
          </w:p>
        </w:tc>
      </w:tr>
      <w:tr w14:paraId="6A0C9E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C041432">
            <w:pPr>
              <w:rPr>
                <w:rFonts w:hint="eastAsia" w:ascii="宋体"/>
                <w:sz w:val="24"/>
                <w:szCs w:val="24"/>
              </w:rPr>
            </w:pPr>
          </w:p>
        </w:tc>
        <w:tc>
          <w:tcPr>
            <w:tcW w:w="1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269A7C6">
            <w:pPr>
              <w:rPr>
                <w:rFonts w:hint="eastAsia" w:ascii="宋体"/>
                <w:sz w:val="24"/>
                <w:szCs w:val="24"/>
              </w:rPr>
            </w:pP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237FF0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bookmarkStart w:id="7" w:name="_Hlk66975392"/>
            <w:bookmarkEnd w:id="7"/>
            <w:r>
              <w:rPr>
                <w:rFonts w:hint="eastAsia" w:ascii="仿宋_GB2312" w:eastAsia="仿宋_GB2312" w:cs="仿宋_GB2312"/>
              </w:rPr>
              <w:t>2.没有现成信息需要另行制作</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454AE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AECFC7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47AF5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F3CDA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97398A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54667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4752F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4C2F15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4F6C98F">
            <w:pPr>
              <w:rPr>
                <w:rFonts w:hint="eastAsia" w:ascii="宋体"/>
                <w:sz w:val="24"/>
                <w:szCs w:val="24"/>
              </w:rPr>
            </w:pPr>
          </w:p>
        </w:tc>
        <w:tc>
          <w:tcPr>
            <w:tcW w:w="1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CB92977">
            <w:pPr>
              <w:rPr>
                <w:rFonts w:hint="eastAsia" w:ascii="宋体"/>
                <w:sz w:val="24"/>
                <w:szCs w:val="24"/>
              </w:rPr>
            </w:pP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F2D914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bookmarkStart w:id="8" w:name="_Hlk66975466"/>
            <w:bookmarkEnd w:id="8"/>
            <w:r>
              <w:rPr>
                <w:rFonts w:hint="eastAsia" w:ascii="仿宋_GB2312" w:eastAsia="仿宋_GB2312" w:cs="仿宋_GB2312"/>
              </w:rPr>
              <w:t>3.补正后申请内容仍不明确</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BB1EA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06860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6F0BA2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C53B4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A4418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17385D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E0162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624ABF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8209EFF">
            <w:pPr>
              <w:rPr>
                <w:rFonts w:hint="eastAsia" w:ascii="宋体"/>
                <w:sz w:val="24"/>
                <w:szCs w:val="24"/>
              </w:rPr>
            </w:pPr>
          </w:p>
        </w:tc>
        <w:tc>
          <w:tcPr>
            <w:tcW w:w="1427"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86B95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pPr>
            <w:r>
              <w:rPr>
                <w:rFonts w:hint="eastAsia" w:ascii="黑体" w:hAnsi="宋体" w:eastAsia="黑体" w:cs="黑体"/>
              </w:rPr>
              <w:t>（五）不予处理</w:t>
            </w: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12A699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bookmarkStart w:id="9" w:name="_Hlk66975537"/>
            <w:bookmarkEnd w:id="9"/>
            <w:r>
              <w:rPr>
                <w:rFonts w:hint="eastAsia" w:ascii="仿宋_GB2312" w:eastAsia="仿宋_GB2312" w:cs="仿宋_GB2312"/>
              </w:rPr>
              <w:t>1.信访举报投诉类申请</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15349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8D947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3F6FF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01D33B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4AF4C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97802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1803D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02146C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99BEB31">
            <w:pPr>
              <w:rPr>
                <w:rFonts w:hint="eastAsia" w:ascii="宋体"/>
                <w:sz w:val="24"/>
                <w:szCs w:val="24"/>
              </w:rPr>
            </w:pPr>
          </w:p>
        </w:tc>
        <w:tc>
          <w:tcPr>
            <w:tcW w:w="1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209C10C">
            <w:pPr>
              <w:rPr>
                <w:rFonts w:hint="eastAsia" w:ascii="宋体"/>
                <w:sz w:val="24"/>
                <w:szCs w:val="24"/>
              </w:rPr>
            </w:pP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ECC3A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2.重复申请</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F11A9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04CF0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CA089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E62D2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A92CD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EF434C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73990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67724A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8D9866A">
            <w:pPr>
              <w:rPr>
                <w:rFonts w:hint="eastAsia" w:ascii="宋体"/>
                <w:sz w:val="24"/>
                <w:szCs w:val="24"/>
              </w:rPr>
            </w:pPr>
          </w:p>
        </w:tc>
        <w:tc>
          <w:tcPr>
            <w:tcW w:w="1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2CA03C0">
            <w:pPr>
              <w:rPr>
                <w:rFonts w:hint="eastAsia" w:ascii="宋体"/>
                <w:sz w:val="24"/>
                <w:szCs w:val="24"/>
              </w:rPr>
            </w:pP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D1C52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3.要求提供公开出版物</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CC312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99856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A9783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87BF08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39D292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62629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CB210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1E38B4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5E6D25A">
            <w:pPr>
              <w:rPr>
                <w:rFonts w:hint="eastAsia" w:ascii="宋体"/>
                <w:sz w:val="24"/>
                <w:szCs w:val="24"/>
              </w:rPr>
            </w:pPr>
          </w:p>
        </w:tc>
        <w:tc>
          <w:tcPr>
            <w:tcW w:w="1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E422AD3">
            <w:pPr>
              <w:rPr>
                <w:rFonts w:hint="eastAsia" w:ascii="宋体"/>
                <w:sz w:val="24"/>
                <w:szCs w:val="24"/>
              </w:rPr>
            </w:pP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12F43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4.无正当理由大量反复申请</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8235B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A51EA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6833B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EDE08B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B1FBA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6B2EB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A5E35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248692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ADFDFD1">
            <w:pPr>
              <w:rPr>
                <w:rFonts w:hint="eastAsia" w:ascii="宋体"/>
                <w:sz w:val="24"/>
                <w:szCs w:val="24"/>
              </w:rPr>
            </w:pPr>
          </w:p>
        </w:tc>
        <w:tc>
          <w:tcPr>
            <w:tcW w:w="1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A7A258E">
            <w:pPr>
              <w:rPr>
                <w:rFonts w:hint="eastAsia" w:ascii="宋体"/>
                <w:sz w:val="24"/>
                <w:szCs w:val="24"/>
              </w:rPr>
            </w:pP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161F7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5.要求行政机关确认或重新</w:t>
            </w:r>
          </w:p>
          <w:p w14:paraId="77AD38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16"/>
            </w:pPr>
            <w:r>
              <w:rPr>
                <w:rFonts w:hint="eastAsia" w:ascii="仿宋_GB2312" w:eastAsia="仿宋_GB2312" w:cs="仿宋_GB2312"/>
              </w:rPr>
              <w:t>出具已获取信息</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CE725C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DE65C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E1D18E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4C1C77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720AD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89010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8A4AC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4E7D96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08EB4CF">
            <w:pPr>
              <w:rPr>
                <w:rFonts w:hint="eastAsia" w:ascii="宋体"/>
                <w:sz w:val="24"/>
                <w:szCs w:val="24"/>
              </w:rPr>
            </w:pPr>
          </w:p>
        </w:tc>
        <w:tc>
          <w:tcPr>
            <w:tcW w:w="1427"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3870F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黑体" w:hAnsi="宋体" w:eastAsia="黑体" w:cs="黑体"/>
              </w:rPr>
              <w:t>（六）其他处理</w:t>
            </w: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4" w:type="dxa"/>
              <w:bottom w:w="0" w:type="dxa"/>
              <w:right w:w="14" w:type="dxa"/>
            </w:tcMar>
            <w:vAlign w:val="center"/>
          </w:tcPr>
          <w:p w14:paraId="0D73A1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1.申请人无正当理由逾期不补正、行政机关不再处理其政府信息公开申请</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C1ED7E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DAE2C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2B52B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08B60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511AF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E66CD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8640BD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65CC67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3C796B6">
            <w:pPr>
              <w:rPr>
                <w:rFonts w:hint="eastAsia" w:ascii="宋体"/>
                <w:sz w:val="24"/>
                <w:szCs w:val="24"/>
              </w:rPr>
            </w:pPr>
          </w:p>
        </w:tc>
        <w:tc>
          <w:tcPr>
            <w:tcW w:w="1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91F2AB3">
            <w:pPr>
              <w:rPr>
                <w:rFonts w:hint="eastAsia" w:ascii="宋体"/>
                <w:sz w:val="24"/>
                <w:szCs w:val="24"/>
              </w:rPr>
            </w:pP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4" w:type="dxa"/>
              <w:bottom w:w="0" w:type="dxa"/>
              <w:right w:w="14" w:type="dxa"/>
            </w:tcMar>
            <w:vAlign w:val="center"/>
          </w:tcPr>
          <w:p w14:paraId="2C95C5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2.申请人逾期未按收费通知要求缴纳费用、行政机关不再处理其政府信息公开申请</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DD4B8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3DC7DD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70C75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A759DF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F5C72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92659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A8142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5DEB4B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5EE0E9A">
            <w:pPr>
              <w:rPr>
                <w:rFonts w:hint="eastAsia" w:ascii="宋体"/>
                <w:sz w:val="24"/>
                <w:szCs w:val="24"/>
              </w:rPr>
            </w:pPr>
          </w:p>
        </w:tc>
        <w:tc>
          <w:tcPr>
            <w:tcW w:w="142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C429EC4">
            <w:pPr>
              <w:rPr>
                <w:rFonts w:hint="eastAsia" w:ascii="宋体"/>
                <w:sz w:val="24"/>
                <w:szCs w:val="24"/>
              </w:rPr>
            </w:pPr>
          </w:p>
        </w:tc>
        <w:tc>
          <w:tcPr>
            <w:tcW w:w="2249" w:type="dxa"/>
            <w:tcBorders>
              <w:top w:val="single" w:color="000000" w:sz="6" w:space="0"/>
              <w:left w:val="single" w:color="000000" w:sz="6" w:space="0"/>
              <w:bottom w:val="single" w:color="000000" w:sz="6" w:space="0"/>
              <w:right w:val="single" w:color="000000" w:sz="6" w:space="0"/>
            </w:tcBorders>
            <w:shd w:val="clear" w:color="auto" w:fill="auto"/>
            <w:tcMar>
              <w:top w:w="0" w:type="dxa"/>
              <w:left w:w="14" w:type="dxa"/>
              <w:bottom w:w="0" w:type="dxa"/>
              <w:right w:w="14" w:type="dxa"/>
            </w:tcMar>
            <w:vAlign w:val="center"/>
          </w:tcPr>
          <w:p w14:paraId="03B2A6D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rPr>
              <w:t>3.其他</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CF4DA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84F9E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197128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D9417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FC4F9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EC364D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48123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r w14:paraId="671B91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70" w:hRule="atLeast"/>
          <w:jc w:val="center"/>
        </w:trPr>
        <w:tc>
          <w:tcPr>
            <w:tcW w:w="71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3F4D2DE">
            <w:pPr>
              <w:rPr>
                <w:rFonts w:hint="eastAsia" w:ascii="宋体"/>
                <w:sz w:val="24"/>
                <w:szCs w:val="24"/>
              </w:rPr>
            </w:pPr>
          </w:p>
        </w:tc>
        <w:tc>
          <w:tcPr>
            <w:tcW w:w="367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6A0647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黑体" w:hAnsi="宋体" w:eastAsia="黑体" w:cs="黑体"/>
              </w:rPr>
              <w:t>（七）总计</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25A73A7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3</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75DEC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AD0BC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059D3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8B580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2C32C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7801AC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3</w:t>
            </w:r>
          </w:p>
        </w:tc>
      </w:tr>
      <w:tr w14:paraId="12DFC5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85" w:hRule="atLeast"/>
          <w:jc w:val="center"/>
        </w:trPr>
        <w:tc>
          <w:tcPr>
            <w:tcW w:w="438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01AFE37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黑体" w:hAnsi="宋体" w:eastAsia="黑体" w:cs="黑体"/>
              </w:rPr>
              <w:t>四、结转下年度继续办理</w:t>
            </w:r>
          </w:p>
        </w:tc>
        <w:tc>
          <w:tcPr>
            <w:tcW w:w="6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A74F7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BFA3F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47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E10DD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8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FCF72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6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B43012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547"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56FEBA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c>
          <w:tcPr>
            <w:tcW w:w="808" w:type="dxa"/>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12EBF83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rPr>
              <w:t>0</w:t>
            </w:r>
          </w:p>
        </w:tc>
      </w:tr>
    </w:tbl>
    <w:p w14:paraId="0D3518C1">
      <w:pPr>
        <w:pStyle w:val="5"/>
        <w:keepNext w:val="0"/>
        <w:keepLines w:val="0"/>
        <w:widowControl/>
        <w:numPr>
          <w:ilvl w:val="0"/>
          <w:numId w:val="0"/>
        </w:numPr>
        <w:suppressLineNumbers w:val="0"/>
        <w:spacing w:after="0" w:afterAutospacing="0" w:line="315" w:lineRule="atLeast"/>
        <w:ind w:right="0" w:rightChars="0"/>
        <w:jc w:val="both"/>
        <w:rPr>
          <w:rFonts w:hint="default" w:ascii="黑体" w:hAnsi="宋体" w:eastAsia="黑体" w:cs="黑体"/>
          <w:i w:val="0"/>
          <w:iCs w:val="0"/>
          <w:caps w:val="0"/>
          <w:color w:val="000000"/>
          <w:spacing w:val="0"/>
          <w:sz w:val="28"/>
          <w:szCs w:val="28"/>
        </w:rPr>
      </w:pPr>
      <w:r>
        <w:rPr>
          <w:rFonts w:hint="eastAsia" w:ascii="黑体" w:hAnsi="宋体" w:eastAsia="黑体" w:cs="黑体"/>
          <w:i w:val="0"/>
          <w:iCs w:val="0"/>
          <w:caps w:val="0"/>
          <w:color w:val="000000"/>
          <w:spacing w:val="0"/>
          <w:sz w:val="28"/>
          <w:szCs w:val="28"/>
          <w:lang w:eastAsia="zh-CN"/>
        </w:rPr>
        <w:t>四、</w:t>
      </w:r>
      <w:r>
        <w:rPr>
          <w:rFonts w:hint="eastAsia" w:ascii="黑体" w:hAnsi="宋体" w:eastAsia="黑体" w:cs="黑体"/>
          <w:i w:val="0"/>
          <w:iCs w:val="0"/>
          <w:caps w:val="0"/>
          <w:color w:val="000000"/>
          <w:spacing w:val="0"/>
          <w:sz w:val="28"/>
          <w:szCs w:val="28"/>
        </w:rPr>
        <w:t>因政府信息公开工作被申请行政复议、提起行政诉讼情况统计表</w:t>
      </w:r>
    </w:p>
    <w:tbl>
      <w:tblPr>
        <w:tblStyle w:val="6"/>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75" w:type="dxa"/>
          <w:left w:w="150" w:type="dxa"/>
          <w:bottom w:w="75" w:type="dxa"/>
          <w:right w:w="150" w:type="dxa"/>
        </w:tblCellMar>
      </w:tblPr>
      <w:tblGrid>
        <w:gridCol w:w="375"/>
        <w:gridCol w:w="390"/>
        <w:gridCol w:w="390"/>
        <w:gridCol w:w="390"/>
        <w:gridCol w:w="1305"/>
        <w:gridCol w:w="345"/>
        <w:gridCol w:w="390"/>
        <w:gridCol w:w="390"/>
        <w:gridCol w:w="390"/>
        <w:gridCol w:w="1245"/>
        <w:gridCol w:w="390"/>
        <w:gridCol w:w="388"/>
        <w:gridCol w:w="580"/>
        <w:gridCol w:w="470"/>
        <w:gridCol w:w="1187"/>
      </w:tblGrid>
      <w:tr w14:paraId="5435AC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71" w:hRule="atLeast"/>
          <w:jc w:val="center"/>
        </w:trPr>
        <w:tc>
          <w:tcPr>
            <w:tcW w:w="285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354A4C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rPr>
              <w:t>行政复议</w:t>
            </w:r>
          </w:p>
        </w:tc>
        <w:tc>
          <w:tcPr>
            <w:tcW w:w="5775" w:type="dxa"/>
            <w:gridSpan w:val="10"/>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10DF7B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rPr>
              <w:t>行政诉讼</w:t>
            </w:r>
          </w:p>
        </w:tc>
      </w:tr>
      <w:tr w14:paraId="123221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restart"/>
            <w:tcBorders>
              <w:top w:val="nil"/>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A2933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44" w:right="-173"/>
              <w:jc w:val="center"/>
            </w:pPr>
            <w:r>
              <w:rPr>
                <w:rFonts w:hint="eastAsia" w:ascii="黑体" w:hAnsi="宋体" w:eastAsia="黑体" w:cs="黑体"/>
              </w:rPr>
              <w:t>结果</w:t>
            </w:r>
          </w:p>
          <w:p w14:paraId="6BBDC1D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44" w:right="-173"/>
              <w:jc w:val="center"/>
            </w:pPr>
            <w:r>
              <w:rPr>
                <w:rFonts w:hint="eastAsia" w:ascii="黑体" w:hAnsi="宋体" w:eastAsia="黑体" w:cs="黑体"/>
              </w:rPr>
              <w:t>维持</w:t>
            </w:r>
          </w:p>
        </w:tc>
        <w:tc>
          <w:tcPr>
            <w:tcW w:w="390" w:type="dxa"/>
            <w:vMerge w:val="restart"/>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31ECA9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3" w:right="-130" w:firstLine="0"/>
              <w:jc w:val="center"/>
            </w:pPr>
            <w:r>
              <w:rPr>
                <w:rFonts w:hint="eastAsia" w:ascii="黑体" w:hAnsi="宋体" w:eastAsia="黑体" w:cs="黑体"/>
              </w:rPr>
              <w:t>结果纠正</w:t>
            </w:r>
          </w:p>
        </w:tc>
        <w:tc>
          <w:tcPr>
            <w:tcW w:w="390"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32FB53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86" w:right="-101"/>
              <w:jc w:val="center"/>
            </w:pPr>
            <w:r>
              <w:rPr>
                <w:rFonts w:hint="eastAsia" w:ascii="黑体" w:hAnsi="宋体" w:eastAsia="黑体" w:cs="黑体"/>
              </w:rPr>
              <w:t>其他结果</w:t>
            </w:r>
          </w:p>
        </w:tc>
        <w:tc>
          <w:tcPr>
            <w:tcW w:w="390"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6B1343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5" w:right="-115"/>
              <w:jc w:val="center"/>
              <w:rPr>
                <w:rFonts w:hint="eastAsia" w:ascii="黑体" w:hAnsi="宋体" w:eastAsia="黑体" w:cs="黑体"/>
              </w:rPr>
            </w:pPr>
            <w:r>
              <w:rPr>
                <w:rFonts w:hint="eastAsia" w:ascii="黑体" w:hAnsi="宋体" w:eastAsia="黑体" w:cs="黑体"/>
              </w:rPr>
              <w:t>尚</w:t>
            </w:r>
          </w:p>
          <w:p w14:paraId="412AE3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5" w:right="-115"/>
              <w:jc w:val="center"/>
            </w:pPr>
            <w:r>
              <w:rPr>
                <w:rFonts w:hint="eastAsia" w:ascii="黑体" w:hAnsi="宋体" w:eastAsia="黑体" w:cs="黑体"/>
              </w:rPr>
              <w:t>未</w:t>
            </w:r>
          </w:p>
          <w:p w14:paraId="7D48AB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5" w:right="-115"/>
              <w:jc w:val="center"/>
              <w:rPr>
                <w:rFonts w:hint="eastAsia" w:ascii="黑体" w:hAnsi="宋体" w:eastAsia="黑体" w:cs="黑体"/>
              </w:rPr>
            </w:pPr>
            <w:r>
              <w:rPr>
                <w:rFonts w:hint="eastAsia" w:ascii="黑体" w:hAnsi="宋体" w:eastAsia="黑体" w:cs="黑体"/>
              </w:rPr>
              <w:t>审</w:t>
            </w:r>
          </w:p>
          <w:p w14:paraId="0D1C45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5" w:right="-115"/>
              <w:jc w:val="center"/>
            </w:pPr>
            <w:r>
              <w:rPr>
                <w:rFonts w:hint="eastAsia" w:ascii="黑体" w:hAnsi="宋体" w:eastAsia="黑体" w:cs="黑体"/>
              </w:rPr>
              <w:t>结</w:t>
            </w:r>
          </w:p>
        </w:tc>
        <w:tc>
          <w:tcPr>
            <w:tcW w:w="1305"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2F617C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rPr>
              <w:t>总</w:t>
            </w:r>
          </w:p>
          <w:p w14:paraId="7E38C5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rPr>
              <w:t>计</w:t>
            </w:r>
          </w:p>
        </w:tc>
        <w:tc>
          <w:tcPr>
            <w:tcW w:w="2760" w:type="dxa"/>
            <w:gridSpan w:val="5"/>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75309A0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rPr>
              <w:t>未经复议直接起诉</w:t>
            </w:r>
          </w:p>
        </w:tc>
        <w:tc>
          <w:tcPr>
            <w:tcW w:w="3015" w:type="dxa"/>
            <w:gridSpan w:val="5"/>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60D44C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rPr>
              <w:t>复议后起诉</w:t>
            </w:r>
          </w:p>
        </w:tc>
      </w:tr>
      <w:tr w14:paraId="452A9D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nil"/>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7D06E4CF">
            <w:pPr>
              <w:rPr>
                <w:rFonts w:hint="eastAsia" w:ascii="宋体"/>
                <w:sz w:val="24"/>
                <w:szCs w:val="24"/>
              </w:rPr>
            </w:pPr>
          </w:p>
        </w:tc>
        <w:tc>
          <w:tcPr>
            <w:tcW w:w="390" w:type="dxa"/>
            <w:vMerge w:val="continue"/>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7DE3BED9">
            <w:pPr>
              <w:rPr>
                <w:rFonts w:hint="eastAsia" w:ascii="宋体"/>
                <w:sz w:val="24"/>
                <w:szCs w:val="24"/>
              </w:rPr>
            </w:pPr>
          </w:p>
        </w:tc>
        <w:tc>
          <w:tcPr>
            <w:tcW w:w="390"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4714F6BB">
            <w:pPr>
              <w:rPr>
                <w:rFonts w:hint="eastAsia" w:ascii="宋体"/>
                <w:sz w:val="24"/>
                <w:szCs w:val="24"/>
              </w:rPr>
            </w:pPr>
          </w:p>
        </w:tc>
        <w:tc>
          <w:tcPr>
            <w:tcW w:w="390"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340E428C">
            <w:pPr>
              <w:rPr>
                <w:rFonts w:hint="eastAsia" w:ascii="宋体"/>
                <w:sz w:val="24"/>
                <w:szCs w:val="24"/>
              </w:rPr>
            </w:pPr>
          </w:p>
        </w:tc>
        <w:tc>
          <w:tcPr>
            <w:tcW w:w="1305"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10008594">
            <w:pPr>
              <w:rPr>
                <w:rFonts w:hint="eastAsia" w:ascii="宋体"/>
                <w:sz w:val="24"/>
                <w:szCs w:val="24"/>
              </w:rPr>
            </w:pPr>
          </w:p>
        </w:tc>
        <w:tc>
          <w:tcPr>
            <w:tcW w:w="345"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3C1BA3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30"/>
              <w:jc w:val="center"/>
            </w:pPr>
            <w:r>
              <w:rPr>
                <w:rFonts w:hint="eastAsia" w:ascii="黑体" w:hAnsi="宋体" w:eastAsia="黑体" w:cs="黑体"/>
              </w:rPr>
              <w:t>结果维持</w:t>
            </w:r>
          </w:p>
        </w:tc>
        <w:tc>
          <w:tcPr>
            <w:tcW w:w="390"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7B0FBE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86" w:right="-86"/>
              <w:jc w:val="center"/>
            </w:pPr>
            <w:r>
              <w:rPr>
                <w:rFonts w:hint="eastAsia" w:ascii="黑体" w:hAnsi="宋体" w:eastAsia="黑体" w:cs="黑体"/>
              </w:rPr>
              <w:t>结果纠正</w:t>
            </w:r>
          </w:p>
        </w:tc>
        <w:tc>
          <w:tcPr>
            <w:tcW w:w="39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1A6B158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0" w:right="-130"/>
              <w:jc w:val="center"/>
              <w:rPr>
                <w:rFonts w:hint="eastAsia" w:ascii="黑体" w:hAnsi="宋体" w:eastAsia="黑体" w:cs="黑体"/>
              </w:rPr>
            </w:pPr>
            <w:r>
              <w:rPr>
                <w:rFonts w:hint="eastAsia" w:ascii="黑体" w:hAnsi="宋体" w:eastAsia="黑体" w:cs="黑体"/>
              </w:rPr>
              <w:t>其</w:t>
            </w:r>
          </w:p>
          <w:p w14:paraId="3908ADE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0" w:right="-130"/>
              <w:jc w:val="center"/>
            </w:pPr>
            <w:r>
              <w:rPr>
                <w:rFonts w:hint="eastAsia" w:ascii="黑体" w:hAnsi="宋体" w:eastAsia="黑体" w:cs="黑体"/>
              </w:rPr>
              <w:t>他</w:t>
            </w:r>
          </w:p>
          <w:p w14:paraId="73DCD0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0" w:right="-130"/>
              <w:jc w:val="center"/>
              <w:rPr>
                <w:rFonts w:hint="eastAsia" w:ascii="黑体" w:hAnsi="宋体" w:eastAsia="黑体" w:cs="黑体"/>
              </w:rPr>
            </w:pPr>
            <w:r>
              <w:rPr>
                <w:rFonts w:hint="eastAsia" w:ascii="黑体" w:hAnsi="宋体" w:eastAsia="黑体" w:cs="黑体"/>
              </w:rPr>
              <w:t>结</w:t>
            </w:r>
          </w:p>
          <w:p w14:paraId="5DF6AB8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0" w:right="-130"/>
              <w:jc w:val="center"/>
            </w:pPr>
            <w:r>
              <w:rPr>
                <w:rFonts w:hint="eastAsia" w:ascii="黑体" w:hAnsi="宋体" w:eastAsia="黑体" w:cs="黑体"/>
              </w:rPr>
              <w:t>果</w:t>
            </w:r>
          </w:p>
        </w:tc>
        <w:tc>
          <w:tcPr>
            <w:tcW w:w="39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5376E3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8" w:right="-158"/>
              <w:jc w:val="center"/>
              <w:rPr>
                <w:rFonts w:hint="eastAsia" w:ascii="黑体" w:hAnsi="宋体" w:eastAsia="黑体" w:cs="黑体"/>
              </w:rPr>
            </w:pPr>
            <w:r>
              <w:rPr>
                <w:rFonts w:hint="eastAsia" w:ascii="黑体" w:hAnsi="宋体" w:eastAsia="黑体" w:cs="黑体"/>
              </w:rPr>
              <w:t>尚</w:t>
            </w:r>
          </w:p>
          <w:p w14:paraId="019AA5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8" w:right="-158"/>
              <w:jc w:val="center"/>
            </w:pPr>
            <w:r>
              <w:rPr>
                <w:rFonts w:hint="eastAsia" w:ascii="黑体" w:hAnsi="宋体" w:eastAsia="黑体" w:cs="黑体"/>
              </w:rPr>
              <w:t>未</w:t>
            </w:r>
          </w:p>
          <w:p w14:paraId="11CAAD7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8" w:right="-158"/>
              <w:jc w:val="center"/>
              <w:rPr>
                <w:rFonts w:hint="eastAsia" w:ascii="黑体" w:hAnsi="宋体" w:eastAsia="黑体" w:cs="黑体"/>
              </w:rPr>
            </w:pPr>
            <w:r>
              <w:rPr>
                <w:rFonts w:hint="eastAsia" w:ascii="黑体" w:hAnsi="宋体" w:eastAsia="黑体" w:cs="黑体"/>
              </w:rPr>
              <w:t>审</w:t>
            </w:r>
          </w:p>
          <w:p w14:paraId="4431AB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8" w:right="-158"/>
              <w:jc w:val="center"/>
            </w:pPr>
            <w:r>
              <w:rPr>
                <w:rFonts w:hint="eastAsia" w:ascii="黑体" w:hAnsi="宋体" w:eastAsia="黑体" w:cs="黑体"/>
              </w:rPr>
              <w:t>结</w:t>
            </w:r>
          </w:p>
        </w:tc>
        <w:tc>
          <w:tcPr>
            <w:tcW w:w="124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3340CD4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rPr>
              <w:t>总计</w:t>
            </w:r>
          </w:p>
        </w:tc>
        <w:tc>
          <w:tcPr>
            <w:tcW w:w="39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28EC43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72"/>
              <w:jc w:val="center"/>
            </w:pPr>
            <w:r>
              <w:rPr>
                <w:rFonts w:hint="eastAsia" w:ascii="黑体" w:hAnsi="宋体" w:eastAsia="黑体" w:cs="黑体"/>
              </w:rPr>
              <w:t>结果维持</w:t>
            </w:r>
          </w:p>
        </w:tc>
        <w:tc>
          <w:tcPr>
            <w:tcW w:w="388"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3DC8D8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0" w:right="-130"/>
              <w:jc w:val="center"/>
              <w:rPr>
                <w:rFonts w:hint="eastAsia" w:ascii="黑体" w:hAnsi="宋体" w:eastAsia="黑体" w:cs="黑体"/>
              </w:rPr>
            </w:pPr>
            <w:r>
              <w:rPr>
                <w:rFonts w:hint="eastAsia" w:ascii="黑体" w:hAnsi="宋体" w:eastAsia="黑体" w:cs="黑体"/>
              </w:rPr>
              <w:t>结</w:t>
            </w:r>
          </w:p>
          <w:p w14:paraId="3B1CFC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0" w:right="-130"/>
              <w:jc w:val="center"/>
            </w:pPr>
            <w:r>
              <w:rPr>
                <w:rFonts w:hint="eastAsia" w:ascii="黑体" w:hAnsi="宋体" w:eastAsia="黑体" w:cs="黑体"/>
              </w:rPr>
              <w:t>果</w:t>
            </w:r>
          </w:p>
          <w:p w14:paraId="342E6D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0" w:right="-130"/>
              <w:jc w:val="center"/>
              <w:rPr>
                <w:rFonts w:hint="eastAsia" w:ascii="黑体" w:hAnsi="宋体" w:eastAsia="黑体" w:cs="黑体"/>
              </w:rPr>
            </w:pPr>
            <w:r>
              <w:rPr>
                <w:rFonts w:hint="eastAsia" w:ascii="黑体" w:hAnsi="宋体" w:eastAsia="黑体" w:cs="黑体"/>
              </w:rPr>
              <w:t>纠</w:t>
            </w:r>
          </w:p>
          <w:p w14:paraId="4D48B4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30" w:right="-130"/>
              <w:jc w:val="center"/>
            </w:pPr>
            <w:r>
              <w:rPr>
                <w:rFonts w:hint="eastAsia" w:ascii="黑体" w:hAnsi="宋体" w:eastAsia="黑体" w:cs="黑体"/>
              </w:rPr>
              <w:t>正</w:t>
            </w:r>
          </w:p>
        </w:tc>
        <w:tc>
          <w:tcPr>
            <w:tcW w:w="58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3E0B1C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73" w:right="-130" w:firstLine="0"/>
              <w:jc w:val="center"/>
              <w:rPr>
                <w:rFonts w:hint="eastAsia" w:ascii="黑体" w:hAnsi="宋体" w:eastAsia="黑体" w:cs="黑体"/>
              </w:rPr>
            </w:pPr>
            <w:r>
              <w:rPr>
                <w:rFonts w:hint="eastAsia" w:ascii="黑体" w:hAnsi="宋体" w:eastAsia="黑体" w:cs="黑体"/>
              </w:rPr>
              <w:t>其</w:t>
            </w:r>
          </w:p>
          <w:p w14:paraId="2D6F05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73" w:right="-130" w:firstLine="0"/>
              <w:jc w:val="center"/>
            </w:pPr>
            <w:r>
              <w:rPr>
                <w:rFonts w:hint="eastAsia" w:ascii="黑体" w:hAnsi="宋体" w:eastAsia="黑体" w:cs="黑体"/>
              </w:rPr>
              <w:t>他</w:t>
            </w:r>
          </w:p>
          <w:p w14:paraId="2FB25DA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73" w:right="-130" w:firstLine="0"/>
              <w:jc w:val="center"/>
              <w:rPr>
                <w:rFonts w:hint="eastAsia" w:ascii="黑体" w:hAnsi="宋体" w:eastAsia="黑体" w:cs="黑体"/>
              </w:rPr>
            </w:pPr>
            <w:r>
              <w:rPr>
                <w:rFonts w:hint="eastAsia" w:ascii="黑体" w:hAnsi="宋体" w:eastAsia="黑体" w:cs="黑体"/>
              </w:rPr>
              <w:t>结</w:t>
            </w:r>
          </w:p>
          <w:p w14:paraId="4A5E8EF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73" w:right="-130" w:firstLine="0"/>
              <w:jc w:val="center"/>
            </w:pPr>
            <w:r>
              <w:rPr>
                <w:rFonts w:hint="eastAsia" w:ascii="黑体" w:hAnsi="宋体" w:eastAsia="黑体" w:cs="黑体"/>
              </w:rPr>
              <w:t>果</w:t>
            </w:r>
          </w:p>
        </w:tc>
        <w:tc>
          <w:tcPr>
            <w:tcW w:w="47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318CC5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2" w:right="-101" w:firstLine="0"/>
              <w:jc w:val="center"/>
              <w:rPr>
                <w:rFonts w:hint="eastAsia" w:ascii="黑体" w:hAnsi="宋体" w:eastAsia="黑体" w:cs="黑体"/>
              </w:rPr>
            </w:pPr>
            <w:r>
              <w:rPr>
                <w:rFonts w:hint="eastAsia" w:ascii="黑体" w:hAnsi="宋体" w:eastAsia="黑体" w:cs="黑体"/>
              </w:rPr>
              <w:t>尚</w:t>
            </w:r>
          </w:p>
          <w:p w14:paraId="3DA062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2" w:right="-101" w:firstLine="0"/>
              <w:jc w:val="center"/>
              <w:rPr>
                <w:rFonts w:hint="eastAsia" w:ascii="黑体" w:hAnsi="宋体" w:eastAsia="黑体" w:cs="黑体"/>
              </w:rPr>
            </w:pPr>
            <w:r>
              <w:rPr>
                <w:rFonts w:hint="eastAsia" w:ascii="黑体" w:hAnsi="宋体" w:eastAsia="黑体" w:cs="黑体"/>
              </w:rPr>
              <w:t>未</w:t>
            </w:r>
          </w:p>
          <w:p w14:paraId="436E70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2" w:right="-101" w:firstLine="0"/>
              <w:jc w:val="center"/>
              <w:rPr>
                <w:rFonts w:hint="eastAsia" w:ascii="黑体" w:hAnsi="宋体" w:eastAsia="黑体" w:cs="黑体"/>
              </w:rPr>
            </w:pPr>
            <w:r>
              <w:rPr>
                <w:rFonts w:hint="eastAsia" w:ascii="黑体" w:hAnsi="宋体" w:eastAsia="黑体" w:cs="黑体"/>
              </w:rPr>
              <w:t>审</w:t>
            </w:r>
          </w:p>
          <w:p w14:paraId="3060D90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72" w:right="-101" w:firstLine="0"/>
              <w:jc w:val="center"/>
            </w:pPr>
            <w:r>
              <w:rPr>
                <w:rFonts w:hint="eastAsia" w:ascii="黑体" w:hAnsi="宋体" w:eastAsia="黑体" w:cs="黑体"/>
              </w:rPr>
              <w:t>结</w:t>
            </w:r>
          </w:p>
        </w:tc>
        <w:tc>
          <w:tcPr>
            <w:tcW w:w="1187"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3EFA33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rPr>
              <w:t>总计</w:t>
            </w:r>
          </w:p>
        </w:tc>
      </w:tr>
      <w:tr w14:paraId="71D698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tcBorders>
              <w:top w:val="nil"/>
              <w:left w:val="single" w:color="000000" w:sz="6" w:space="0"/>
              <w:bottom w:val="single" w:color="000000" w:sz="6" w:space="0"/>
              <w:right w:val="single" w:color="000000" w:sz="6" w:space="0"/>
            </w:tcBorders>
            <w:shd w:val="clear" w:color="auto" w:fill="auto"/>
            <w:tcMar>
              <w:top w:w="0" w:type="dxa"/>
              <w:left w:w="115" w:type="dxa"/>
              <w:bottom w:w="0" w:type="dxa"/>
              <w:right w:w="115" w:type="dxa"/>
            </w:tcMar>
            <w:vAlign w:val="center"/>
          </w:tcPr>
          <w:p w14:paraId="471415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default" w:ascii="Times New Roman" w:hAnsi="Times New Roman" w:cs="Times New Roman"/>
                <w:highlight w:val="none"/>
              </w:rPr>
              <w:t>0</w:t>
            </w:r>
          </w:p>
        </w:tc>
        <w:tc>
          <w:tcPr>
            <w:tcW w:w="390"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4EC50A0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highlight w:val="none"/>
                <w:lang w:eastAsia="zh-CN"/>
              </w:rPr>
            </w:pPr>
            <w:r>
              <w:rPr>
                <w:rFonts w:hint="eastAsia" w:ascii="Times New Roman" w:hAnsi="Times New Roman" w:cs="Times New Roman"/>
                <w:highlight w:val="none"/>
                <w:lang w:val="en-US" w:eastAsia="zh-CN"/>
              </w:rPr>
              <w:t>1</w:t>
            </w:r>
          </w:p>
        </w:tc>
        <w:tc>
          <w:tcPr>
            <w:tcW w:w="390"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193903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default" w:ascii="Times New Roman" w:hAnsi="Times New Roman" w:cs="Times New Roman"/>
                <w:highlight w:val="none"/>
              </w:rPr>
              <w:t>0</w:t>
            </w:r>
          </w:p>
        </w:tc>
        <w:tc>
          <w:tcPr>
            <w:tcW w:w="390"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05DF2D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default" w:ascii="Times New Roman" w:hAnsi="Times New Roman" w:cs="Times New Roman"/>
                <w:highlight w:val="none"/>
              </w:rPr>
              <w:t>0</w:t>
            </w:r>
          </w:p>
        </w:tc>
        <w:tc>
          <w:tcPr>
            <w:tcW w:w="1305"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5CE274B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highlight w:val="none"/>
                <w:lang w:eastAsia="zh-CN"/>
              </w:rPr>
            </w:pPr>
            <w:r>
              <w:rPr>
                <w:rFonts w:hint="eastAsia" w:ascii="Times New Roman" w:hAnsi="Times New Roman" w:cs="Times New Roman"/>
                <w:highlight w:val="none"/>
                <w:lang w:val="en-US" w:eastAsia="zh-CN"/>
              </w:rPr>
              <w:t>1</w:t>
            </w:r>
          </w:p>
        </w:tc>
        <w:tc>
          <w:tcPr>
            <w:tcW w:w="345"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5B5D2B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default" w:ascii="Times New Roman" w:hAnsi="Times New Roman" w:cs="Times New Roman"/>
                <w:highlight w:val="none"/>
              </w:rPr>
              <w:t>0</w:t>
            </w:r>
          </w:p>
        </w:tc>
        <w:tc>
          <w:tcPr>
            <w:tcW w:w="390"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4E7B5A0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default" w:ascii="Times New Roman" w:hAnsi="Times New Roman" w:cs="Times New Roman"/>
                <w:highlight w:val="none"/>
              </w:rPr>
              <w:t>0</w:t>
            </w:r>
          </w:p>
        </w:tc>
        <w:tc>
          <w:tcPr>
            <w:tcW w:w="390"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50D8CF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default" w:ascii="Times New Roman" w:hAnsi="Times New Roman" w:cs="Times New Roman"/>
                <w:highlight w:val="none"/>
              </w:rPr>
              <w:t>0</w:t>
            </w:r>
          </w:p>
        </w:tc>
        <w:tc>
          <w:tcPr>
            <w:tcW w:w="390"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5E790A6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default" w:ascii="Times New Roman" w:hAnsi="Times New Roman" w:cs="Times New Roman"/>
                <w:highlight w:val="none"/>
              </w:rPr>
              <w:t>0</w:t>
            </w:r>
          </w:p>
        </w:tc>
        <w:tc>
          <w:tcPr>
            <w:tcW w:w="1245"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19423B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default" w:ascii="Times New Roman" w:hAnsi="Times New Roman" w:cs="Times New Roman"/>
                <w:highlight w:val="none"/>
              </w:rPr>
              <w:t>0</w:t>
            </w:r>
          </w:p>
        </w:tc>
        <w:tc>
          <w:tcPr>
            <w:tcW w:w="390"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1211A9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default" w:ascii="Times New Roman" w:hAnsi="Times New Roman" w:cs="Times New Roman"/>
                <w:highlight w:val="none"/>
              </w:rPr>
              <w:t>0</w:t>
            </w:r>
          </w:p>
        </w:tc>
        <w:tc>
          <w:tcPr>
            <w:tcW w:w="388"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1924C5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default" w:ascii="Times New Roman" w:hAnsi="Times New Roman" w:cs="Times New Roman"/>
                <w:highlight w:val="none"/>
              </w:rPr>
              <w:t>0</w:t>
            </w:r>
          </w:p>
        </w:tc>
        <w:tc>
          <w:tcPr>
            <w:tcW w:w="580"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438806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default" w:ascii="Times New Roman" w:hAnsi="Times New Roman" w:cs="Times New Roman"/>
                <w:highlight w:val="none"/>
              </w:rPr>
              <w:t>0</w:t>
            </w:r>
          </w:p>
        </w:tc>
        <w:tc>
          <w:tcPr>
            <w:tcW w:w="470"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6AD0A9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default" w:ascii="Times New Roman" w:hAnsi="Times New Roman" w:cs="Times New Roman"/>
                <w:highlight w:val="none"/>
              </w:rPr>
              <w:t>0</w:t>
            </w:r>
          </w:p>
        </w:tc>
        <w:tc>
          <w:tcPr>
            <w:tcW w:w="1187" w:type="dxa"/>
            <w:tcBorders>
              <w:top w:val="nil"/>
              <w:left w:val="nil"/>
              <w:bottom w:val="single" w:color="000000" w:sz="6" w:space="0"/>
              <w:right w:val="single" w:color="000000" w:sz="6" w:space="0"/>
            </w:tcBorders>
            <w:shd w:val="clear" w:color="auto" w:fill="auto"/>
            <w:tcMar>
              <w:top w:w="0" w:type="dxa"/>
              <w:left w:w="0" w:type="dxa"/>
              <w:bottom w:w="0" w:type="dxa"/>
              <w:right w:w="115" w:type="dxa"/>
            </w:tcMar>
            <w:vAlign w:val="center"/>
          </w:tcPr>
          <w:p w14:paraId="75EAD0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highlight w:val="none"/>
              </w:rPr>
            </w:pPr>
            <w:r>
              <w:rPr>
                <w:rFonts w:hint="default" w:ascii="Times New Roman" w:hAnsi="Times New Roman" w:cs="Times New Roman"/>
                <w:highlight w:val="none"/>
              </w:rPr>
              <w:t>0</w:t>
            </w:r>
          </w:p>
        </w:tc>
      </w:tr>
    </w:tbl>
    <w:p w14:paraId="3DC8C74E">
      <w:pPr>
        <w:numPr>
          <w:ilvl w:val="0"/>
          <w:numId w:val="1"/>
        </w:numPr>
        <w:bidi w:val="0"/>
        <w:ind w:firstLine="640" w:firstLineChars="200"/>
        <w:rPr>
          <w:rFonts w:hint="eastAsia" w:ascii="黑体" w:hAnsi="黑体" w:eastAsia="黑体" w:cs="黑体"/>
          <w:color w:val="auto"/>
          <w:kern w:val="2"/>
          <w:sz w:val="32"/>
          <w:szCs w:val="32"/>
          <w:highlight w:val="none"/>
          <w:shd w:val="clear" w:color="auto" w:fill="auto"/>
          <w:lang w:val="en-US" w:eastAsia="zh-CN" w:bidi="ar-SA"/>
        </w:rPr>
      </w:pPr>
      <w:r>
        <w:rPr>
          <w:rFonts w:hint="eastAsia" w:ascii="黑体" w:hAnsi="黑体" w:eastAsia="黑体" w:cs="黑体"/>
          <w:color w:val="auto"/>
          <w:kern w:val="2"/>
          <w:sz w:val="32"/>
          <w:szCs w:val="32"/>
          <w:highlight w:val="none"/>
          <w:shd w:val="clear" w:color="auto" w:fill="auto"/>
          <w:lang w:val="en-US" w:eastAsia="zh-CN" w:bidi="ar-SA"/>
        </w:rPr>
        <w:t>存在的主要问题及改进情况</w:t>
      </w:r>
    </w:p>
    <w:p w14:paraId="7E8C44F9">
      <w:pPr>
        <w:numPr>
          <w:numId w:val="0"/>
        </w:numPr>
        <w:bidi w:val="0"/>
        <w:ind w:firstLine="640" w:firstLineChars="200"/>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2025年，政府信息公开工作中存在的主要问题为：</w:t>
      </w:r>
      <w:r>
        <w:rPr>
          <w:rFonts w:hint="eastAsia" w:ascii="楷体_GB2312" w:hAnsi="楷体_GB2312" w:eastAsia="楷体_GB2312" w:cs="楷体_GB2312"/>
          <w:color w:val="auto"/>
          <w:kern w:val="2"/>
          <w:sz w:val="32"/>
          <w:szCs w:val="32"/>
          <w:highlight w:val="none"/>
          <w:shd w:val="clear" w:color="auto" w:fill="auto"/>
          <w:lang w:val="en-US" w:eastAsia="zh-CN" w:bidi="ar-SA"/>
        </w:rPr>
        <w:t>一是信息公开不全面，更新不及时。</w:t>
      </w:r>
      <w:r>
        <w:rPr>
          <w:rFonts w:hint="eastAsia" w:ascii="仿宋_GB2312" w:hAnsi="仿宋_GB2312" w:eastAsia="仿宋_GB2312" w:cs="仿宋_GB2312"/>
          <w:color w:val="auto"/>
          <w:kern w:val="2"/>
          <w:sz w:val="32"/>
          <w:szCs w:val="32"/>
          <w:highlight w:val="none"/>
          <w:shd w:val="clear" w:color="auto" w:fill="auto"/>
          <w:lang w:val="en-US" w:eastAsia="zh-CN" w:bidi="ar-SA"/>
        </w:rPr>
        <w:t>对于群众关心的招生、收费、项目建设等信息发布不全、更新慢；</w:t>
      </w:r>
      <w:r>
        <w:rPr>
          <w:rFonts w:hint="eastAsia" w:ascii="楷体_GB2312" w:hAnsi="楷体_GB2312" w:eastAsia="楷体_GB2312" w:cs="楷体_GB2312"/>
          <w:color w:val="auto"/>
          <w:kern w:val="2"/>
          <w:sz w:val="32"/>
          <w:szCs w:val="32"/>
          <w:highlight w:val="none"/>
          <w:shd w:val="clear" w:color="auto" w:fill="auto"/>
          <w:lang w:val="en-US" w:eastAsia="zh-CN" w:bidi="ar-SA"/>
        </w:rPr>
        <w:t>二是政策解读不深入，形式单一。</w:t>
      </w:r>
      <w:r>
        <w:rPr>
          <w:rFonts w:hint="eastAsia" w:ascii="仿宋_GB2312" w:hAnsi="仿宋_GB2312" w:eastAsia="仿宋_GB2312" w:cs="仿宋_GB2312"/>
          <w:color w:val="auto"/>
          <w:kern w:val="2"/>
          <w:sz w:val="32"/>
          <w:szCs w:val="32"/>
          <w:highlight w:val="none"/>
          <w:shd w:val="clear" w:color="auto" w:fill="auto"/>
          <w:lang w:val="en-US" w:eastAsia="zh-CN" w:bidi="ar-SA"/>
        </w:rPr>
        <w:t>政策解读停留在文件转载，缺乏深入、生动的阐释；</w:t>
      </w:r>
      <w:r>
        <w:rPr>
          <w:rFonts w:hint="eastAsia" w:ascii="楷体_GB2312" w:hAnsi="楷体_GB2312" w:eastAsia="楷体_GB2312" w:cs="楷体_GB2312"/>
          <w:color w:val="auto"/>
          <w:kern w:val="2"/>
          <w:sz w:val="32"/>
          <w:szCs w:val="32"/>
          <w:highlight w:val="none"/>
          <w:shd w:val="clear" w:color="auto" w:fill="auto"/>
          <w:lang w:val="en-US" w:eastAsia="zh-CN" w:bidi="ar-SA"/>
        </w:rPr>
        <w:t>三是公开延伸不到位，基层规范不足。</w:t>
      </w:r>
      <w:r>
        <w:rPr>
          <w:rFonts w:hint="eastAsia" w:ascii="仿宋_GB2312" w:hAnsi="仿宋_GB2312" w:eastAsia="仿宋_GB2312" w:cs="仿宋_GB2312"/>
          <w:color w:val="auto"/>
          <w:kern w:val="2"/>
          <w:sz w:val="32"/>
          <w:szCs w:val="32"/>
          <w:highlight w:val="none"/>
          <w:shd w:val="clear" w:color="auto" w:fill="auto"/>
          <w:lang w:val="en-US" w:eastAsia="zh-CN" w:bidi="ar-SA"/>
        </w:rPr>
        <w:t>对下属学校、幼儿园的政务公开工作指导监督不够，存在栏目空白、内容不规范等问题。</w:t>
      </w:r>
    </w:p>
    <w:p w14:paraId="50A775FF">
      <w:pPr>
        <w:bidi w:val="0"/>
        <w:ind w:firstLine="640" w:firstLineChars="200"/>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2026年改进措施：</w:t>
      </w:r>
      <w:r>
        <w:rPr>
          <w:rFonts w:hint="eastAsia" w:ascii="楷体_GB2312" w:hAnsi="楷体_GB2312" w:eastAsia="楷体_GB2312" w:cs="楷体_GB2312"/>
          <w:color w:val="auto"/>
          <w:kern w:val="2"/>
          <w:sz w:val="32"/>
          <w:szCs w:val="32"/>
          <w:highlight w:val="none"/>
          <w:shd w:val="clear" w:color="auto" w:fill="auto"/>
          <w:lang w:val="en-US" w:eastAsia="zh-CN" w:bidi="ar-SA"/>
        </w:rPr>
        <w:t>一是深化关键领域公开透明。</w:t>
      </w:r>
      <w:r>
        <w:rPr>
          <w:rFonts w:hint="default" w:ascii="仿宋_GB2312" w:hAnsi="仿宋_GB2312" w:eastAsia="仿宋_GB2312" w:cs="仿宋_GB2312"/>
          <w:color w:val="auto"/>
          <w:kern w:val="2"/>
          <w:sz w:val="32"/>
          <w:szCs w:val="32"/>
          <w:highlight w:val="none"/>
          <w:shd w:val="clear" w:color="auto" w:fill="auto"/>
          <w:lang w:val="en-US" w:eastAsia="zh-CN" w:bidi="ar-SA"/>
        </w:rPr>
        <w:t>聚焦招生入学、教师招聘、经费使用等社会高度关注的事项，通过细化公开内容、扩大公开范围，确保公众能清晰了解政策依据、操作流程和执行结果</w:t>
      </w:r>
      <w:r>
        <w:rPr>
          <w:rFonts w:hint="eastAsia" w:ascii="仿宋_GB2312" w:hAnsi="仿宋_GB2312" w:eastAsia="仿宋_GB2312" w:cs="仿宋_GB2312"/>
          <w:color w:val="auto"/>
          <w:kern w:val="2"/>
          <w:sz w:val="32"/>
          <w:szCs w:val="32"/>
          <w:highlight w:val="none"/>
          <w:shd w:val="clear" w:color="auto" w:fill="auto"/>
          <w:lang w:val="en-US" w:eastAsia="zh-CN" w:bidi="ar-SA"/>
        </w:rPr>
        <w:t>；</w:t>
      </w:r>
      <w:r>
        <w:rPr>
          <w:rFonts w:hint="eastAsia" w:ascii="楷体_GB2312" w:hAnsi="楷体_GB2312" w:eastAsia="楷体_GB2312" w:cs="楷体_GB2312"/>
          <w:color w:val="auto"/>
          <w:kern w:val="2"/>
          <w:sz w:val="32"/>
          <w:szCs w:val="32"/>
          <w:highlight w:val="none"/>
          <w:shd w:val="clear" w:color="auto" w:fill="auto"/>
          <w:lang w:val="en-US" w:eastAsia="zh-CN" w:bidi="ar-SA"/>
        </w:rPr>
        <w:t>二是</w:t>
      </w:r>
      <w:r>
        <w:rPr>
          <w:rFonts w:hint="default" w:ascii="楷体_GB2312" w:hAnsi="楷体_GB2312" w:eastAsia="楷体_GB2312" w:cs="楷体_GB2312"/>
          <w:color w:val="auto"/>
          <w:kern w:val="2"/>
          <w:sz w:val="32"/>
          <w:szCs w:val="32"/>
          <w:highlight w:val="none"/>
          <w:shd w:val="clear" w:color="auto" w:fill="auto"/>
          <w:lang w:val="en-US" w:eastAsia="zh-CN" w:bidi="ar-SA"/>
        </w:rPr>
        <w:t>提升政策解读与互动效果</w:t>
      </w:r>
      <w:r>
        <w:rPr>
          <w:rFonts w:hint="eastAsia" w:ascii="楷体_GB2312" w:hAnsi="楷体_GB2312" w:eastAsia="楷体_GB2312" w:cs="楷体_GB2312"/>
          <w:color w:val="auto"/>
          <w:kern w:val="2"/>
          <w:sz w:val="32"/>
          <w:szCs w:val="32"/>
          <w:highlight w:val="none"/>
          <w:shd w:val="clear" w:color="auto" w:fill="auto"/>
          <w:lang w:val="en-US" w:eastAsia="zh-CN" w:bidi="ar-SA"/>
        </w:rPr>
        <w:t>。</w:t>
      </w:r>
      <w:r>
        <w:rPr>
          <w:rFonts w:hint="default" w:ascii="仿宋_GB2312" w:hAnsi="仿宋_GB2312" w:eastAsia="仿宋_GB2312" w:cs="仿宋_GB2312"/>
          <w:color w:val="auto"/>
          <w:kern w:val="2"/>
          <w:sz w:val="32"/>
          <w:szCs w:val="32"/>
          <w:highlight w:val="none"/>
          <w:shd w:val="clear" w:color="auto" w:fill="auto"/>
          <w:lang w:val="en-US" w:eastAsia="zh-CN" w:bidi="ar-SA"/>
        </w:rPr>
        <w:t>改变单一的文本解读形式，探索采用图文解读、视频动画、互动问答等更生动的方式</w:t>
      </w:r>
      <w:r>
        <w:rPr>
          <w:rFonts w:hint="eastAsia" w:ascii="仿宋_GB2312" w:hAnsi="仿宋_GB2312" w:eastAsia="仿宋_GB2312" w:cs="仿宋_GB2312"/>
          <w:color w:val="auto"/>
          <w:kern w:val="2"/>
          <w:sz w:val="32"/>
          <w:szCs w:val="32"/>
          <w:highlight w:val="none"/>
          <w:shd w:val="clear" w:color="auto" w:fill="auto"/>
          <w:lang w:val="en-US" w:eastAsia="zh-CN" w:bidi="ar-SA"/>
        </w:rPr>
        <w:t>；</w:t>
      </w:r>
      <w:r>
        <w:rPr>
          <w:rFonts w:hint="eastAsia" w:ascii="楷体_GB2312" w:hAnsi="楷体_GB2312" w:eastAsia="楷体_GB2312" w:cs="楷体_GB2312"/>
          <w:color w:val="auto"/>
          <w:kern w:val="2"/>
          <w:sz w:val="32"/>
          <w:szCs w:val="32"/>
          <w:highlight w:val="none"/>
          <w:shd w:val="clear" w:color="auto" w:fill="auto"/>
          <w:lang w:val="en-US" w:eastAsia="zh-CN" w:bidi="ar-SA"/>
        </w:rPr>
        <w:t>三是</w:t>
      </w:r>
      <w:r>
        <w:rPr>
          <w:rFonts w:hint="default" w:ascii="楷体_GB2312" w:hAnsi="楷体_GB2312" w:eastAsia="楷体_GB2312" w:cs="楷体_GB2312"/>
          <w:color w:val="auto"/>
          <w:kern w:val="2"/>
          <w:sz w:val="32"/>
          <w:szCs w:val="32"/>
          <w:highlight w:val="none"/>
          <w:shd w:val="clear" w:color="auto" w:fill="auto"/>
          <w:lang w:val="en-US" w:eastAsia="zh-CN" w:bidi="ar-SA"/>
        </w:rPr>
        <w:t>推动公开向基层延</w:t>
      </w:r>
      <w:r>
        <w:rPr>
          <w:rFonts w:hint="eastAsia" w:ascii="楷体_GB2312" w:hAnsi="楷体_GB2312" w:eastAsia="楷体_GB2312" w:cs="楷体_GB2312"/>
          <w:color w:val="auto"/>
          <w:kern w:val="2"/>
          <w:sz w:val="32"/>
          <w:szCs w:val="32"/>
          <w:highlight w:val="none"/>
          <w:shd w:val="clear" w:color="auto" w:fill="auto"/>
          <w:lang w:val="en-US" w:eastAsia="zh-CN" w:bidi="ar-SA"/>
        </w:rPr>
        <w:t>伸。</w:t>
      </w:r>
      <w:r>
        <w:rPr>
          <w:rFonts w:hint="default" w:ascii="仿宋_GB2312" w:hAnsi="仿宋_GB2312" w:eastAsia="仿宋_GB2312" w:cs="仿宋_GB2312"/>
          <w:color w:val="auto"/>
          <w:kern w:val="2"/>
          <w:sz w:val="32"/>
          <w:szCs w:val="32"/>
          <w:highlight w:val="none"/>
          <w:shd w:val="clear" w:color="auto" w:fill="auto"/>
          <w:lang w:val="en-US" w:eastAsia="zh-CN" w:bidi="ar-SA"/>
        </w:rPr>
        <w:t>加强对下属学校、幼儿园政务公开工作的指导与培训，督促做好事业单位信息公开，将政务公开要求落实到教育一线单位。</w:t>
      </w:r>
    </w:p>
    <w:p w14:paraId="77DFFD92">
      <w:pPr>
        <w:bidi w:val="0"/>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黑体" w:hAnsi="黑体" w:eastAsia="黑体" w:cs="黑体"/>
          <w:b w:val="0"/>
          <w:bCs/>
          <w:color w:val="auto"/>
          <w:kern w:val="0"/>
          <w:sz w:val="32"/>
          <w:szCs w:val="32"/>
          <w:lang w:val="en-US" w:eastAsia="zh-CN" w:bidi="ar"/>
        </w:rPr>
        <w:t>六、其他需要报告的事项</w:t>
      </w:r>
    </w:p>
    <w:p w14:paraId="55C4269C">
      <w:pPr>
        <w:bidi w:val="0"/>
        <w:ind w:firstLine="640" w:firstLineChars="20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1.收取信息处理费情况方面。2025年度，本单位未收取信息处理费。</w:t>
      </w:r>
    </w:p>
    <w:p w14:paraId="286267AD">
      <w:pPr>
        <w:bidi w:val="0"/>
        <w:ind w:firstLine="640" w:firstLineChars="200"/>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2.落实上级年度政务公开工作要点情况。对照《滕州市2025年政务公开工作要点》，围绕重点领域信息公开、政策发布解读与回应、政民互动、基层政务公开标准化规范化建设和工作保障和落实逐项明确责任主体和完成时限。</w:t>
      </w:r>
    </w:p>
    <w:p w14:paraId="02D4CC6E">
      <w:pPr>
        <w:bidi w:val="0"/>
        <w:ind w:firstLine="640" w:firstLineChars="200"/>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3.市教育体育局共承办人大建议、政协提案42件（其中2件枣庄市政协提案，4件滕州市人大代表建议、36件滕州市政协提案）。接到办理人大建议、政协提案通知后，市教育体育局党组高度重视，迅速进行安排部署，依照规范程序，认真组织办理，及时予以答复，切实把办理工作落到了实处，得到了人大代表和各级政协委员的充分肯定。</w:t>
      </w:r>
    </w:p>
    <w:p w14:paraId="54425DAD">
      <w:pPr>
        <w:bidi w:val="0"/>
        <w:ind w:firstLine="640" w:firstLineChars="200"/>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4.开展政务公开创新方面。加强自媒体宣传，拓展信息公开的服务渠道和方式方法，增强信息发布的时效性，比如：通过政府网站、微信等媒体及时公布招生政策、咨询电话和入学条件，确保符合条件的学生都能顺利及时入学。举办“政府开放日”活动，邀请街道人大代表、政协委员及部分群众，到教体局采取现场参观、面对面座谈等形式，介绍教育发展情况，解答有关问题，并聘请了部分人员作为政务公开监督员。</w:t>
      </w:r>
    </w:p>
    <w:p w14:paraId="1E4AF0E8">
      <w:pPr>
        <w:bidi w:val="0"/>
        <w:ind w:firstLine="640" w:firstLineChars="200"/>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5.中小学开展信息公开情况已在第一部分主动公开内容中进行说明。</w:t>
      </w:r>
    </w:p>
    <w:p w14:paraId="39F4E02A">
      <w:pPr>
        <w:bidi w:val="0"/>
        <w:ind w:firstLine="640" w:firstLineChars="200"/>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6.本报告的电子版可在“滕州市人民政府官网”（http://www.tengzhou.gov.cn）网站查询和下载。如对本报告有任何疑问，请与滕州市教育和体育局联系。（地址：杏坛中路75号；邮编：277599；联系电话：0632-5514602）</w:t>
      </w:r>
    </w:p>
    <w:p w14:paraId="346B7845">
      <w:pPr>
        <w:bidi w:val="0"/>
        <w:rPr>
          <w:rFonts w:hint="eastAsia" w:ascii="仿宋_GB2312" w:hAnsi="仿宋_GB2312" w:eastAsia="仿宋_GB2312" w:cs="仿宋_GB2312"/>
          <w:color w:val="auto"/>
          <w:kern w:val="2"/>
          <w:sz w:val="32"/>
          <w:szCs w:val="32"/>
          <w:highlight w:val="none"/>
          <w:shd w:val="clear" w:color="auto" w:fill="auto"/>
          <w:lang w:val="en-US" w:eastAsia="zh-CN" w:bidi="ar-SA"/>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文鼎CS楷體"/>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CS楷體"/>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059">
    <w:panose1 w:val="00000500000000000000"/>
    <w:charset w:val="00"/>
    <w:family w:val="auto"/>
    <w:pitch w:val="default"/>
    <w:sig w:usb0="00000287" w:usb1="00000800" w:usb2="00000000" w:usb3="00000000" w:csb0="6000009F" w:csb1="00000000"/>
  </w:font>
  <w:font w:name="文鼎CS楷體">
    <w:panose1 w:val="02010609010101010101"/>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254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EF8FBE">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EF8FB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281F8"/>
    <w:multiLevelType w:val="singleLevel"/>
    <w:tmpl w:val="FD3281F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749F5"/>
    <w:rsid w:val="23E11403"/>
    <w:rsid w:val="29927FC7"/>
    <w:rsid w:val="2DF522DD"/>
    <w:rsid w:val="346B0E79"/>
    <w:rsid w:val="4A721E7B"/>
    <w:rsid w:val="4BB25201"/>
    <w:rsid w:val="56D23510"/>
    <w:rsid w:val="596027CD"/>
    <w:rsid w:val="5E783E23"/>
    <w:rsid w:val="6F577D7B"/>
    <w:rsid w:val="7846412A"/>
    <w:rsid w:val="7BA1D920"/>
    <w:rsid w:val="7BBB866D"/>
    <w:rsid w:val="7EAF4A61"/>
    <w:rsid w:val="7FFDC311"/>
    <w:rsid w:val="FFDB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rFonts w:ascii="Times New Roman" w:hAnsi="Times New Roman" w:eastAsia="宋体" w:cs="Times New Roman"/>
      <w:b/>
      <w:bCs/>
      <w:color w:val="auto"/>
      <w:kern w:val="2"/>
      <w:szCs w:val="32"/>
    </w:rPr>
  </w:style>
  <w:style w:type="paragraph" w:customStyle="1" w:styleId="9">
    <w:name w:val="_Style 2"/>
    <w:basedOn w:val="1"/>
    <w:next w:val="1"/>
    <w:qFormat/>
    <w:uiPriority w:val="0"/>
    <w:pPr>
      <w:spacing w:line="351" w:lineRule="atLeast"/>
      <w:ind w:firstLine="623"/>
      <w:textAlignment w:val="baseline"/>
    </w:pPr>
    <w:rPr>
      <w:rFonts w:ascii="Calibri" w:hAnsi="Calibri" w:eastAsia="仿宋_GB2312" w:cs="Times New Roman"/>
      <w:color w:val="000000"/>
      <w:sz w:val="3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1402</Words>
  <Characters>1454</Characters>
  <Lines>0</Lines>
  <Paragraphs>0</Paragraphs>
  <TotalTime>15</TotalTime>
  <ScaleCrop>false</ScaleCrop>
  <LinksUpToDate>false</LinksUpToDate>
  <CharactersWithSpaces>1454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2025-12-30T14:20:00Z</dcterms:created>
  <dc:creator>Administrator</dc:creator>
  <cp:lastModifiedBy>Wendy</cp:lastModifiedBy>
  <dcterms:modified xsi:type="dcterms:W3CDTF">2026-01-19T11:23:15Z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eyJoZGlkIjoiNjZkNTlmMTU4MmJjYTJmMDM4NjlkNzczZDdiMzc0OWYiLCJ1c2VySWQiOiIxNjM4OTkyOTU2In0=</vt:lpwstr>
  </property>
  <property fmtid="{D5CDD505-2E9C-101B-9397-08002B2CF9AE}" pid="4" name="ICV">
    <vt:lpwstr>2D0A42BF876736AE0E9B6D69ADCA05B2_43</vt:lpwstr>
  </property>
</Properties>
</file>