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CE449">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Tahoma" w:eastAsia="方正小标宋简体"/>
          <w:kern w:val="0"/>
          <w:sz w:val="44"/>
          <w:szCs w:val="44"/>
          <w:highlight w:val="none"/>
        </w:rPr>
      </w:pPr>
      <w:r>
        <w:rPr>
          <w:rFonts w:hint="eastAsia" w:ascii="方正小标宋简体" w:hAnsi="Tahoma" w:eastAsia="方正小标宋简体"/>
          <w:kern w:val="0"/>
          <w:sz w:val="44"/>
          <w:szCs w:val="44"/>
          <w:highlight w:val="none"/>
        </w:rPr>
        <w:t>滕州市财政局</w:t>
      </w:r>
    </w:p>
    <w:p w14:paraId="7E266AD5">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Tahoma" w:eastAsia="方正小标宋简体"/>
          <w:kern w:val="0"/>
          <w:sz w:val="44"/>
          <w:szCs w:val="44"/>
          <w:highlight w:val="none"/>
        </w:rPr>
      </w:pPr>
      <w:r>
        <w:rPr>
          <w:rFonts w:hint="eastAsia" w:ascii="方正小标宋简体" w:hAnsi="Tahoma" w:eastAsia="方正小标宋简体"/>
          <w:kern w:val="0"/>
          <w:sz w:val="44"/>
          <w:szCs w:val="44"/>
          <w:highlight w:val="none"/>
        </w:rPr>
        <w:t>202</w:t>
      </w:r>
      <w:r>
        <w:rPr>
          <w:rFonts w:hint="eastAsia" w:ascii="方正小标宋简体" w:hAnsi="Tahoma" w:eastAsia="方正小标宋简体"/>
          <w:kern w:val="0"/>
          <w:sz w:val="44"/>
          <w:szCs w:val="44"/>
          <w:highlight w:val="none"/>
          <w:lang w:val="en-US" w:eastAsia="zh-CN"/>
        </w:rPr>
        <w:t>5</w:t>
      </w:r>
      <w:r>
        <w:rPr>
          <w:rFonts w:hint="eastAsia" w:ascii="方正小标宋简体" w:hAnsi="Tahoma" w:eastAsia="方正小标宋简体"/>
          <w:kern w:val="0"/>
          <w:sz w:val="44"/>
          <w:szCs w:val="44"/>
          <w:highlight w:val="none"/>
        </w:rPr>
        <w:t>年度政府信息公开工作年度报告</w:t>
      </w:r>
    </w:p>
    <w:p w14:paraId="750EE227">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Tahoma" w:eastAsia="方正小标宋简体"/>
          <w:kern w:val="0"/>
          <w:sz w:val="44"/>
          <w:szCs w:val="44"/>
          <w:highlight w:val="none"/>
        </w:rPr>
      </w:pPr>
    </w:p>
    <w:p w14:paraId="1F7156E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根据《中华人民共和国政府信息公开条例》以及省、枣庄市、滕州市政府有关政府信息公开文件要求，结合我局实际，编制滕州市</w:t>
      </w:r>
      <w:r>
        <w:rPr>
          <w:rFonts w:hint="eastAsia" w:ascii="仿宋_GB2312" w:hAnsi="仿宋_GB2312" w:eastAsia="仿宋_GB2312" w:cs="仿宋_GB2312"/>
          <w:i w:val="0"/>
          <w:iCs w:val="0"/>
          <w:caps w:val="0"/>
          <w:color w:val="000000"/>
          <w:spacing w:val="0"/>
          <w:sz w:val="32"/>
          <w:szCs w:val="32"/>
          <w:shd w:val="clear" w:fill="FFFFFF"/>
          <w:lang w:val="en-US" w:eastAsia="zh-CN"/>
        </w:rPr>
        <w:t>财政局</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年政府信息公开工作年度报告。本年度报告中所列数据的统计期限自202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年1月1日起，至202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年12月31日止。</w:t>
      </w:r>
    </w:p>
    <w:p w14:paraId="344246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390C051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2025</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滕州</w:t>
      </w:r>
      <w:r>
        <w:rPr>
          <w:rFonts w:hint="eastAsia" w:ascii="仿宋_GB2312" w:hAnsi="仿宋_GB2312" w:eastAsia="仿宋_GB2312" w:cs="仿宋_GB2312"/>
          <w:i w:val="0"/>
          <w:iCs w:val="0"/>
          <w:caps w:val="0"/>
          <w:color w:val="000000"/>
          <w:spacing w:val="0"/>
          <w:sz w:val="32"/>
          <w:szCs w:val="32"/>
          <w:shd w:val="clear" w:fill="FFFFFF"/>
        </w:rPr>
        <w:t>市</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深入落实《中华人民共和国政府信息公开条例》以及省、枣庄市和滕州市政府关于政府信息公开工作的要求，紧扣工作实际，服务经济社会大局，把政务信息公开作为长期的动态工作落到实处，进一步健全工作机制，规范政务公开形式和内容，不断提升政府信息公开工作水平。</w:t>
      </w:r>
    </w:p>
    <w:p w14:paraId="3AEC4DF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主动公开</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强化基本信息公开。</w:t>
      </w:r>
      <w:r>
        <w:rPr>
          <w:rFonts w:hint="eastAsia" w:ascii="仿宋_GB2312" w:hAnsi="仿宋_GB2312" w:eastAsia="仿宋_GB2312" w:cs="仿宋_GB2312"/>
          <w:i w:val="0"/>
          <w:iCs w:val="0"/>
          <w:caps w:val="0"/>
          <w:color w:val="000000"/>
          <w:spacing w:val="0"/>
          <w:sz w:val="32"/>
          <w:szCs w:val="32"/>
          <w:shd w:val="clear" w:fill="FFFFFF"/>
        </w:rPr>
        <w:t>全年共主动公开政府信息</w:t>
      </w:r>
      <w:r>
        <w:rPr>
          <w:rFonts w:hint="eastAsia" w:ascii="仿宋_GB2312" w:hAnsi="仿宋_GB2312" w:eastAsia="仿宋_GB2312" w:cs="仿宋_GB2312"/>
          <w:i w:val="0"/>
          <w:iCs w:val="0"/>
          <w:caps w:val="0"/>
          <w:color w:val="000000"/>
          <w:spacing w:val="0"/>
          <w:sz w:val="32"/>
          <w:szCs w:val="32"/>
          <w:shd w:val="clear" w:fill="FFFFFF"/>
          <w:lang w:val="en-US" w:eastAsia="zh-CN"/>
        </w:rPr>
        <w:t>358</w:t>
      </w:r>
      <w:r>
        <w:rPr>
          <w:rFonts w:hint="eastAsia" w:ascii="仿宋_GB2312" w:hAnsi="仿宋_GB2312" w:eastAsia="仿宋_GB2312" w:cs="仿宋_GB2312"/>
          <w:i w:val="0"/>
          <w:iCs w:val="0"/>
          <w:caps w:val="0"/>
          <w:color w:val="000000"/>
          <w:spacing w:val="0"/>
          <w:sz w:val="32"/>
          <w:szCs w:val="32"/>
          <w:shd w:val="clear" w:fill="FFFFFF"/>
        </w:rPr>
        <w:t>条。其中，通过</w:t>
      </w:r>
      <w:r>
        <w:rPr>
          <w:rFonts w:hint="eastAsia" w:ascii="仿宋_GB2312" w:hAnsi="仿宋_GB2312" w:eastAsia="仿宋_GB2312" w:cs="仿宋_GB2312"/>
          <w:i w:val="0"/>
          <w:iCs w:val="0"/>
          <w:caps w:val="0"/>
          <w:color w:val="000000"/>
          <w:spacing w:val="0"/>
          <w:sz w:val="32"/>
          <w:szCs w:val="32"/>
          <w:shd w:val="clear" w:fill="FFFFFF"/>
          <w:lang w:val="en-US" w:eastAsia="zh-CN"/>
        </w:rPr>
        <w:t>滕州市人民政府官网（财政局）栏目</w:t>
      </w:r>
      <w:r>
        <w:rPr>
          <w:rFonts w:hint="eastAsia" w:ascii="仿宋_GB2312" w:hAnsi="仿宋_GB2312" w:eastAsia="仿宋_GB2312" w:cs="仿宋_GB2312"/>
          <w:i w:val="0"/>
          <w:iCs w:val="0"/>
          <w:caps w:val="0"/>
          <w:color w:val="000000"/>
          <w:spacing w:val="0"/>
          <w:sz w:val="32"/>
          <w:szCs w:val="32"/>
          <w:shd w:val="clear" w:fill="FFFFFF"/>
        </w:rPr>
        <w:t>公开</w:t>
      </w:r>
      <w:r>
        <w:rPr>
          <w:rFonts w:hint="eastAsia" w:ascii="仿宋_GB2312" w:hAnsi="仿宋_GB2312" w:eastAsia="仿宋_GB2312" w:cs="仿宋_GB2312"/>
          <w:i w:val="0"/>
          <w:iCs w:val="0"/>
          <w:caps w:val="0"/>
          <w:color w:val="000000"/>
          <w:spacing w:val="0"/>
          <w:sz w:val="32"/>
          <w:szCs w:val="32"/>
          <w:shd w:val="clear" w:fill="FFFFFF"/>
          <w:lang w:val="en-US" w:eastAsia="zh-CN"/>
        </w:rPr>
        <w:t>70</w:t>
      </w:r>
      <w:r>
        <w:rPr>
          <w:rFonts w:hint="eastAsia" w:ascii="仿宋_GB2312" w:hAnsi="仿宋_GB2312" w:eastAsia="仿宋_GB2312" w:cs="仿宋_GB2312"/>
          <w:i w:val="0"/>
          <w:iCs w:val="0"/>
          <w:caps w:val="0"/>
          <w:color w:val="000000"/>
          <w:spacing w:val="0"/>
          <w:sz w:val="32"/>
          <w:szCs w:val="32"/>
          <w:shd w:val="clear" w:fill="FFFFFF"/>
        </w:rPr>
        <w:t>条，通过</w:t>
      </w:r>
      <w:r>
        <w:rPr>
          <w:rFonts w:hint="eastAsia" w:ascii="仿宋_GB2312" w:hAnsi="仿宋_GB2312" w:eastAsia="仿宋_GB2312" w:cs="仿宋_GB2312"/>
          <w:i w:val="0"/>
          <w:iCs w:val="0"/>
          <w:caps w:val="0"/>
          <w:color w:val="000000"/>
          <w:spacing w:val="0"/>
          <w:sz w:val="32"/>
          <w:szCs w:val="32"/>
          <w:shd w:val="clear" w:fill="FFFFFF"/>
          <w:lang w:val="en-US" w:eastAsia="zh-CN"/>
        </w:rPr>
        <w:t>滕州市人民政府官网信息公开页面</w:t>
      </w:r>
      <w:r>
        <w:rPr>
          <w:rFonts w:hint="eastAsia" w:ascii="仿宋_GB2312" w:hAnsi="仿宋_GB2312" w:eastAsia="仿宋_GB2312" w:cs="仿宋_GB2312"/>
          <w:i w:val="0"/>
          <w:iCs w:val="0"/>
          <w:caps w:val="0"/>
          <w:color w:val="000000"/>
          <w:spacing w:val="0"/>
          <w:sz w:val="32"/>
          <w:szCs w:val="32"/>
          <w:shd w:val="clear" w:fill="FFFFFF"/>
        </w:rPr>
        <w:t>公开</w:t>
      </w:r>
      <w:r>
        <w:rPr>
          <w:rFonts w:hint="eastAsia" w:ascii="仿宋_GB2312" w:hAnsi="仿宋_GB2312" w:eastAsia="仿宋_GB2312" w:cs="仿宋_GB2312"/>
          <w:i w:val="0"/>
          <w:iCs w:val="0"/>
          <w:caps w:val="0"/>
          <w:color w:val="000000"/>
          <w:spacing w:val="0"/>
          <w:sz w:val="32"/>
          <w:szCs w:val="32"/>
          <w:shd w:val="clear" w:fill="FFFFFF"/>
          <w:lang w:val="en-US" w:eastAsia="zh-CN"/>
        </w:rPr>
        <w:t>88</w:t>
      </w:r>
      <w:r>
        <w:rPr>
          <w:rFonts w:hint="eastAsia" w:ascii="仿宋_GB2312" w:hAnsi="仿宋_GB2312" w:eastAsia="仿宋_GB2312" w:cs="仿宋_GB2312"/>
          <w:i w:val="0"/>
          <w:iCs w:val="0"/>
          <w:caps w:val="0"/>
          <w:color w:val="000000"/>
          <w:spacing w:val="0"/>
          <w:sz w:val="32"/>
          <w:szCs w:val="32"/>
          <w:shd w:val="clear" w:fill="FFFFFF"/>
        </w:rPr>
        <w:t>条，通过微信公众号公开</w:t>
      </w:r>
      <w:r>
        <w:rPr>
          <w:rFonts w:hint="eastAsia" w:ascii="仿宋_GB2312" w:hAnsi="仿宋_GB2312" w:eastAsia="仿宋_GB2312" w:cs="仿宋_GB2312"/>
          <w:i w:val="0"/>
          <w:iCs w:val="0"/>
          <w:caps w:val="0"/>
          <w:color w:val="000000"/>
          <w:spacing w:val="0"/>
          <w:sz w:val="32"/>
          <w:szCs w:val="32"/>
          <w:shd w:val="clear" w:fill="FFFFFF"/>
          <w:lang w:val="en-US" w:eastAsia="zh-CN"/>
        </w:rPr>
        <w:t>200</w:t>
      </w:r>
      <w:r>
        <w:rPr>
          <w:rFonts w:hint="eastAsia" w:ascii="仿宋_GB2312" w:hAnsi="仿宋_GB2312" w:eastAsia="仿宋_GB2312" w:cs="仿宋_GB2312"/>
          <w:i w:val="0"/>
          <w:iCs w:val="0"/>
          <w:caps w:val="0"/>
          <w:color w:val="000000"/>
          <w:spacing w:val="0"/>
          <w:sz w:val="32"/>
          <w:szCs w:val="32"/>
          <w:shd w:val="clear" w:fill="FFFFFF"/>
        </w:rPr>
        <w:t>条。</w:t>
      </w:r>
      <w:r>
        <w:rPr>
          <w:rFonts w:hint="eastAsia" w:ascii="仿宋_GB2312" w:hAnsi="仿宋_GB2312" w:eastAsia="仿宋_GB2312" w:cs="仿宋_GB2312"/>
          <w:sz w:val="32"/>
          <w:szCs w:val="32"/>
        </w:rPr>
        <w:t>主动公开基本信息，包括通知公告、政策法规及</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文件、规划计划等。</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突出重点领域信息公开。</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年，主动公开财政信息包括：财政预决算、财政收支信息、行政事业性收费情况</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val="en-US" w:eastAsia="zh-CN"/>
        </w:rPr>
        <w:t>枣庄市</w:t>
      </w:r>
      <w:r>
        <w:rPr>
          <w:rFonts w:hint="eastAsia" w:ascii="仿宋_GB2312" w:hAnsi="仿宋_GB2312" w:eastAsia="仿宋_GB2312" w:cs="仿宋_GB2312"/>
          <w:sz w:val="32"/>
          <w:szCs w:val="32"/>
        </w:rPr>
        <w:t>滕州市预决算公开平台（http://tengzhou.czyjsgk.cn:99），财政预决算及三公经费类信息统一在此平台发布。</w:t>
      </w:r>
    </w:p>
    <w:p w14:paraId="0E8DB6CB">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14:paraId="5ABD6F9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671820" cy="2582545"/>
            <wp:effectExtent l="0" t="0" r="5080" b="8255"/>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
                    <pic:cNvPicPr>
                      <a:picLocks noChangeAspect="1"/>
                    </pic:cNvPicPr>
                  </pic:nvPicPr>
                  <pic:blipFill>
                    <a:blip r:embed="rId5"/>
                    <a:stretch>
                      <a:fillRect/>
                    </a:stretch>
                  </pic:blipFill>
                  <pic:spPr>
                    <a:xfrm>
                      <a:off x="0" y="0"/>
                      <a:ext cx="5671820" cy="2582545"/>
                    </a:xfrm>
                    <a:prstGeom prst="rect">
                      <a:avLst/>
                    </a:prstGeom>
                  </pic:spPr>
                </pic:pic>
              </a:graphicData>
            </a:graphic>
          </wp:inline>
        </w:drawing>
      </w:r>
    </w:p>
    <w:p w14:paraId="18FA9AFE">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firstLine="640" w:firstLineChars="200"/>
        <w:textAlignment w:val="auto"/>
        <w:rPr>
          <w:rFonts w:hint="default" w:ascii="仿宋_GB2312" w:eastAsia="仿宋_GB2312"/>
          <w:color w:val="000000"/>
          <w:sz w:val="32"/>
          <w:szCs w:val="32"/>
          <w:highlight w:val="none"/>
          <w:lang w:val="en-US" w:eastAsia="zh-CN"/>
        </w:rPr>
      </w:pPr>
      <w:r>
        <w:rPr>
          <w:rFonts w:hint="eastAsia" w:ascii="楷体_GB2312" w:hAnsi="楷体_GB2312" w:eastAsia="楷体_GB2312" w:cs="楷体_GB2312"/>
          <w:kern w:val="2"/>
          <w:sz w:val="32"/>
          <w:szCs w:val="32"/>
          <w:lang w:val="en-US" w:eastAsia="zh-CN" w:bidi="ar-SA"/>
        </w:rPr>
        <w:t>2.依申请公开。</w:t>
      </w:r>
      <w:r>
        <w:rPr>
          <w:rFonts w:hint="eastAsia" w:ascii="仿宋_GB2312" w:eastAsia="仿宋_GB2312"/>
          <w:color w:val="000000"/>
          <w:sz w:val="32"/>
          <w:szCs w:val="32"/>
          <w:lang w:val="en-US" w:eastAsia="zh-CN"/>
        </w:rPr>
        <w:t>2025年，新收6件</w:t>
      </w:r>
      <w:r>
        <w:rPr>
          <w:rFonts w:hint="eastAsia" w:ascii="仿宋_GB2312" w:hAnsi="仿宋_GB2312" w:eastAsia="仿宋_GB2312" w:cs="仿宋_GB2312"/>
          <w:sz w:val="32"/>
          <w:szCs w:val="32"/>
        </w:rPr>
        <w:t>政府信息公开申请，上年结转</w:t>
      </w:r>
      <w:r>
        <w:rPr>
          <w:rFonts w:hint="eastAsia" w:ascii="仿宋_GB2312" w:eastAsia="仿宋_GB2312"/>
          <w:color w:val="000000"/>
          <w:sz w:val="32"/>
          <w:szCs w:val="32"/>
          <w:lang w:val="en-US" w:eastAsia="zh-CN"/>
        </w:rPr>
        <w:t>0件，合计6件</w:t>
      </w:r>
      <w:r>
        <w:rPr>
          <w:rFonts w:hint="eastAsia" w:ascii="仿宋_GB2312" w:hAnsi="仿宋_GB2312" w:eastAsia="仿宋_GB2312" w:cs="仿宋_GB2312"/>
          <w:sz w:val="32"/>
          <w:szCs w:val="32"/>
        </w:rPr>
        <w:t>。</w:t>
      </w:r>
      <w:r>
        <w:rPr>
          <w:rFonts w:hint="eastAsia" w:ascii="仿宋_GB2312" w:eastAsia="仿宋_GB2312"/>
          <w:color w:val="000000"/>
          <w:sz w:val="32"/>
          <w:szCs w:val="32"/>
        </w:rPr>
        <w:t>自然人申</w:t>
      </w:r>
      <w:r>
        <w:rPr>
          <w:rFonts w:hint="eastAsia" w:ascii="仿宋_GB2312" w:eastAsia="仿宋_GB2312"/>
          <w:color w:val="000000"/>
          <w:sz w:val="32"/>
          <w:szCs w:val="32"/>
          <w:lang w:val="en-US" w:eastAsia="zh-CN"/>
        </w:rPr>
        <w:t>请6件，</w:t>
      </w:r>
      <w:r>
        <w:rPr>
          <w:rFonts w:ascii="仿宋_GB2312" w:hAnsi="宋体" w:eastAsia="仿宋_GB2312" w:cs="仿宋_GB2312"/>
          <w:i w:val="0"/>
          <w:iCs w:val="0"/>
          <w:caps w:val="0"/>
          <w:color w:val="000000"/>
          <w:spacing w:val="0"/>
          <w:sz w:val="32"/>
          <w:szCs w:val="32"/>
          <w:shd w:val="clear" w:fill="FFFFFF"/>
        </w:rPr>
        <w:t>商业企业</w:t>
      </w:r>
      <w:r>
        <w:rPr>
          <w:rFonts w:hint="eastAsia" w:ascii="仿宋_GB2312" w:hAnsi="宋体" w:eastAsia="仿宋_GB2312" w:cs="仿宋_GB2312"/>
          <w:i w:val="0"/>
          <w:iCs w:val="0"/>
          <w:caps w:val="0"/>
          <w:color w:val="000000"/>
          <w:spacing w:val="0"/>
          <w:sz w:val="32"/>
          <w:szCs w:val="32"/>
          <w:shd w:val="clear" w:fill="FFFFFF"/>
          <w:lang w:val="en-US" w:eastAsia="zh-CN"/>
        </w:rPr>
        <w:t>0</w:t>
      </w:r>
      <w:r>
        <w:rPr>
          <w:rFonts w:ascii="仿宋_GB2312" w:hAnsi="宋体" w:eastAsia="仿宋_GB2312" w:cs="仿宋_GB2312"/>
          <w:i w:val="0"/>
          <w:iCs w:val="0"/>
          <w:caps w:val="0"/>
          <w:color w:val="000000"/>
          <w:spacing w:val="0"/>
          <w:sz w:val="32"/>
          <w:szCs w:val="32"/>
          <w:shd w:val="clear" w:fill="FFFFFF"/>
        </w:rPr>
        <w:t>件</w:t>
      </w:r>
      <w:r>
        <w:rPr>
          <w:rFonts w:hint="eastAsia" w:ascii="仿宋_GB2312" w:eastAsia="仿宋_GB2312"/>
          <w:color w:val="000000"/>
          <w:sz w:val="32"/>
          <w:szCs w:val="32"/>
          <w:lang w:val="en-US" w:eastAsia="zh-CN"/>
        </w:rPr>
        <w:t>。接收办理与往年相比增减情况，详见图表。</w:t>
      </w:r>
      <w:r>
        <w:rPr>
          <w:rFonts w:hint="eastAsia" w:ascii="仿宋_GB2312" w:eastAsia="仿宋_GB2312"/>
          <w:color w:val="000000"/>
          <w:sz w:val="32"/>
          <w:szCs w:val="32"/>
          <w:highlight w:val="none"/>
          <w:lang w:val="en-US" w:eastAsia="zh-CN"/>
        </w:rPr>
        <w:t>其中予以公开3件，本机关不掌握相关信息3件。本年度因政府信息公开引发的行政复议1件，结果予以维持；未产生行政诉讼。</w:t>
      </w:r>
    </w:p>
    <w:p w14:paraId="72F0A793">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200"/>
        <w:jc w:val="center"/>
        <w:textAlignment w:val="auto"/>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drawing>
          <wp:inline distT="0" distB="0" distL="114300" distR="114300">
            <wp:extent cx="3559810" cy="1697355"/>
            <wp:effectExtent l="4445" t="4445" r="17145" b="12700"/>
            <wp:docPr id="6" name="图表 6" descr="7b0a202020202263686172745265734964223a202232303436383635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Start w:id="0" w:name="_GoBack"/>
      <w:bookmarkEnd w:id="0"/>
    </w:p>
    <w:p w14:paraId="5863A8B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3.政府信息管理。</w:t>
      </w:r>
      <w:r>
        <w:rPr>
          <w:rFonts w:hint="eastAsia" w:ascii="仿宋_GB2312" w:hAnsi="仿宋_GB2312" w:eastAsia="仿宋_GB2312" w:cs="仿宋_GB2312"/>
          <w:sz w:val="32"/>
          <w:szCs w:val="32"/>
        </w:rPr>
        <w:t>严格落实公文公开属性源头认定机制，明确标识主动公开、依申请公开、不予公开属性。严格政府信息公开审核和发布流程，强化保密审查和信息发布审核机制，做好信息公开保密审查工作。另明确信息公开时限要求，确保信息上传及时、避免出现空白栏目，扎实做好信息上传维护工作。</w:t>
      </w:r>
    </w:p>
    <w:p w14:paraId="0D04734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4.政府信息公开平台建设。</w:t>
      </w:r>
      <w:r>
        <w:rPr>
          <w:rFonts w:hint="eastAsia" w:ascii="仿宋_GB2312" w:hAnsi="仿宋_GB2312" w:eastAsia="仿宋_GB2312" w:cs="仿宋_GB2312"/>
          <w:sz w:val="32"/>
          <w:szCs w:val="32"/>
        </w:rPr>
        <w:t>加强政府网站</w:t>
      </w:r>
      <w:r>
        <w:rPr>
          <w:rFonts w:hint="eastAsia" w:ascii="仿宋_GB2312" w:hAnsi="仿宋_GB2312" w:eastAsia="仿宋_GB2312" w:cs="仿宋_GB2312"/>
          <w:sz w:val="32"/>
          <w:szCs w:val="32"/>
          <w:lang w:val="en-US" w:eastAsia="zh-CN"/>
        </w:rPr>
        <w:t>子栏目</w:t>
      </w:r>
      <w:r>
        <w:rPr>
          <w:rFonts w:hint="eastAsia" w:ascii="仿宋_GB2312" w:eastAsia="仿宋_GB2312"/>
          <w:sz w:val="32"/>
          <w:szCs w:val="32"/>
        </w:rPr>
        <w:t>、政府信息公开</w:t>
      </w:r>
      <w:r>
        <w:rPr>
          <w:rFonts w:hint="eastAsia" w:ascii="仿宋_GB2312" w:eastAsia="仿宋_GB2312"/>
          <w:sz w:val="32"/>
          <w:szCs w:val="32"/>
          <w:lang w:val="en-US" w:eastAsia="zh-CN"/>
        </w:rPr>
        <w:t>页面</w:t>
      </w:r>
      <w:r>
        <w:rPr>
          <w:rFonts w:hint="eastAsia" w:ascii="仿宋_GB2312" w:eastAsia="仿宋_GB2312"/>
          <w:sz w:val="32"/>
          <w:szCs w:val="32"/>
        </w:rPr>
        <w:t>、政务新媒体</w:t>
      </w:r>
      <w:r>
        <w:rPr>
          <w:rFonts w:hint="eastAsia" w:ascii="仿宋_GB2312" w:hAnsi="仿宋_GB2312" w:eastAsia="仿宋_GB2312" w:cs="仿宋_GB2312"/>
          <w:sz w:val="32"/>
          <w:szCs w:val="32"/>
        </w:rPr>
        <w:t>的日常管理和栏目维护，不断完善政府信息公开网的公开内容。</w:t>
      </w:r>
    </w:p>
    <w:p w14:paraId="00418DF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楷体_GB2312" w:hAnsi="楷体_GB2312" w:eastAsia="楷体_GB2312" w:cs="楷体_GB2312"/>
          <w:sz w:val="32"/>
          <w:szCs w:val="32"/>
          <w:lang w:val="en-US" w:eastAsia="zh-CN"/>
        </w:rPr>
        <w:t>5.监督保障。</w:t>
      </w:r>
      <w:r>
        <w:rPr>
          <w:rFonts w:hint="eastAsia" w:ascii="仿宋_GB2312" w:hAnsi="仿宋_GB2312" w:eastAsia="仿宋_GB2312" w:cs="仿宋_GB2312"/>
          <w:sz w:val="32"/>
          <w:szCs w:val="32"/>
        </w:rPr>
        <w:t>加强对政务信息公开工作的组织领导，并下设办公室。结合工作安排，开展政务公开培训。</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年，滕州市财政局未发生因信息公开审查不当或保密审查机构未履行保密审查职责而引起的失泄密情况。</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年度未进行社会评议，未发生责任追究情况。</w:t>
      </w:r>
    </w:p>
    <w:p w14:paraId="3B4AC3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9"/>
        <w:tblpPr w:leftFromText="180" w:rightFromText="180" w:vertAnchor="page" w:horzAnchor="page" w:tblpX="1854" w:tblpY="6620"/>
        <w:tblOverlap w:val="never"/>
        <w:tblW w:w="8824" w:type="dxa"/>
        <w:tblInd w:w="0" w:type="dxa"/>
        <w:tblLayout w:type="fixed"/>
        <w:tblCellMar>
          <w:top w:w="0" w:type="dxa"/>
          <w:left w:w="108" w:type="dxa"/>
          <w:bottom w:w="0" w:type="dxa"/>
          <w:right w:w="108" w:type="dxa"/>
        </w:tblCellMar>
      </w:tblPr>
      <w:tblGrid>
        <w:gridCol w:w="2206"/>
        <w:gridCol w:w="2206"/>
        <w:gridCol w:w="2206"/>
        <w:gridCol w:w="2206"/>
      </w:tblGrid>
      <w:tr w14:paraId="24307BC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495657B">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7C8B52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A5D1737">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6376E83A">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57161616">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2856A0DD">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C1A8F9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F3EE412">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3EFB7683">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6EE24B3">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929057C">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BCCE17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2C77B6E">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306BB6B3">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C61E6F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F2FB0A1">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9AED9B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077CB8B">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5C2406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3F8CB68">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42DEE3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A4C546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00AD343">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54C713E8">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13</w:t>
            </w:r>
          </w:p>
        </w:tc>
      </w:tr>
      <w:tr w14:paraId="42B51BF4">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F6CCBC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BF69C7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A054026">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83D441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22DB2E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9A8E830">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1049045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0FC5086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39EE538">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1D938886">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32A4C87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921D46B">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394F3F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49484B4">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4811751">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E50804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830CB97">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4E8E3036">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727DCB41">
      <w:pPr>
        <w:rPr>
          <w:rFonts w:hint="eastAsia"/>
        </w:rPr>
      </w:pPr>
    </w:p>
    <w:p w14:paraId="7E09AEF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14:paraId="7CD0D0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9"/>
        <w:tblW w:w="106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17"/>
        <w:gridCol w:w="1650"/>
        <w:gridCol w:w="3030"/>
        <w:gridCol w:w="735"/>
        <w:gridCol w:w="660"/>
        <w:gridCol w:w="735"/>
        <w:gridCol w:w="810"/>
        <w:gridCol w:w="750"/>
        <w:gridCol w:w="660"/>
        <w:gridCol w:w="575"/>
      </w:tblGrid>
      <w:tr w14:paraId="5004B1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97"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1D2243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（本列数据的勾稽关系为：第一项加第二项之和，</w:t>
            </w:r>
          </w:p>
          <w:p w14:paraId="36481DE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等于第三项加第四项之和）</w:t>
            </w:r>
          </w:p>
        </w:tc>
        <w:tc>
          <w:tcPr>
            <w:tcW w:w="4925"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4187219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申请人情况</w:t>
            </w:r>
          </w:p>
        </w:tc>
      </w:tr>
      <w:tr w14:paraId="661646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9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AE2E108">
            <w:pPr>
              <w:rPr>
                <w:rFonts w:hint="eastAsia" w:ascii="仿宋_GB2312" w:hAnsi="仿宋_GB2312" w:eastAsia="仿宋_GB2312" w:cs="仿宋_GB2312"/>
                <w:sz w:val="24"/>
                <w:szCs w:val="24"/>
              </w:rPr>
            </w:pPr>
          </w:p>
        </w:tc>
        <w:tc>
          <w:tcPr>
            <w:tcW w:w="73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8472B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自然人</w:t>
            </w:r>
          </w:p>
        </w:tc>
        <w:tc>
          <w:tcPr>
            <w:tcW w:w="361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CCB27A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BD76C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14:paraId="11E6E5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5697"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D604B00">
            <w:pPr>
              <w:rPr>
                <w:rFonts w:hint="eastAsia" w:ascii="仿宋_GB2312" w:hAnsi="仿宋_GB2312" w:eastAsia="仿宋_GB2312" w:cs="仿宋_GB2312"/>
                <w:sz w:val="24"/>
                <w:szCs w:val="24"/>
              </w:rPr>
            </w:pPr>
          </w:p>
        </w:tc>
        <w:tc>
          <w:tcPr>
            <w:tcW w:w="73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C6359E0">
            <w:pPr>
              <w:jc w:val="center"/>
              <w:rPr>
                <w:rFonts w:hint="eastAsia" w:ascii="仿宋_GB2312" w:hAnsi="仿宋_GB2312" w:eastAsia="仿宋_GB2312" w:cs="仿宋_GB2312"/>
                <w:sz w:val="24"/>
                <w:szCs w:val="24"/>
              </w:rPr>
            </w:pP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2F5B6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w:t>
            </w:r>
          </w:p>
          <w:p w14:paraId="278CDB2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BA5305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w:t>
            </w:r>
          </w:p>
          <w:p w14:paraId="119DF42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01EFA63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社会公益组织</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384B6F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法律服务机构</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5179984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8ACFA2C">
            <w:pPr>
              <w:jc w:val="center"/>
              <w:rPr>
                <w:rFonts w:hint="eastAsia" w:ascii="仿宋_GB2312" w:hAnsi="仿宋_GB2312" w:eastAsia="仿宋_GB2312" w:cs="仿宋_GB2312"/>
                <w:sz w:val="24"/>
                <w:szCs w:val="24"/>
              </w:rPr>
            </w:pPr>
          </w:p>
        </w:tc>
      </w:tr>
      <w:tr w14:paraId="60BA5E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7" w:hRule="atLeast"/>
          <w:jc w:val="center"/>
        </w:trPr>
        <w:tc>
          <w:tcPr>
            <w:tcW w:w="569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4A8AA1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一、本年新收政府信息公开申请数量</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D36F67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10503EE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10A8F1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CBB02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23B942B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3282D76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3C9FDDF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r>
      <w:tr w14:paraId="15A824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569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0441CF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二、上年结转政府信息公开申请数量</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31B0268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95E68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09AA2C2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DD08A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54647F9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C8477F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0CC8D55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ABD2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101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2F5FDD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三、本年度办理结果</w:t>
            </w:r>
          </w:p>
        </w:tc>
        <w:tc>
          <w:tcPr>
            <w:tcW w:w="46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775ED2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（一）予以公开</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2B55369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18DF5DB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049410F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6C1E9D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49B704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F8602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72DBDCA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r>
      <w:tr w14:paraId="786E48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8AE2D9C">
            <w:pPr>
              <w:rPr>
                <w:rFonts w:hint="eastAsia" w:ascii="仿宋_GB2312" w:hAnsi="仿宋_GB2312" w:eastAsia="仿宋_GB2312" w:cs="仿宋_GB2312"/>
                <w:sz w:val="24"/>
                <w:szCs w:val="24"/>
              </w:rPr>
            </w:pPr>
          </w:p>
        </w:tc>
        <w:tc>
          <w:tcPr>
            <w:tcW w:w="46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9B6DF5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（二）部分公开（区分处理的，只计这一情形，不计其他情形）</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1F6A20A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04E3BF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E1F3A4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069A683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781DF4D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2A5576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6F1AC62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5408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4F1610C">
            <w:pPr>
              <w:rPr>
                <w:rFonts w:hint="eastAsia" w:ascii="仿宋_GB2312" w:hAnsi="仿宋_GB2312" w:eastAsia="仿宋_GB2312" w:cs="仿宋_GB2312"/>
                <w:sz w:val="24"/>
                <w:szCs w:val="24"/>
              </w:rPr>
            </w:pPr>
          </w:p>
        </w:tc>
        <w:tc>
          <w:tcPr>
            <w:tcW w:w="16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11D78D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（三）不予公开</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634084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1.属于国家秘密</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CD1EE1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51EEEF6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6070D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17F65E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394D9E5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34B814E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061203C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3534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EFE4DB8">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4497826">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B2B715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2.其他法律行政法规禁止公开</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7894509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40E6F9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34E4E7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4769A8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28679F1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374945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1F93C33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448F7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8EA534B">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C980862">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46D0C53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3.危及“三安全一稳定”</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5B2A098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25D73F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6BAEA3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412D2C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6587E8F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A6BBAE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29DE12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32CD4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B65A0FB">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6DDD580">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62E3042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4.保护第三方合法权益</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2E04713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2A9D1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4B9A8E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7E2BE4A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57AEFBB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1341F03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07F3A8D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61D8C2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AB7FCF2">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DBCFCF0">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476583A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5.属于三类内部事务信息</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2291156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5BD465B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170B201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099279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2C67F84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C413DD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56BE341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CF853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9082468">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7E82857">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6A3CD35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6.属于四类过程性信息</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407817D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4E4A51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133E14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56A0D54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11D30B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132B3B1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6341B22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60380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8054390">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6D5873D">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74D1192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7.属于行政执法案卷</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7D534F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D5B315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50C60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60CAC2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18EC327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5CA225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7CC0E82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448229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ED62FFB">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01101D6">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7AAE6FC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8.属于行政查询事项</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1CAD044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F7EA45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71DCF89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0FBAC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35DAD21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6AF56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58FE9D2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6686F0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C3E72EF">
            <w:pPr>
              <w:rPr>
                <w:rFonts w:hint="eastAsia" w:ascii="仿宋_GB2312" w:hAnsi="仿宋_GB2312" w:eastAsia="仿宋_GB2312" w:cs="仿宋_GB2312"/>
                <w:sz w:val="24"/>
                <w:szCs w:val="24"/>
              </w:rPr>
            </w:pPr>
          </w:p>
        </w:tc>
        <w:tc>
          <w:tcPr>
            <w:tcW w:w="16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0629E3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（四）无法提供</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F874B3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1.本机关不掌握相关政府信息</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3AC66B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F9AB2B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7B31A66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0DF814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270852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2CFDBB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390ADEB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r>
      <w:tr w14:paraId="473C0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2DBBFD4">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6E09540">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098A619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2.没有现成信息需要另行制作</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16B3CA4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EFCE6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22BE390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88DF26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6D0E02B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0DC729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4D619EA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1C639D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76ABF9E">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14272D0">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02360A6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3.补正后申请内容仍不明确</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2BD25D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30A86C9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5CA6CD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20EA56B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502476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90459B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169D35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487E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28BE087">
            <w:pPr>
              <w:rPr>
                <w:rFonts w:hint="eastAsia" w:ascii="仿宋_GB2312" w:hAnsi="仿宋_GB2312" w:eastAsia="仿宋_GB2312" w:cs="仿宋_GB2312"/>
                <w:sz w:val="24"/>
                <w:szCs w:val="24"/>
              </w:rPr>
            </w:pPr>
          </w:p>
        </w:tc>
        <w:tc>
          <w:tcPr>
            <w:tcW w:w="16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6A6607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（五）不予处理</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2085F5E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1.信访举报投诉类申请</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5AF8E87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12CF80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2FA51F5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DC75D0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7C66B07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5D7AF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413AC4D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3E63AD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3154432">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E25504F">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72D9AC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2.重复申请</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76826D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43C9624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5E0490F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3E41AD4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421E608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770C9CB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67D50C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1316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C8DB4F6">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D6492B4">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5FE2106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3.要求提供公开出版物</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3ABBF50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32F26F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4ADF8BC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4518AA3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71495F8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58F784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36271C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40944B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AD47E9A">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5462B1C">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1578E83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4.无正当理由大量反复申请</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742BB19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3953AA8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666997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75BE744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652DA95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CB432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187FC5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AEA9F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2" w:hRule="atLeast"/>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2DB7D33">
            <w:pPr>
              <w:rPr>
                <w:rFonts w:hint="eastAsia" w:ascii="仿宋_GB2312" w:hAnsi="仿宋_GB2312" w:eastAsia="仿宋_GB2312" w:cs="仿宋_GB2312"/>
                <w:sz w:val="24"/>
                <w:szCs w:val="24"/>
              </w:rPr>
            </w:pPr>
          </w:p>
        </w:tc>
        <w:tc>
          <w:tcPr>
            <w:tcW w:w="16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BD2FB1A">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4B6F01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5.要求行政机关确认或重新出具已获取信息</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3918E29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25299F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5ADD6CB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033D56B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3B2ADB3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1753C52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0AD4C8F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5A8B2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 w:hRule="atLeast"/>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3B8AD3A">
            <w:pPr>
              <w:rPr>
                <w:rFonts w:hint="eastAsia" w:ascii="仿宋_GB2312" w:hAnsi="仿宋_GB2312" w:eastAsia="仿宋_GB2312" w:cs="仿宋_GB2312"/>
                <w:sz w:val="24"/>
                <w:szCs w:val="24"/>
              </w:rPr>
            </w:pPr>
          </w:p>
        </w:tc>
        <w:tc>
          <w:tcPr>
            <w:tcW w:w="1650" w:type="dxa"/>
            <w:vMerge w:val="restart"/>
            <w:tcBorders>
              <w:top w:val="single" w:color="auto" w:sz="8" w:space="0"/>
              <w:left w:val="single" w:color="auto" w:sz="8" w:space="0"/>
              <w:right w:val="single" w:color="auto" w:sz="8" w:space="0"/>
            </w:tcBorders>
            <w:shd w:val="clear" w:color="auto" w:fill="auto"/>
            <w:vAlign w:val="center"/>
          </w:tcPr>
          <w:p w14:paraId="3A1C13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（六）其他处理</w:t>
            </w: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7EBA18F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1.申请人无正当理由逾期不补正、行政机关不再处理其政府信息公开申请</w:t>
            </w:r>
          </w:p>
        </w:tc>
        <w:tc>
          <w:tcPr>
            <w:tcW w:w="735" w:type="dxa"/>
            <w:vMerge w:val="restart"/>
            <w:tcBorders>
              <w:top w:val="single" w:color="auto" w:sz="8" w:space="0"/>
              <w:left w:val="single" w:color="auto" w:sz="8" w:space="0"/>
              <w:right w:val="single" w:color="auto" w:sz="8" w:space="0"/>
            </w:tcBorders>
            <w:shd w:val="clear" w:color="auto" w:fill="auto"/>
            <w:vAlign w:val="center"/>
          </w:tcPr>
          <w:p w14:paraId="3818E4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vMerge w:val="restart"/>
            <w:tcBorders>
              <w:top w:val="single" w:color="auto" w:sz="8" w:space="0"/>
              <w:left w:val="single" w:color="auto" w:sz="8" w:space="0"/>
              <w:right w:val="single" w:color="auto" w:sz="8" w:space="0"/>
            </w:tcBorders>
            <w:shd w:val="clear" w:color="auto" w:fill="auto"/>
            <w:vAlign w:val="center"/>
          </w:tcPr>
          <w:p w14:paraId="316BAC4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vMerge w:val="restart"/>
            <w:tcBorders>
              <w:top w:val="single" w:color="auto" w:sz="8" w:space="0"/>
              <w:left w:val="single" w:color="auto" w:sz="8" w:space="0"/>
              <w:right w:val="single" w:color="auto" w:sz="8" w:space="0"/>
            </w:tcBorders>
            <w:shd w:val="clear" w:color="auto" w:fill="auto"/>
            <w:vAlign w:val="center"/>
          </w:tcPr>
          <w:p w14:paraId="53E5A3F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vMerge w:val="restart"/>
            <w:tcBorders>
              <w:top w:val="single" w:color="auto" w:sz="8" w:space="0"/>
              <w:left w:val="single" w:color="auto" w:sz="8" w:space="0"/>
              <w:right w:val="single" w:color="auto" w:sz="8" w:space="0"/>
            </w:tcBorders>
            <w:shd w:val="clear" w:color="auto" w:fill="auto"/>
            <w:vAlign w:val="center"/>
          </w:tcPr>
          <w:p w14:paraId="68401FE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vMerge w:val="restart"/>
            <w:tcBorders>
              <w:top w:val="single" w:color="auto" w:sz="8" w:space="0"/>
              <w:left w:val="single" w:color="auto" w:sz="8" w:space="0"/>
              <w:right w:val="single" w:color="auto" w:sz="8" w:space="0"/>
            </w:tcBorders>
            <w:shd w:val="clear" w:color="auto" w:fill="auto"/>
            <w:vAlign w:val="center"/>
          </w:tcPr>
          <w:p w14:paraId="1D8FCE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vMerge w:val="restart"/>
            <w:tcBorders>
              <w:top w:val="single" w:color="auto" w:sz="8" w:space="0"/>
              <w:left w:val="single" w:color="auto" w:sz="8" w:space="0"/>
              <w:right w:val="single" w:color="auto" w:sz="8" w:space="0"/>
            </w:tcBorders>
            <w:shd w:val="clear" w:color="auto" w:fill="auto"/>
            <w:vAlign w:val="center"/>
          </w:tcPr>
          <w:p w14:paraId="31687F5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vMerge w:val="restart"/>
            <w:tcBorders>
              <w:top w:val="single" w:color="auto" w:sz="8" w:space="0"/>
              <w:left w:val="single" w:color="auto" w:sz="8" w:space="0"/>
              <w:right w:val="single" w:color="auto" w:sz="8" w:space="0"/>
            </w:tcBorders>
            <w:shd w:val="clear" w:color="auto" w:fill="auto"/>
            <w:vAlign w:val="center"/>
          </w:tcPr>
          <w:p w14:paraId="4424A9A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0E01B3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 w:hRule="atLeast"/>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B367B95">
            <w:pPr>
              <w:rPr>
                <w:rFonts w:hint="eastAsia" w:ascii="仿宋_GB2312" w:hAnsi="仿宋_GB2312" w:eastAsia="仿宋_GB2312" w:cs="仿宋_GB2312"/>
                <w:sz w:val="24"/>
                <w:szCs w:val="24"/>
              </w:rPr>
            </w:pPr>
          </w:p>
        </w:tc>
        <w:tc>
          <w:tcPr>
            <w:tcW w:w="1650" w:type="dxa"/>
            <w:vMerge w:val="continue"/>
            <w:tcBorders>
              <w:left w:val="single" w:color="auto" w:sz="8" w:space="0"/>
              <w:right w:val="single" w:color="auto" w:sz="8" w:space="0"/>
            </w:tcBorders>
            <w:shd w:val="clear" w:color="auto" w:fill="auto"/>
            <w:vAlign w:val="center"/>
          </w:tcPr>
          <w:p w14:paraId="74903E45">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6E67089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2.申请人逾期未按收费通知要求缴纳费用、行政机关不再处理其政府信息公开申请</w:t>
            </w:r>
          </w:p>
        </w:tc>
        <w:tc>
          <w:tcPr>
            <w:tcW w:w="735" w:type="dxa"/>
            <w:vMerge w:val="continue"/>
            <w:tcBorders>
              <w:left w:val="single" w:color="auto" w:sz="8" w:space="0"/>
              <w:right w:val="single" w:color="auto" w:sz="8" w:space="0"/>
            </w:tcBorders>
            <w:shd w:val="clear" w:color="auto" w:fill="auto"/>
            <w:vAlign w:val="center"/>
          </w:tcPr>
          <w:p w14:paraId="70861990">
            <w:pPr>
              <w:jc w:val="center"/>
              <w:rPr>
                <w:rFonts w:hint="eastAsia" w:ascii="仿宋_GB2312" w:hAnsi="仿宋_GB2312" w:eastAsia="仿宋_GB2312" w:cs="仿宋_GB2312"/>
                <w:sz w:val="24"/>
                <w:szCs w:val="24"/>
              </w:rPr>
            </w:pPr>
          </w:p>
        </w:tc>
        <w:tc>
          <w:tcPr>
            <w:tcW w:w="660" w:type="dxa"/>
            <w:vMerge w:val="continue"/>
            <w:tcBorders>
              <w:left w:val="single" w:color="auto" w:sz="8" w:space="0"/>
              <w:right w:val="single" w:color="auto" w:sz="8" w:space="0"/>
            </w:tcBorders>
            <w:shd w:val="clear" w:color="auto" w:fill="auto"/>
            <w:vAlign w:val="center"/>
          </w:tcPr>
          <w:p w14:paraId="0DB31102">
            <w:pPr>
              <w:jc w:val="center"/>
              <w:rPr>
                <w:rFonts w:hint="eastAsia" w:ascii="仿宋_GB2312" w:hAnsi="仿宋_GB2312" w:eastAsia="仿宋_GB2312" w:cs="仿宋_GB2312"/>
                <w:sz w:val="24"/>
                <w:szCs w:val="24"/>
              </w:rPr>
            </w:pPr>
          </w:p>
        </w:tc>
        <w:tc>
          <w:tcPr>
            <w:tcW w:w="735" w:type="dxa"/>
            <w:vMerge w:val="continue"/>
            <w:tcBorders>
              <w:left w:val="single" w:color="auto" w:sz="8" w:space="0"/>
              <w:right w:val="single" w:color="auto" w:sz="8" w:space="0"/>
            </w:tcBorders>
            <w:shd w:val="clear" w:color="auto" w:fill="auto"/>
            <w:vAlign w:val="center"/>
          </w:tcPr>
          <w:p w14:paraId="1819A23B">
            <w:pPr>
              <w:jc w:val="center"/>
              <w:rPr>
                <w:rFonts w:hint="eastAsia" w:ascii="仿宋_GB2312" w:hAnsi="仿宋_GB2312" w:eastAsia="仿宋_GB2312" w:cs="仿宋_GB2312"/>
                <w:sz w:val="24"/>
                <w:szCs w:val="24"/>
              </w:rPr>
            </w:pPr>
          </w:p>
        </w:tc>
        <w:tc>
          <w:tcPr>
            <w:tcW w:w="810" w:type="dxa"/>
            <w:vMerge w:val="continue"/>
            <w:tcBorders>
              <w:left w:val="single" w:color="auto" w:sz="8" w:space="0"/>
              <w:right w:val="single" w:color="auto" w:sz="8" w:space="0"/>
            </w:tcBorders>
            <w:shd w:val="clear" w:color="auto" w:fill="auto"/>
            <w:vAlign w:val="center"/>
          </w:tcPr>
          <w:p w14:paraId="5465D02C">
            <w:pPr>
              <w:jc w:val="center"/>
              <w:rPr>
                <w:rFonts w:hint="eastAsia" w:ascii="仿宋_GB2312" w:hAnsi="仿宋_GB2312" w:eastAsia="仿宋_GB2312" w:cs="仿宋_GB2312"/>
                <w:sz w:val="24"/>
                <w:szCs w:val="24"/>
              </w:rPr>
            </w:pPr>
          </w:p>
        </w:tc>
        <w:tc>
          <w:tcPr>
            <w:tcW w:w="750" w:type="dxa"/>
            <w:vMerge w:val="continue"/>
            <w:tcBorders>
              <w:left w:val="single" w:color="auto" w:sz="8" w:space="0"/>
              <w:right w:val="single" w:color="auto" w:sz="8" w:space="0"/>
            </w:tcBorders>
            <w:shd w:val="clear" w:color="auto" w:fill="auto"/>
            <w:vAlign w:val="center"/>
          </w:tcPr>
          <w:p w14:paraId="6A453722">
            <w:pPr>
              <w:jc w:val="center"/>
              <w:rPr>
                <w:rFonts w:hint="eastAsia" w:ascii="仿宋_GB2312" w:hAnsi="仿宋_GB2312" w:eastAsia="仿宋_GB2312" w:cs="仿宋_GB2312"/>
                <w:sz w:val="24"/>
                <w:szCs w:val="24"/>
              </w:rPr>
            </w:pPr>
          </w:p>
        </w:tc>
        <w:tc>
          <w:tcPr>
            <w:tcW w:w="660" w:type="dxa"/>
            <w:vMerge w:val="continue"/>
            <w:tcBorders>
              <w:left w:val="single" w:color="auto" w:sz="8" w:space="0"/>
              <w:right w:val="single" w:color="auto" w:sz="8" w:space="0"/>
            </w:tcBorders>
            <w:shd w:val="clear" w:color="auto" w:fill="auto"/>
            <w:vAlign w:val="center"/>
          </w:tcPr>
          <w:p w14:paraId="59D8C5BF">
            <w:pPr>
              <w:jc w:val="center"/>
              <w:rPr>
                <w:rFonts w:hint="eastAsia" w:ascii="仿宋_GB2312" w:hAnsi="仿宋_GB2312" w:eastAsia="仿宋_GB2312" w:cs="仿宋_GB2312"/>
                <w:sz w:val="24"/>
                <w:szCs w:val="24"/>
              </w:rPr>
            </w:pPr>
          </w:p>
        </w:tc>
        <w:tc>
          <w:tcPr>
            <w:tcW w:w="575" w:type="dxa"/>
            <w:vMerge w:val="continue"/>
            <w:tcBorders>
              <w:left w:val="single" w:color="auto" w:sz="8" w:space="0"/>
              <w:right w:val="single" w:color="auto" w:sz="8" w:space="0"/>
            </w:tcBorders>
            <w:shd w:val="clear" w:color="auto" w:fill="auto"/>
            <w:vAlign w:val="center"/>
          </w:tcPr>
          <w:p w14:paraId="1A9CF5F9">
            <w:pPr>
              <w:jc w:val="center"/>
              <w:rPr>
                <w:rFonts w:hint="eastAsia" w:ascii="仿宋_GB2312" w:hAnsi="仿宋_GB2312" w:eastAsia="仿宋_GB2312" w:cs="仿宋_GB2312"/>
                <w:sz w:val="24"/>
                <w:szCs w:val="24"/>
              </w:rPr>
            </w:pPr>
          </w:p>
        </w:tc>
      </w:tr>
      <w:tr w14:paraId="1D2655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2" w:hRule="atLeast"/>
          <w:jc w:val="center"/>
        </w:trPr>
        <w:tc>
          <w:tcPr>
            <w:tcW w:w="1017" w:type="dxa"/>
            <w:vMerge w:val="continue"/>
            <w:tcBorders>
              <w:left w:val="single" w:color="auto" w:sz="8" w:space="0"/>
              <w:bottom w:val="single" w:color="auto" w:sz="8" w:space="0"/>
              <w:right w:val="single" w:color="auto" w:sz="8" w:space="0"/>
            </w:tcBorders>
            <w:shd w:val="clear" w:color="auto" w:fill="auto"/>
            <w:vAlign w:val="center"/>
          </w:tcPr>
          <w:p w14:paraId="254E941C">
            <w:pPr>
              <w:rPr>
                <w:rFonts w:hint="eastAsia" w:ascii="仿宋_GB2312" w:hAnsi="仿宋_GB2312" w:eastAsia="仿宋_GB2312" w:cs="仿宋_GB2312"/>
                <w:sz w:val="24"/>
                <w:szCs w:val="24"/>
              </w:rPr>
            </w:pPr>
          </w:p>
        </w:tc>
        <w:tc>
          <w:tcPr>
            <w:tcW w:w="1650" w:type="dxa"/>
            <w:vMerge w:val="continue"/>
            <w:tcBorders>
              <w:left w:val="single" w:color="auto" w:sz="8" w:space="0"/>
              <w:bottom w:val="single" w:color="auto" w:sz="8" w:space="0"/>
              <w:right w:val="single" w:color="auto" w:sz="8" w:space="0"/>
            </w:tcBorders>
            <w:shd w:val="clear" w:color="auto" w:fill="auto"/>
            <w:vAlign w:val="center"/>
          </w:tcPr>
          <w:p w14:paraId="523F017A">
            <w:pPr>
              <w:rPr>
                <w:rFonts w:hint="eastAsia" w:ascii="仿宋_GB2312" w:hAnsi="仿宋_GB2312" w:eastAsia="仿宋_GB2312" w:cs="仿宋_GB2312"/>
                <w:sz w:val="24"/>
                <w:szCs w:val="24"/>
              </w:rPr>
            </w:pPr>
          </w:p>
        </w:tc>
        <w:tc>
          <w:tcPr>
            <w:tcW w:w="3030" w:type="dxa"/>
            <w:tcBorders>
              <w:top w:val="single" w:color="auto" w:sz="8" w:space="0"/>
              <w:left w:val="single" w:color="auto" w:sz="8" w:space="0"/>
              <w:bottom w:val="single" w:color="auto" w:sz="8" w:space="0"/>
              <w:right w:val="single" w:color="auto" w:sz="8" w:space="0"/>
            </w:tcBorders>
            <w:shd w:val="clear" w:color="auto" w:fill="auto"/>
            <w:vAlign w:val="center"/>
          </w:tcPr>
          <w:p w14:paraId="333CB93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3.其他</w:t>
            </w:r>
          </w:p>
        </w:tc>
        <w:tc>
          <w:tcPr>
            <w:tcW w:w="735" w:type="dxa"/>
            <w:vMerge w:val="continue"/>
            <w:tcBorders>
              <w:left w:val="single" w:color="auto" w:sz="8" w:space="0"/>
              <w:bottom w:val="single" w:color="auto" w:sz="8" w:space="0"/>
              <w:right w:val="single" w:color="auto" w:sz="8" w:space="0"/>
            </w:tcBorders>
            <w:shd w:val="clear" w:color="auto" w:fill="auto"/>
            <w:vAlign w:val="center"/>
          </w:tcPr>
          <w:p w14:paraId="3E7870C8">
            <w:pPr>
              <w:jc w:val="center"/>
              <w:rPr>
                <w:rFonts w:hint="eastAsia" w:ascii="仿宋_GB2312" w:hAnsi="仿宋_GB2312" w:eastAsia="仿宋_GB2312" w:cs="仿宋_GB2312"/>
                <w:sz w:val="24"/>
                <w:szCs w:val="24"/>
              </w:rPr>
            </w:pPr>
          </w:p>
        </w:tc>
        <w:tc>
          <w:tcPr>
            <w:tcW w:w="660" w:type="dxa"/>
            <w:vMerge w:val="continue"/>
            <w:tcBorders>
              <w:left w:val="single" w:color="auto" w:sz="8" w:space="0"/>
              <w:bottom w:val="single" w:color="auto" w:sz="8" w:space="0"/>
              <w:right w:val="single" w:color="auto" w:sz="8" w:space="0"/>
            </w:tcBorders>
            <w:shd w:val="clear" w:color="auto" w:fill="auto"/>
            <w:vAlign w:val="center"/>
          </w:tcPr>
          <w:p w14:paraId="6B05FF64">
            <w:pPr>
              <w:jc w:val="center"/>
              <w:rPr>
                <w:rFonts w:hint="eastAsia" w:ascii="仿宋_GB2312" w:hAnsi="仿宋_GB2312" w:eastAsia="仿宋_GB2312" w:cs="仿宋_GB2312"/>
                <w:sz w:val="24"/>
                <w:szCs w:val="24"/>
              </w:rPr>
            </w:pPr>
          </w:p>
        </w:tc>
        <w:tc>
          <w:tcPr>
            <w:tcW w:w="735" w:type="dxa"/>
            <w:vMerge w:val="continue"/>
            <w:tcBorders>
              <w:left w:val="single" w:color="auto" w:sz="8" w:space="0"/>
              <w:bottom w:val="single" w:color="auto" w:sz="8" w:space="0"/>
              <w:right w:val="single" w:color="auto" w:sz="8" w:space="0"/>
            </w:tcBorders>
            <w:shd w:val="clear" w:color="auto" w:fill="auto"/>
            <w:vAlign w:val="center"/>
          </w:tcPr>
          <w:p w14:paraId="5D84E644">
            <w:pPr>
              <w:jc w:val="center"/>
              <w:rPr>
                <w:rFonts w:hint="eastAsia" w:ascii="仿宋_GB2312" w:hAnsi="仿宋_GB2312" w:eastAsia="仿宋_GB2312" w:cs="仿宋_GB2312"/>
                <w:sz w:val="24"/>
                <w:szCs w:val="24"/>
              </w:rPr>
            </w:pPr>
          </w:p>
        </w:tc>
        <w:tc>
          <w:tcPr>
            <w:tcW w:w="810" w:type="dxa"/>
            <w:vMerge w:val="continue"/>
            <w:tcBorders>
              <w:left w:val="single" w:color="auto" w:sz="8" w:space="0"/>
              <w:bottom w:val="single" w:color="auto" w:sz="8" w:space="0"/>
              <w:right w:val="single" w:color="auto" w:sz="8" w:space="0"/>
            </w:tcBorders>
            <w:shd w:val="clear" w:color="auto" w:fill="auto"/>
            <w:vAlign w:val="center"/>
          </w:tcPr>
          <w:p w14:paraId="33B5E25F">
            <w:pPr>
              <w:jc w:val="center"/>
              <w:rPr>
                <w:rFonts w:hint="eastAsia" w:ascii="仿宋_GB2312" w:hAnsi="仿宋_GB2312" w:eastAsia="仿宋_GB2312" w:cs="仿宋_GB2312"/>
                <w:sz w:val="24"/>
                <w:szCs w:val="24"/>
              </w:rPr>
            </w:pPr>
          </w:p>
        </w:tc>
        <w:tc>
          <w:tcPr>
            <w:tcW w:w="750" w:type="dxa"/>
            <w:vMerge w:val="continue"/>
            <w:tcBorders>
              <w:left w:val="single" w:color="auto" w:sz="8" w:space="0"/>
              <w:bottom w:val="single" w:color="auto" w:sz="8" w:space="0"/>
              <w:right w:val="single" w:color="auto" w:sz="8" w:space="0"/>
            </w:tcBorders>
            <w:shd w:val="clear" w:color="auto" w:fill="auto"/>
            <w:vAlign w:val="center"/>
          </w:tcPr>
          <w:p w14:paraId="778ED2F0">
            <w:pPr>
              <w:jc w:val="center"/>
              <w:rPr>
                <w:rFonts w:hint="eastAsia" w:ascii="仿宋_GB2312" w:hAnsi="仿宋_GB2312" w:eastAsia="仿宋_GB2312" w:cs="仿宋_GB2312"/>
                <w:sz w:val="24"/>
                <w:szCs w:val="24"/>
              </w:rPr>
            </w:pPr>
          </w:p>
        </w:tc>
        <w:tc>
          <w:tcPr>
            <w:tcW w:w="660" w:type="dxa"/>
            <w:vMerge w:val="continue"/>
            <w:tcBorders>
              <w:left w:val="single" w:color="auto" w:sz="8" w:space="0"/>
              <w:bottom w:val="single" w:color="auto" w:sz="8" w:space="0"/>
              <w:right w:val="single" w:color="auto" w:sz="8" w:space="0"/>
            </w:tcBorders>
            <w:shd w:val="clear" w:color="auto" w:fill="auto"/>
            <w:vAlign w:val="center"/>
          </w:tcPr>
          <w:p w14:paraId="0D8332B9">
            <w:pPr>
              <w:jc w:val="center"/>
              <w:rPr>
                <w:rFonts w:hint="eastAsia" w:ascii="仿宋_GB2312" w:hAnsi="仿宋_GB2312" w:eastAsia="仿宋_GB2312" w:cs="仿宋_GB2312"/>
                <w:sz w:val="24"/>
                <w:szCs w:val="24"/>
              </w:rPr>
            </w:pPr>
          </w:p>
        </w:tc>
        <w:tc>
          <w:tcPr>
            <w:tcW w:w="575" w:type="dxa"/>
            <w:vMerge w:val="continue"/>
            <w:tcBorders>
              <w:left w:val="single" w:color="auto" w:sz="8" w:space="0"/>
              <w:bottom w:val="single" w:color="auto" w:sz="8" w:space="0"/>
              <w:right w:val="single" w:color="auto" w:sz="8" w:space="0"/>
            </w:tcBorders>
            <w:shd w:val="clear" w:color="auto" w:fill="auto"/>
            <w:vAlign w:val="center"/>
          </w:tcPr>
          <w:p w14:paraId="7482237E">
            <w:pPr>
              <w:jc w:val="center"/>
              <w:rPr>
                <w:rFonts w:hint="eastAsia" w:ascii="仿宋_GB2312" w:hAnsi="仿宋_GB2312" w:eastAsia="仿宋_GB2312" w:cs="仿宋_GB2312"/>
                <w:sz w:val="24"/>
                <w:szCs w:val="24"/>
              </w:rPr>
            </w:pPr>
          </w:p>
        </w:tc>
      </w:tr>
      <w:tr w14:paraId="7D499E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17"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F6B1B0B">
            <w:pPr>
              <w:rPr>
                <w:rFonts w:hint="eastAsia" w:ascii="仿宋_GB2312" w:hAnsi="仿宋_GB2312" w:eastAsia="仿宋_GB2312" w:cs="仿宋_GB2312"/>
                <w:sz w:val="24"/>
                <w:szCs w:val="24"/>
              </w:rPr>
            </w:pPr>
          </w:p>
        </w:tc>
        <w:tc>
          <w:tcPr>
            <w:tcW w:w="468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3AC5DF4">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（七）总计</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49124822">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0C040DD">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03D4C801">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9FFE3F2">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655CA23C">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63B58474">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4AFF059F">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r>
      <w:tr w14:paraId="4C6587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69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311F77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四、结转下年度继续办理</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6DD1902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2A980DA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14:paraId="590C754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810" w:type="dxa"/>
            <w:tcBorders>
              <w:top w:val="single" w:color="auto" w:sz="8" w:space="0"/>
              <w:left w:val="single" w:color="auto" w:sz="8" w:space="0"/>
              <w:bottom w:val="single" w:color="auto" w:sz="8" w:space="0"/>
              <w:right w:val="single" w:color="auto" w:sz="8" w:space="0"/>
            </w:tcBorders>
            <w:shd w:val="clear" w:color="auto" w:fill="auto"/>
            <w:vAlign w:val="center"/>
          </w:tcPr>
          <w:p w14:paraId="11C9E9F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3758AD0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60" w:type="dxa"/>
            <w:tcBorders>
              <w:top w:val="single" w:color="auto" w:sz="8" w:space="0"/>
              <w:left w:val="single" w:color="auto" w:sz="8" w:space="0"/>
              <w:bottom w:val="single" w:color="auto" w:sz="8" w:space="0"/>
              <w:right w:val="single" w:color="auto" w:sz="8" w:space="0"/>
            </w:tcBorders>
            <w:shd w:val="clear" w:color="auto" w:fill="auto"/>
            <w:vAlign w:val="center"/>
          </w:tcPr>
          <w:p w14:paraId="38EF462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5" w:type="dxa"/>
            <w:tcBorders>
              <w:top w:val="single" w:color="auto" w:sz="8" w:space="0"/>
              <w:left w:val="single" w:color="auto" w:sz="8" w:space="0"/>
              <w:bottom w:val="single" w:color="auto" w:sz="8" w:space="0"/>
              <w:right w:val="single" w:color="auto" w:sz="8" w:space="0"/>
            </w:tcBorders>
            <w:shd w:val="clear" w:color="auto" w:fill="auto"/>
            <w:vAlign w:val="center"/>
          </w:tcPr>
          <w:p w14:paraId="7BEBB59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14:paraId="646F9613">
      <w:pPr>
        <w:rPr>
          <w:rFonts w:ascii="仿宋_GB2312" w:hAnsi="仿宋_GB2312" w:eastAsia="仿宋_GB2312" w:cs="仿宋_GB2312"/>
          <w:sz w:val="32"/>
          <w:szCs w:val="32"/>
        </w:rPr>
      </w:pPr>
    </w:p>
    <w:p w14:paraId="6DE6D02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9"/>
        <w:tblW w:w="1006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8"/>
        <w:gridCol w:w="750"/>
        <w:gridCol w:w="695"/>
        <w:gridCol w:w="682"/>
        <w:gridCol w:w="423"/>
        <w:gridCol w:w="682"/>
        <w:gridCol w:w="763"/>
        <w:gridCol w:w="709"/>
        <w:gridCol w:w="682"/>
        <w:gridCol w:w="573"/>
        <w:gridCol w:w="682"/>
        <w:gridCol w:w="681"/>
        <w:gridCol w:w="696"/>
        <w:gridCol w:w="709"/>
        <w:gridCol w:w="559"/>
      </w:tblGrid>
      <w:tr w14:paraId="6C8CF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3328"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0C3243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行政复议</w:t>
            </w:r>
          </w:p>
        </w:tc>
        <w:tc>
          <w:tcPr>
            <w:tcW w:w="673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0D86351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行政诉讼</w:t>
            </w:r>
          </w:p>
        </w:tc>
      </w:tr>
      <w:tr w14:paraId="144E8F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77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CEFE6A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p w14:paraId="190736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维持</w:t>
            </w:r>
          </w:p>
        </w:tc>
        <w:tc>
          <w:tcPr>
            <w:tcW w:w="7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3E24B4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p w14:paraId="73EAC43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纠正</w:t>
            </w:r>
          </w:p>
        </w:tc>
        <w:tc>
          <w:tcPr>
            <w:tcW w:w="69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42FE2C3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p w14:paraId="4551DD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tc>
        <w:tc>
          <w:tcPr>
            <w:tcW w:w="68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6F50E8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尚未</w:t>
            </w:r>
          </w:p>
          <w:p w14:paraId="4F4A8A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审结</w:t>
            </w:r>
          </w:p>
        </w:tc>
        <w:tc>
          <w:tcPr>
            <w:tcW w:w="423"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7F3462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w:t>
            </w:r>
          </w:p>
          <w:p w14:paraId="2E914FE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w:t>
            </w:r>
          </w:p>
        </w:tc>
        <w:tc>
          <w:tcPr>
            <w:tcW w:w="340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3A9AC0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未经复议直接起诉</w:t>
            </w:r>
          </w:p>
        </w:tc>
        <w:tc>
          <w:tcPr>
            <w:tcW w:w="3327"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631D47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复议后起诉</w:t>
            </w:r>
          </w:p>
        </w:tc>
      </w:tr>
      <w:tr w14:paraId="564F7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778"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5D24971">
            <w:pPr>
              <w:jc w:val="center"/>
              <w:rPr>
                <w:rFonts w:ascii="仿宋_GB2312" w:hAnsi="仿宋_GB2312" w:eastAsia="仿宋_GB2312" w:cs="仿宋_GB2312"/>
                <w:sz w:val="24"/>
                <w:szCs w:val="24"/>
              </w:rPr>
            </w:pPr>
          </w:p>
        </w:tc>
        <w:tc>
          <w:tcPr>
            <w:tcW w:w="75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38A274F">
            <w:pPr>
              <w:jc w:val="center"/>
              <w:rPr>
                <w:rFonts w:ascii="仿宋_GB2312" w:hAnsi="仿宋_GB2312" w:eastAsia="仿宋_GB2312" w:cs="仿宋_GB2312"/>
                <w:sz w:val="24"/>
                <w:szCs w:val="24"/>
              </w:rPr>
            </w:pPr>
          </w:p>
        </w:tc>
        <w:tc>
          <w:tcPr>
            <w:tcW w:w="69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BB1E48D">
            <w:pPr>
              <w:jc w:val="center"/>
              <w:rPr>
                <w:rFonts w:ascii="仿宋_GB2312" w:hAnsi="仿宋_GB2312" w:eastAsia="仿宋_GB2312" w:cs="仿宋_GB2312"/>
                <w:sz w:val="24"/>
                <w:szCs w:val="24"/>
              </w:rPr>
            </w:pPr>
          </w:p>
        </w:tc>
        <w:tc>
          <w:tcPr>
            <w:tcW w:w="682"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DCF7F2B">
            <w:pPr>
              <w:jc w:val="center"/>
              <w:rPr>
                <w:rFonts w:ascii="仿宋_GB2312" w:hAnsi="仿宋_GB2312" w:eastAsia="仿宋_GB2312" w:cs="仿宋_GB2312"/>
                <w:sz w:val="24"/>
                <w:szCs w:val="24"/>
              </w:rPr>
            </w:pPr>
          </w:p>
        </w:tc>
        <w:tc>
          <w:tcPr>
            <w:tcW w:w="423"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BFB013A">
            <w:pPr>
              <w:jc w:val="center"/>
              <w:rPr>
                <w:rFonts w:ascii="仿宋_GB2312" w:hAnsi="仿宋_GB2312" w:eastAsia="仿宋_GB2312" w:cs="仿宋_GB2312"/>
                <w:sz w:val="24"/>
                <w:szCs w:val="24"/>
              </w:rPr>
            </w:pP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1DF95E1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p w14:paraId="38F79D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维持</w:t>
            </w:r>
          </w:p>
        </w:tc>
        <w:tc>
          <w:tcPr>
            <w:tcW w:w="763" w:type="dxa"/>
            <w:tcBorders>
              <w:top w:val="single" w:color="auto" w:sz="8" w:space="0"/>
              <w:left w:val="single" w:color="auto" w:sz="8" w:space="0"/>
              <w:bottom w:val="single" w:color="auto" w:sz="8" w:space="0"/>
              <w:right w:val="single" w:color="auto" w:sz="8" w:space="0"/>
            </w:tcBorders>
            <w:shd w:val="clear" w:color="auto" w:fill="auto"/>
            <w:vAlign w:val="center"/>
          </w:tcPr>
          <w:p w14:paraId="3020421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p w14:paraId="359D29A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纠正</w:t>
            </w: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62CF01B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p w14:paraId="2A83D2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6FA16C6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尚未</w:t>
            </w:r>
          </w:p>
          <w:p w14:paraId="4913F7A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审结</w:t>
            </w:r>
          </w:p>
        </w:tc>
        <w:tc>
          <w:tcPr>
            <w:tcW w:w="573" w:type="dxa"/>
            <w:tcBorders>
              <w:top w:val="single" w:color="auto" w:sz="8" w:space="0"/>
              <w:left w:val="single" w:color="auto" w:sz="8" w:space="0"/>
              <w:bottom w:val="single" w:color="auto" w:sz="8" w:space="0"/>
              <w:right w:val="single" w:color="auto" w:sz="8" w:space="0"/>
            </w:tcBorders>
            <w:shd w:val="clear" w:color="auto" w:fill="auto"/>
            <w:vAlign w:val="center"/>
          </w:tcPr>
          <w:p w14:paraId="7D5D3E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总计</w:t>
            </w: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0793CAF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p w14:paraId="789A69F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维持</w:t>
            </w:r>
          </w:p>
        </w:tc>
        <w:tc>
          <w:tcPr>
            <w:tcW w:w="681" w:type="dxa"/>
            <w:tcBorders>
              <w:top w:val="single" w:color="auto" w:sz="8" w:space="0"/>
              <w:left w:val="single" w:color="auto" w:sz="8" w:space="0"/>
              <w:bottom w:val="single" w:color="auto" w:sz="8" w:space="0"/>
              <w:right w:val="single" w:color="auto" w:sz="8" w:space="0"/>
            </w:tcBorders>
            <w:shd w:val="clear" w:color="auto" w:fill="auto"/>
            <w:vAlign w:val="center"/>
          </w:tcPr>
          <w:p w14:paraId="64F5A19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p w14:paraId="37D8872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纠正</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14:paraId="33797B5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p w14:paraId="68CCB4A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结果</w:t>
            </w: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6530C0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尚未</w:t>
            </w:r>
          </w:p>
          <w:p w14:paraId="725565F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审结</w:t>
            </w:r>
          </w:p>
        </w:tc>
        <w:tc>
          <w:tcPr>
            <w:tcW w:w="559" w:type="dxa"/>
            <w:tcBorders>
              <w:top w:val="single" w:color="auto" w:sz="8" w:space="0"/>
              <w:left w:val="single" w:color="auto" w:sz="8" w:space="0"/>
              <w:bottom w:val="single" w:color="auto" w:sz="8" w:space="0"/>
              <w:right w:val="single" w:color="auto" w:sz="8" w:space="0"/>
            </w:tcBorders>
            <w:shd w:val="clear" w:color="auto" w:fill="auto"/>
            <w:vAlign w:val="center"/>
          </w:tcPr>
          <w:p w14:paraId="360027E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14:paraId="12F32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jc w:val="center"/>
        </w:trPr>
        <w:tc>
          <w:tcPr>
            <w:tcW w:w="778" w:type="dxa"/>
            <w:tcBorders>
              <w:top w:val="single" w:color="auto" w:sz="8" w:space="0"/>
              <w:left w:val="single" w:color="auto" w:sz="8" w:space="0"/>
              <w:bottom w:val="single" w:color="auto" w:sz="8" w:space="0"/>
              <w:right w:val="single" w:color="auto" w:sz="8" w:space="0"/>
            </w:tcBorders>
            <w:shd w:val="clear" w:color="auto" w:fill="auto"/>
            <w:vAlign w:val="center"/>
          </w:tcPr>
          <w:p w14:paraId="5C515491">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14:paraId="7367CE7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5" w:type="dxa"/>
            <w:tcBorders>
              <w:top w:val="single" w:color="auto" w:sz="8" w:space="0"/>
              <w:left w:val="single" w:color="auto" w:sz="8" w:space="0"/>
              <w:bottom w:val="single" w:color="auto" w:sz="8" w:space="0"/>
              <w:right w:val="single" w:color="auto" w:sz="8" w:space="0"/>
            </w:tcBorders>
            <w:shd w:val="clear" w:color="auto" w:fill="auto"/>
            <w:vAlign w:val="center"/>
          </w:tcPr>
          <w:p w14:paraId="0E0AB6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68713B3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3" w:type="dxa"/>
            <w:tcBorders>
              <w:top w:val="single" w:color="auto" w:sz="8" w:space="0"/>
              <w:left w:val="single" w:color="auto" w:sz="8" w:space="0"/>
              <w:bottom w:val="single" w:color="auto" w:sz="8" w:space="0"/>
              <w:right w:val="single" w:color="auto" w:sz="8" w:space="0"/>
            </w:tcBorders>
            <w:shd w:val="clear" w:color="auto" w:fill="auto"/>
            <w:vAlign w:val="center"/>
          </w:tcPr>
          <w:p w14:paraId="4E15B1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5FA0A95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63" w:type="dxa"/>
            <w:tcBorders>
              <w:top w:val="single" w:color="auto" w:sz="8" w:space="0"/>
              <w:left w:val="single" w:color="auto" w:sz="8" w:space="0"/>
              <w:bottom w:val="single" w:color="auto" w:sz="8" w:space="0"/>
              <w:right w:val="single" w:color="auto" w:sz="8" w:space="0"/>
            </w:tcBorders>
            <w:shd w:val="clear" w:color="auto" w:fill="auto"/>
            <w:vAlign w:val="center"/>
          </w:tcPr>
          <w:p w14:paraId="1BBB47E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01DBE3A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79D31D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73" w:type="dxa"/>
            <w:tcBorders>
              <w:top w:val="single" w:color="auto" w:sz="8" w:space="0"/>
              <w:left w:val="single" w:color="auto" w:sz="8" w:space="0"/>
              <w:bottom w:val="single" w:color="auto" w:sz="8" w:space="0"/>
              <w:right w:val="single" w:color="auto" w:sz="8" w:space="0"/>
            </w:tcBorders>
            <w:shd w:val="clear" w:color="auto" w:fill="auto"/>
            <w:vAlign w:val="center"/>
          </w:tcPr>
          <w:p w14:paraId="6033A43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82" w:type="dxa"/>
            <w:tcBorders>
              <w:top w:val="single" w:color="auto" w:sz="8" w:space="0"/>
              <w:left w:val="single" w:color="auto" w:sz="8" w:space="0"/>
              <w:bottom w:val="single" w:color="auto" w:sz="8" w:space="0"/>
              <w:right w:val="single" w:color="auto" w:sz="8" w:space="0"/>
            </w:tcBorders>
            <w:shd w:val="clear" w:color="auto" w:fill="auto"/>
            <w:vAlign w:val="center"/>
          </w:tcPr>
          <w:p w14:paraId="3CC3456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81" w:type="dxa"/>
            <w:tcBorders>
              <w:top w:val="single" w:color="auto" w:sz="8" w:space="0"/>
              <w:left w:val="single" w:color="auto" w:sz="8" w:space="0"/>
              <w:bottom w:val="single" w:color="auto" w:sz="8" w:space="0"/>
              <w:right w:val="single" w:color="auto" w:sz="8" w:space="0"/>
            </w:tcBorders>
            <w:shd w:val="clear" w:color="auto" w:fill="auto"/>
            <w:vAlign w:val="center"/>
          </w:tcPr>
          <w:p w14:paraId="2313190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96" w:type="dxa"/>
            <w:tcBorders>
              <w:top w:val="single" w:color="auto" w:sz="8" w:space="0"/>
              <w:left w:val="single" w:color="auto" w:sz="8" w:space="0"/>
              <w:bottom w:val="single" w:color="auto" w:sz="8" w:space="0"/>
              <w:right w:val="single" w:color="auto" w:sz="8" w:space="0"/>
            </w:tcBorders>
            <w:shd w:val="clear" w:color="auto" w:fill="auto"/>
            <w:vAlign w:val="center"/>
          </w:tcPr>
          <w:p w14:paraId="2846874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709" w:type="dxa"/>
            <w:tcBorders>
              <w:top w:val="single" w:color="auto" w:sz="8" w:space="0"/>
              <w:left w:val="single" w:color="auto" w:sz="8" w:space="0"/>
              <w:bottom w:val="single" w:color="auto" w:sz="8" w:space="0"/>
              <w:right w:val="single" w:color="auto" w:sz="8" w:space="0"/>
            </w:tcBorders>
            <w:shd w:val="clear" w:color="auto" w:fill="auto"/>
            <w:vAlign w:val="center"/>
          </w:tcPr>
          <w:p w14:paraId="358AA2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9" w:type="dxa"/>
            <w:tcBorders>
              <w:top w:val="single" w:color="auto" w:sz="8" w:space="0"/>
              <w:left w:val="single" w:color="auto" w:sz="8" w:space="0"/>
              <w:bottom w:val="single" w:color="auto" w:sz="8" w:space="0"/>
              <w:right w:val="single" w:color="auto" w:sz="8" w:space="0"/>
            </w:tcBorders>
            <w:shd w:val="clear" w:color="auto" w:fill="auto"/>
            <w:vAlign w:val="center"/>
          </w:tcPr>
          <w:p w14:paraId="3A1BC6B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14:paraId="006ECF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431DFA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2025年，政府信息公开工作仍存在不足之处，一是对于群众关心的热点难点问题公开的不够深入，存在部分公开内容不全面的情况；二是单位内部信息发布联动机制有待加强，信息发布和更新效率有待提高。</w:t>
      </w:r>
    </w:p>
    <w:p w14:paraId="07A458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sz w:val="32"/>
          <w:szCs w:val="32"/>
          <w:lang w:val="en-US" w:eastAsia="zh-CN"/>
        </w:rPr>
        <w:t>改进情况：</w:t>
      </w:r>
      <w:r>
        <w:rPr>
          <w:rFonts w:hint="eastAsia" w:ascii="仿宋_GB2312" w:hAnsi="宋体" w:eastAsia="仿宋_GB2312" w:cs="仿宋_GB2312"/>
          <w:i w:val="0"/>
          <w:iCs w:val="0"/>
          <w:caps w:val="0"/>
          <w:color w:val="000000"/>
          <w:spacing w:val="0"/>
          <w:sz w:val="32"/>
          <w:szCs w:val="32"/>
          <w:shd w:val="clear" w:fill="FFFFFF"/>
        </w:rPr>
        <w:t>一是加大信息公开力度，加强对热点难点问题的回应；三是严格执行“三审三校”制度，确保信息的准确性和权威性，加强多科室协作，建立信息互通共享机制，推动信息公开工作规范化。</w:t>
      </w:r>
    </w:p>
    <w:p w14:paraId="1B64022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3C87F0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i w:val="0"/>
          <w:iCs w:val="0"/>
          <w:caps w:val="0"/>
          <w:color w:val="000000"/>
          <w:spacing w:val="0"/>
          <w:sz w:val="32"/>
          <w:szCs w:val="32"/>
        </w:rPr>
      </w:pPr>
      <w:r>
        <w:rPr>
          <w:rFonts w:hint="eastAsia" w:ascii="仿宋_GB2312" w:hAnsi="仿宋_GB2312" w:eastAsia="仿宋_GB2312" w:cs="仿宋_GB2312"/>
          <w:sz w:val="32"/>
          <w:szCs w:val="32"/>
        </w:rPr>
        <w:t>1.</w:t>
      </w:r>
      <w:r>
        <w:rPr>
          <w:rFonts w:ascii="仿宋_GB2312" w:hAnsi="宋体" w:eastAsia="仿宋_GB2312" w:cs="仿宋_GB2312"/>
          <w:i w:val="0"/>
          <w:iCs w:val="0"/>
          <w:caps w:val="0"/>
          <w:color w:val="000000"/>
          <w:spacing w:val="0"/>
          <w:sz w:val="32"/>
          <w:szCs w:val="32"/>
        </w:rPr>
        <w:t>收取信息处理费情况方面。</w:t>
      </w:r>
      <w:r>
        <w:rPr>
          <w:rFonts w:hint="eastAsia" w:ascii="仿宋_GB2312" w:hAnsi="宋体" w:eastAsia="仿宋_GB2312" w:cs="仿宋_GB2312"/>
          <w:i w:val="0"/>
          <w:iCs w:val="0"/>
          <w:caps w:val="0"/>
          <w:color w:val="000000"/>
          <w:spacing w:val="0"/>
          <w:sz w:val="32"/>
          <w:szCs w:val="32"/>
          <w:lang w:eastAsia="zh-CN"/>
        </w:rPr>
        <w:t>2025</w:t>
      </w:r>
      <w:r>
        <w:rPr>
          <w:rFonts w:hint="eastAsia" w:ascii="仿宋_GB2312" w:hAnsi="宋体" w:eastAsia="仿宋_GB2312" w:cs="仿宋_GB2312"/>
          <w:i w:val="0"/>
          <w:iCs w:val="0"/>
          <w:caps w:val="0"/>
          <w:color w:val="000000"/>
          <w:spacing w:val="0"/>
          <w:sz w:val="32"/>
          <w:szCs w:val="32"/>
        </w:rPr>
        <w:t>年度，本单位未收取信息处理费。</w:t>
      </w:r>
    </w:p>
    <w:p w14:paraId="6E1DE4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宋体"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sz w:val="32"/>
          <w:szCs w:val="32"/>
        </w:rPr>
        <w:t>2.</w:t>
      </w:r>
      <w:r>
        <w:rPr>
          <w:rFonts w:ascii="仿宋_GB2312" w:hAnsi="宋体" w:eastAsia="仿宋_GB2312" w:cs="仿宋_GB2312"/>
          <w:i w:val="0"/>
          <w:iCs w:val="0"/>
          <w:caps w:val="0"/>
          <w:color w:val="000000"/>
          <w:spacing w:val="0"/>
          <w:sz w:val="32"/>
          <w:szCs w:val="32"/>
        </w:rPr>
        <w:t>落实</w:t>
      </w:r>
      <w:r>
        <w:rPr>
          <w:rFonts w:hint="eastAsia" w:ascii="仿宋_GB2312" w:hAnsi="宋体" w:eastAsia="仿宋_GB2312" w:cs="仿宋_GB2312"/>
          <w:i w:val="0"/>
          <w:iCs w:val="0"/>
          <w:caps w:val="0"/>
          <w:color w:val="000000"/>
          <w:spacing w:val="0"/>
          <w:sz w:val="32"/>
          <w:szCs w:val="32"/>
          <w:lang w:val="en-US" w:eastAsia="zh-CN"/>
        </w:rPr>
        <w:t>2025</w:t>
      </w:r>
      <w:r>
        <w:rPr>
          <w:rFonts w:ascii="仿宋_GB2312" w:hAnsi="宋体" w:eastAsia="仿宋_GB2312" w:cs="仿宋_GB2312"/>
          <w:i w:val="0"/>
          <w:iCs w:val="0"/>
          <w:caps w:val="0"/>
          <w:color w:val="000000"/>
          <w:spacing w:val="0"/>
          <w:sz w:val="32"/>
          <w:szCs w:val="32"/>
        </w:rPr>
        <w:t>年度政务公开工作要点情况。</w:t>
      </w:r>
      <w:r>
        <w:rPr>
          <w:rFonts w:hint="eastAsia" w:ascii="仿宋_GB2312" w:hAnsi="宋体" w:eastAsia="仿宋_GB2312" w:cs="仿宋_GB2312"/>
          <w:i w:val="0"/>
          <w:iCs w:val="0"/>
          <w:caps w:val="0"/>
          <w:color w:val="000000"/>
          <w:spacing w:val="0"/>
          <w:sz w:val="32"/>
          <w:szCs w:val="32"/>
          <w:lang w:val="en-US" w:eastAsia="zh-CN"/>
        </w:rPr>
        <w:t>对照</w:t>
      </w:r>
      <w:r>
        <w:rPr>
          <w:rFonts w:ascii="仿宋_GB2312" w:hAnsi="宋体" w:eastAsia="仿宋_GB2312" w:cs="仿宋_GB2312"/>
          <w:i w:val="0"/>
          <w:iCs w:val="0"/>
          <w:caps w:val="0"/>
          <w:color w:val="000000"/>
          <w:spacing w:val="0"/>
          <w:sz w:val="32"/>
          <w:szCs w:val="32"/>
          <w:shd w:val="clear" w:fill="FFFFFF"/>
        </w:rPr>
        <w:t>《滕州市</w:t>
      </w:r>
      <w:r>
        <w:rPr>
          <w:rFonts w:hint="eastAsia" w:ascii="仿宋_GB2312" w:hAnsi="宋体" w:eastAsia="仿宋_GB2312" w:cs="仿宋_GB2312"/>
          <w:i w:val="0"/>
          <w:iCs w:val="0"/>
          <w:caps w:val="0"/>
          <w:color w:val="000000"/>
          <w:spacing w:val="0"/>
          <w:sz w:val="32"/>
          <w:szCs w:val="32"/>
          <w:shd w:val="clear" w:fill="FFFFFF"/>
          <w:lang w:eastAsia="zh-CN"/>
        </w:rPr>
        <w:t>2025</w:t>
      </w:r>
      <w:r>
        <w:rPr>
          <w:rFonts w:ascii="仿宋_GB2312" w:hAnsi="宋体" w:eastAsia="仿宋_GB2312" w:cs="仿宋_GB2312"/>
          <w:i w:val="0"/>
          <w:iCs w:val="0"/>
          <w:caps w:val="0"/>
          <w:color w:val="000000"/>
          <w:spacing w:val="0"/>
          <w:sz w:val="32"/>
          <w:szCs w:val="32"/>
          <w:shd w:val="clear" w:fill="FFFFFF"/>
        </w:rPr>
        <w:t>年政务公开工作要点》</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rPr>
        <w:t>围绕重点领域信息公开、政务公开标准化规范化建设明确责任主体和完成时限</w:t>
      </w:r>
      <w:r>
        <w:rPr>
          <w:rFonts w:hint="eastAsia" w:ascii="仿宋_GB2312" w:hAnsi="宋体" w:eastAsia="仿宋_GB2312" w:cs="仿宋_GB2312"/>
          <w:i w:val="0"/>
          <w:iCs w:val="0"/>
          <w:caps w:val="0"/>
          <w:color w:val="000000"/>
          <w:spacing w:val="0"/>
          <w:sz w:val="32"/>
          <w:szCs w:val="32"/>
          <w:lang w:val="en-US" w:eastAsia="zh-CN"/>
        </w:rPr>
        <w:t>开展政务公开工作。</w:t>
      </w:r>
    </w:p>
    <w:p w14:paraId="4E55CD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年共办理人大代表建议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条，办理政协提案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条，均已办理完成。</w:t>
      </w:r>
    </w:p>
    <w:p w14:paraId="0EC9A14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800" w:firstLineChars="250"/>
        <w:textAlignment w:val="auto"/>
        <w:rPr>
          <w:rFonts w:hint="eastAsia" w:ascii="仿宋_GB2312" w:hAnsi="仿宋_GB2312" w:eastAsia="仿宋_GB2312" w:cs="仿宋_GB2312"/>
          <w:sz w:val="32"/>
          <w:szCs w:val="32"/>
        </w:rPr>
      </w:pPr>
      <w:r>
        <w:rPr>
          <w:rFonts w:ascii="仿宋_GB2312" w:hAnsi="宋体" w:eastAsia="仿宋_GB2312" w:cs="仿宋_GB2312"/>
          <w:i w:val="0"/>
          <w:iCs w:val="0"/>
          <w:caps w:val="0"/>
          <w:color w:val="000000"/>
          <w:spacing w:val="0"/>
          <w:sz w:val="32"/>
          <w:szCs w:val="32"/>
        </w:rPr>
        <w:t>开展政务公开创新方面</w:t>
      </w:r>
      <w:r>
        <w:rPr>
          <w:rFonts w:hint="eastAsia" w:ascii="仿宋_GB2312" w:hAnsi="宋体" w:eastAsia="仿宋_GB2312" w:cs="仿宋_GB2312"/>
          <w:i w:val="0"/>
          <w:iCs w:val="0"/>
          <w:caps w:val="0"/>
          <w:color w:val="000000"/>
          <w:spacing w:val="0"/>
          <w:sz w:val="32"/>
          <w:szCs w:val="32"/>
        </w:rPr>
        <w:t>：无。</w:t>
      </w:r>
    </w:p>
    <w:p w14:paraId="7CAB75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没有针对政府信息公开工作年度报告数据统计需要说明的事项。</w:t>
      </w:r>
    </w:p>
    <w:p w14:paraId="634F08E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800" w:firstLineChars="250"/>
        <w:textAlignment w:val="auto"/>
        <w:rPr>
          <w:rFonts w:ascii="仿宋_GB2312" w:hAnsi="Arial" w:eastAsia="仿宋_GB2312" w:cs="Arial"/>
          <w:color w:val="000000"/>
          <w:sz w:val="32"/>
          <w:szCs w:val="32"/>
          <w:highlight w:val="none"/>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没有需要报告的其他事项</w:t>
      </w:r>
      <w:r>
        <w:rPr>
          <w:rFonts w:hint="eastAsia" w:ascii="仿宋_GB2312" w:hAnsi="仿宋_GB2312" w:eastAsia="仿宋_GB2312" w:cs="仿宋_GB2312"/>
          <w:sz w:val="32"/>
          <w:szCs w:val="32"/>
          <w:lang w:eastAsia="zh-CN"/>
        </w:rPr>
        <w:t>。</w:t>
      </w:r>
    </w:p>
    <w:p w14:paraId="0FF2B3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800" w:firstLineChars="250"/>
        <w:textAlignment w:val="auto"/>
        <w:rPr>
          <w:rFonts w:ascii="仿宋_GB2312" w:hAnsi="Arial" w:eastAsia="仿宋_GB2312" w:cs="Arial"/>
          <w:color w:val="000000"/>
          <w:sz w:val="32"/>
          <w:szCs w:val="32"/>
          <w:highlight w:val="none"/>
        </w:rPr>
      </w:pPr>
      <w:r>
        <w:rPr>
          <w:rFonts w:hint="eastAsia" w:ascii="仿宋_GB2312" w:hAnsi="Arial" w:eastAsia="仿宋_GB2312" w:cs="Arial"/>
          <w:color w:val="000000"/>
          <w:sz w:val="32"/>
          <w:szCs w:val="32"/>
          <w:highlight w:val="none"/>
        </w:rPr>
        <w:t>本年度政府信息公开年报中的数据真实可查。</w:t>
      </w:r>
    </w:p>
    <w:p w14:paraId="6AA76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Arial" w:eastAsia="仿宋_GB2312" w:cs="Arial"/>
          <w:color w:val="000000"/>
          <w:sz w:val="32"/>
          <w:szCs w:val="32"/>
          <w:highlight w:val="none"/>
          <w:lang w:eastAsia="zh-CN"/>
        </w:rPr>
        <w:t>本报告的电子版可在“中国滕州网”网站查询和下载。</w:t>
      </w:r>
      <w:r>
        <w:rPr>
          <w:rFonts w:hint="eastAsia" w:ascii="仿宋_GB2312" w:hAnsi="Arial" w:eastAsia="仿宋_GB2312" w:cs="Arial"/>
          <w:color w:val="000000"/>
          <w:sz w:val="32"/>
          <w:szCs w:val="32"/>
          <w:highlight w:val="none"/>
        </w:rPr>
        <w:t>如对本报告有任何疑问，</w:t>
      </w:r>
      <w:r>
        <w:rPr>
          <w:rFonts w:hint="eastAsia" w:ascii="仿宋_GB2312" w:hAnsi="仿宋_GB2312" w:eastAsia="仿宋_GB2312" w:cs="仿宋_GB2312"/>
          <w:sz w:val="32"/>
          <w:szCs w:val="32"/>
        </w:rPr>
        <w:t>请与</w:t>
      </w:r>
      <w:r>
        <w:rPr>
          <w:rFonts w:ascii="仿宋_GB2312" w:hAnsi="仿宋_GB2312" w:eastAsia="仿宋_GB2312" w:cs="仿宋_GB2312"/>
          <w:sz w:val="32"/>
          <w:szCs w:val="32"/>
        </w:rPr>
        <w:t>滕州市财政局办公室</w:t>
      </w:r>
      <w:r>
        <w:rPr>
          <w:rFonts w:hint="eastAsia" w:ascii="仿宋_GB2312" w:hAnsi="仿宋_GB2312" w:eastAsia="仿宋_GB2312" w:cs="仿宋_GB2312"/>
          <w:sz w:val="32"/>
          <w:szCs w:val="32"/>
        </w:rPr>
        <w:t>联系。</w:t>
      </w:r>
      <w:r>
        <w:rPr>
          <w:rFonts w:ascii="仿宋_GB2312" w:hAnsi="仿宋_GB2312" w:eastAsia="仿宋_GB2312" w:cs="仿宋_GB2312"/>
          <w:sz w:val="32"/>
          <w:szCs w:val="32"/>
        </w:rPr>
        <w:t>地址：滕州市善国南路86号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联系电话：0632-5583592</w:t>
      </w:r>
      <w:r>
        <w:rPr>
          <w:rFonts w:hint="eastAsia" w:ascii="仿宋_GB2312" w:hAnsi="仿宋_GB2312" w:eastAsia="仿宋_GB2312" w:cs="仿宋_GB2312"/>
          <w:sz w:val="32"/>
          <w:szCs w:val="32"/>
        </w:rPr>
        <w:t xml:space="preserve">。     </w:t>
      </w:r>
    </w:p>
    <w:sectPr>
      <w:footerReference r:id="rId3" w:type="default"/>
      <w:pgSz w:w="11906" w:h="16838"/>
      <w:pgMar w:top="1157" w:right="1406" w:bottom="1157" w:left="146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5D5770-E673-4E76-B5F9-4C6F2946C84D}"/>
  </w:font>
  <w:font w:name="黑体">
    <w:panose1 w:val="02010609060101010101"/>
    <w:charset w:val="86"/>
    <w:family w:val="auto"/>
    <w:pitch w:val="default"/>
    <w:sig w:usb0="800002BF" w:usb1="38CF7CFA" w:usb2="00000016" w:usb3="00000000" w:csb0="00040001" w:csb1="00000000"/>
    <w:embedRegular r:id="rId2" w:fontKey="{7A2BC632-9FF7-4CA6-9654-B16F1FF32F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2BC6ED7-3B43-4A74-B40A-6BDB197971BA}"/>
  </w:font>
  <w:font w:name="仿宋_GB2312">
    <w:altName w:val="仿宋"/>
    <w:panose1 w:val="02010609030101010101"/>
    <w:charset w:val="86"/>
    <w:family w:val="modern"/>
    <w:pitch w:val="default"/>
    <w:sig w:usb0="00000000" w:usb1="00000000" w:usb2="00000000" w:usb3="00000000" w:csb0="00040000" w:csb1="00000000"/>
    <w:embedRegular r:id="rId4" w:fontKey="{26C647CC-01DB-4F12-9D65-5F8236C24BE3}"/>
  </w:font>
  <w:font w:name="方正小标宋简体">
    <w:altName w:val="黑体"/>
    <w:panose1 w:val="03000509000000000000"/>
    <w:charset w:val="86"/>
    <w:family w:val="script"/>
    <w:pitch w:val="default"/>
    <w:sig w:usb0="00000000" w:usb1="00000000" w:usb2="00000000" w:usb3="00000000" w:csb0="00040000" w:csb1="00000000"/>
    <w:embedRegular r:id="rId5" w:fontKey="{D5447D38-B7E2-47D7-AAF2-54DEFE8038DA}"/>
  </w:font>
  <w:font w:name="Tahoma">
    <w:panose1 w:val="020B0604030504040204"/>
    <w:charset w:val="00"/>
    <w:family w:val="swiss"/>
    <w:pitch w:val="default"/>
    <w:sig w:usb0="E1002EFF" w:usb1="C000605B" w:usb2="00000029" w:usb3="00000000" w:csb0="200101FF" w:csb1="20280000"/>
    <w:embedRegular r:id="rId6" w:fontKey="{950AEDC2-F024-43C9-ACE5-73A04AD6D628}"/>
  </w:font>
  <w:font w:name="楷体_GB2312">
    <w:altName w:val="楷体"/>
    <w:panose1 w:val="02010609030101010101"/>
    <w:charset w:val="86"/>
    <w:family w:val="auto"/>
    <w:pitch w:val="default"/>
    <w:sig w:usb0="00000000" w:usb1="00000000" w:usb2="00000000" w:usb3="00000000" w:csb0="00040000" w:csb1="00000000"/>
    <w:embedRegular r:id="rId7" w:fontKey="{427CCF69-FAB0-4245-B6AF-F9BA857CFBC3}"/>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5C9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9506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29506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721EE"/>
    <w:multiLevelType w:val="singleLevel"/>
    <w:tmpl w:val="240721EE"/>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MzUxMWE1YzllNmFlYmU1ZTEzMzU0OTRhYTVjNGQifQ=="/>
  </w:docVars>
  <w:rsids>
    <w:rsidRoot w:val="678B13FD"/>
    <w:rsid w:val="000F7DC7"/>
    <w:rsid w:val="001008BE"/>
    <w:rsid w:val="001600C5"/>
    <w:rsid w:val="005D7667"/>
    <w:rsid w:val="006971BF"/>
    <w:rsid w:val="007827C5"/>
    <w:rsid w:val="00883ED9"/>
    <w:rsid w:val="009F49CC"/>
    <w:rsid w:val="00AB6BB4"/>
    <w:rsid w:val="00B970F7"/>
    <w:rsid w:val="00C73588"/>
    <w:rsid w:val="00D1449B"/>
    <w:rsid w:val="00D84190"/>
    <w:rsid w:val="00E34B1D"/>
    <w:rsid w:val="00FC65F1"/>
    <w:rsid w:val="02487AB4"/>
    <w:rsid w:val="05DA02F8"/>
    <w:rsid w:val="071E67F8"/>
    <w:rsid w:val="073E518E"/>
    <w:rsid w:val="08E32BBB"/>
    <w:rsid w:val="0AFD6A2F"/>
    <w:rsid w:val="0C9949B9"/>
    <w:rsid w:val="0CC710AB"/>
    <w:rsid w:val="0CC7358B"/>
    <w:rsid w:val="0DEB0BBD"/>
    <w:rsid w:val="100B7B64"/>
    <w:rsid w:val="11AE5AE4"/>
    <w:rsid w:val="1613133B"/>
    <w:rsid w:val="164F17E0"/>
    <w:rsid w:val="16C94348"/>
    <w:rsid w:val="1A5D2481"/>
    <w:rsid w:val="1A944BF5"/>
    <w:rsid w:val="1B855497"/>
    <w:rsid w:val="1B966EEF"/>
    <w:rsid w:val="1CAD6754"/>
    <w:rsid w:val="1CAE503A"/>
    <w:rsid w:val="1EE5125A"/>
    <w:rsid w:val="1FF20DFB"/>
    <w:rsid w:val="208316E6"/>
    <w:rsid w:val="20AB7ECD"/>
    <w:rsid w:val="20C932CD"/>
    <w:rsid w:val="21132B7C"/>
    <w:rsid w:val="24287EDB"/>
    <w:rsid w:val="25137802"/>
    <w:rsid w:val="25981AB5"/>
    <w:rsid w:val="26A635CB"/>
    <w:rsid w:val="26FC034A"/>
    <w:rsid w:val="274A4557"/>
    <w:rsid w:val="28CB2BA5"/>
    <w:rsid w:val="2931789B"/>
    <w:rsid w:val="2932200E"/>
    <w:rsid w:val="2A4B40AE"/>
    <w:rsid w:val="2A9D69AB"/>
    <w:rsid w:val="2ACF55E4"/>
    <w:rsid w:val="2C142823"/>
    <w:rsid w:val="2E0777D8"/>
    <w:rsid w:val="30F81EA6"/>
    <w:rsid w:val="31B9703B"/>
    <w:rsid w:val="32613669"/>
    <w:rsid w:val="32B2363B"/>
    <w:rsid w:val="32BB215C"/>
    <w:rsid w:val="35A53371"/>
    <w:rsid w:val="361F6A2E"/>
    <w:rsid w:val="364D3704"/>
    <w:rsid w:val="3683376A"/>
    <w:rsid w:val="36F100CE"/>
    <w:rsid w:val="373C33F6"/>
    <w:rsid w:val="383E4AD7"/>
    <w:rsid w:val="38D72272"/>
    <w:rsid w:val="397311D7"/>
    <w:rsid w:val="3C135571"/>
    <w:rsid w:val="3C763BDF"/>
    <w:rsid w:val="3CA332BD"/>
    <w:rsid w:val="3CA84554"/>
    <w:rsid w:val="3CC53ECB"/>
    <w:rsid w:val="3DE43543"/>
    <w:rsid w:val="40730CFD"/>
    <w:rsid w:val="422250E7"/>
    <w:rsid w:val="43DC3D25"/>
    <w:rsid w:val="44177C0F"/>
    <w:rsid w:val="45DE5870"/>
    <w:rsid w:val="463D7DE3"/>
    <w:rsid w:val="4652735B"/>
    <w:rsid w:val="47536CF9"/>
    <w:rsid w:val="476E55D0"/>
    <w:rsid w:val="47AD13CF"/>
    <w:rsid w:val="486C78C6"/>
    <w:rsid w:val="49B54D5D"/>
    <w:rsid w:val="49FE503B"/>
    <w:rsid w:val="4B215F25"/>
    <w:rsid w:val="4B420C7A"/>
    <w:rsid w:val="4CFB40DB"/>
    <w:rsid w:val="4DBC7167"/>
    <w:rsid w:val="4E284DAF"/>
    <w:rsid w:val="4FF57465"/>
    <w:rsid w:val="50D81F61"/>
    <w:rsid w:val="51E70B3A"/>
    <w:rsid w:val="52F46F3B"/>
    <w:rsid w:val="53A719D0"/>
    <w:rsid w:val="54D062C6"/>
    <w:rsid w:val="56692707"/>
    <w:rsid w:val="57530294"/>
    <w:rsid w:val="58C633EA"/>
    <w:rsid w:val="58CD02B9"/>
    <w:rsid w:val="58DC4756"/>
    <w:rsid w:val="59D6437F"/>
    <w:rsid w:val="5A000461"/>
    <w:rsid w:val="5A3410A5"/>
    <w:rsid w:val="5AF41016"/>
    <w:rsid w:val="5C394FAE"/>
    <w:rsid w:val="5EA54309"/>
    <w:rsid w:val="5F533996"/>
    <w:rsid w:val="5FFC63AF"/>
    <w:rsid w:val="60694ACA"/>
    <w:rsid w:val="609C184C"/>
    <w:rsid w:val="614554EA"/>
    <w:rsid w:val="622E4B9C"/>
    <w:rsid w:val="62AE7F66"/>
    <w:rsid w:val="63FE69AC"/>
    <w:rsid w:val="64414AEB"/>
    <w:rsid w:val="6549565F"/>
    <w:rsid w:val="661172C1"/>
    <w:rsid w:val="664D50FC"/>
    <w:rsid w:val="66B46942"/>
    <w:rsid w:val="678B13FD"/>
    <w:rsid w:val="69C36A75"/>
    <w:rsid w:val="6A993671"/>
    <w:rsid w:val="6ABD052C"/>
    <w:rsid w:val="6B517D09"/>
    <w:rsid w:val="6BEA5A68"/>
    <w:rsid w:val="6C38636B"/>
    <w:rsid w:val="6CDB3FEF"/>
    <w:rsid w:val="6DCE3893"/>
    <w:rsid w:val="6EF26F59"/>
    <w:rsid w:val="6F397B08"/>
    <w:rsid w:val="6F79782E"/>
    <w:rsid w:val="71054B0E"/>
    <w:rsid w:val="71DA7865"/>
    <w:rsid w:val="73564087"/>
    <w:rsid w:val="73F710CD"/>
    <w:rsid w:val="7578789B"/>
    <w:rsid w:val="763B293A"/>
    <w:rsid w:val="78CC0FF1"/>
    <w:rsid w:val="79477948"/>
    <w:rsid w:val="7A433985"/>
    <w:rsid w:val="7ADE0E8D"/>
    <w:rsid w:val="7D2C4E96"/>
    <w:rsid w:val="7DDE64AF"/>
    <w:rsid w:val="7FB01B29"/>
    <w:rsid w:val="D767042E"/>
    <w:rsid w:val="DB67F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bidi="zh-CN"/>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line="660" w:lineRule="exact"/>
      <w:ind w:firstLine="705"/>
    </w:pPr>
    <w:rPr>
      <w:rFonts w:ascii="仿宋_GB2312" w:eastAsia="仿宋_GB2312"/>
      <w:color w:val="000000"/>
      <w:sz w:val="36"/>
      <w:szCs w:val="36"/>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近3年依申请公开数量变化</a:t>
            </a:r>
          </a:p>
        </c:rich>
      </c:tx>
      <c:layout/>
      <c:overlay val="0"/>
      <c:spPr>
        <a:noFill/>
        <a:ln>
          <a:noFill/>
        </a:ln>
        <a:effectLst/>
      </c:spPr>
    </c:title>
    <c:autoTitleDeleted val="0"/>
    <c:plotArea>
      <c:layout/>
      <c:lineChart>
        <c:grouping val="standard"/>
        <c:varyColors val="0"/>
        <c:ser>
          <c:idx val="0"/>
          <c:order val="0"/>
          <c:tx>
            <c:strRef>
              <c:f>Sheet1!$B$1</c:f>
              <c:strCache>
                <c:ptCount val="1"/>
                <c:pt idx="0">
                  <c:v>系列 1</c:v>
                </c:pt>
              </c:strCache>
            </c:strRef>
          </c:tx>
          <c:spPr>
            <a:ln w="28575" cap="rnd">
              <a:solidFill>
                <a:schemeClr val="accent1"/>
              </a:solidFill>
              <a:round/>
            </a:ln>
            <a:effectLst/>
          </c:spPr>
          <c:marker>
            <c:symbol val="none"/>
          </c:marker>
          <c:dLbls>
            <c:delete val="1"/>
          </c:dLbls>
          <c:cat>
            <c:strRef>
              <c:f>Sheet1!$A$2:$A$4</c:f>
              <c:strCache>
                <c:ptCount val="3"/>
                <c:pt idx="0">
                  <c:v>2023年</c:v>
                </c:pt>
                <c:pt idx="1">
                  <c:v>2024年</c:v>
                </c:pt>
                <c:pt idx="2">
                  <c:v>2025年</c:v>
                </c:pt>
              </c:strCache>
            </c:strRef>
          </c:cat>
          <c:val>
            <c:numRef>
              <c:f>Sheet1!$B$2:$B$4</c:f>
              <c:numCache>
                <c:formatCode>General</c:formatCode>
                <c:ptCount val="3"/>
                <c:pt idx="0">
                  <c:v>4</c:v>
                </c:pt>
                <c:pt idx="1">
                  <c:v>3</c:v>
                </c:pt>
                <c:pt idx="2">
                  <c:v>6</c:v>
                </c:pt>
              </c:numCache>
            </c:numRef>
          </c:val>
          <c:smooth val="0"/>
        </c:ser>
        <c:ser>
          <c:idx val="1"/>
          <c:order val="1"/>
          <c:tx>
            <c:strRef>
              <c:f>Sheet1!#REF!</c:f>
              <c:strCache>
                <c:ptCount val="1"/>
                <c:pt idx="0">
                  <c:v/>
                </c:pt>
              </c:strCache>
            </c:strRef>
          </c:tx>
          <c:spPr>
            <a:ln w="28575" cap="rnd">
              <a:noFill/>
              <a:round/>
            </a:ln>
            <a:effectLst/>
          </c:spPr>
          <c:marker>
            <c:symbol val="none"/>
          </c:marker>
          <c:dLbls>
            <c:delete val="1"/>
          </c:dLbls>
          <c:cat>
            <c:strRef>
              <c:f>Sheet1!$A$2:$A$4</c:f>
              <c:strCache>
                <c:ptCount val="3"/>
                <c:pt idx="0">
                  <c:v>2023年</c:v>
                </c:pt>
                <c:pt idx="1">
                  <c:v>2024年</c:v>
                </c:pt>
                <c:pt idx="2">
                  <c:v>2025年</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noFill/>
              <a:round/>
            </a:ln>
            <a:effectLst/>
          </c:spPr>
          <c:marker>
            <c:symbol val="none"/>
          </c:marker>
          <c:dLbls>
            <c:delete val="1"/>
          </c:dLbls>
          <c:cat>
            <c:strRef>
              <c:f>Sheet1!$A$2:$A$4</c:f>
              <c:strCache>
                <c:ptCount val="3"/>
                <c:pt idx="0">
                  <c:v>2023年</c:v>
                </c:pt>
                <c:pt idx="1">
                  <c:v>2024年</c:v>
                </c:pt>
                <c:pt idx="2">
                  <c:v>2025年</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782504061"/>
        <c:axId val="153093917"/>
      </c:lineChart>
      <c:catAx>
        <c:axId val="782504061"/>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3093917"/>
        <c:crosses val="autoZero"/>
        <c:auto val="1"/>
        <c:lblAlgn val="ctr"/>
        <c:lblOffset val="100"/>
        <c:noMultiLvlLbl val="0"/>
      </c:catAx>
      <c:valAx>
        <c:axId val="153093917"/>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82504061"/>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eacac01d-9b2c-408b-a881-5536e7f0540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2284</Words>
  <Characters>2403</Characters>
  <Lines>5</Lines>
  <Paragraphs>5</Paragraphs>
  <TotalTime>4</TotalTime>
  <ScaleCrop>false</ScaleCrop>
  <LinksUpToDate>false</LinksUpToDate>
  <CharactersWithSpaces>2412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2021-01-25T17:43:00Z</dcterms:created>
  <dc:creator>Administrator</dc:creator>
  <cp:lastModifiedBy>云彩面包</cp:lastModifiedBy>
  <cp:lastPrinted>2023-01-16T18:54:00Z</cp:lastPrinted>
  <dcterms:modified xsi:type="dcterms:W3CDTF">2026-01-20T08:10:21Z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ACA3352DEC284F929126B2BEEAA2EF2E_13</vt:lpwstr>
  </property>
  <property fmtid="{D5CDD505-2E9C-101B-9397-08002B2CF9AE}" pid="4" name="KSOTemplateDocerSaveRecord">
    <vt:lpwstr>eyJoZGlkIjoiZGVjMzUxMWE1YzllNmFlYmU1ZTEzMzU0OTRhYTVjNGQiLCJ1c2VySWQiOiI1NzYyNTU4NTMifQ==</vt:lpwstr>
  </property>
</Properties>
</file>