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eastAsia" w:ascii="方正小标宋简体" w:hAnsi="方正小标宋简体" w:eastAsia="方正小标宋简体" w:cs="方正小标宋简体"/>
          <w:spacing w:val="0"/>
          <w:sz w:val="44"/>
          <w:szCs w:val="44"/>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滕州市商务和投资促进局</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lang w:eastAsia="zh-CN"/>
        </w:rPr>
        <w:t>2025</w:t>
      </w:r>
      <w:r>
        <w:rPr>
          <w:rFonts w:hint="eastAsia" w:ascii="方正小标宋简体" w:hAnsi="方正小标宋简体" w:eastAsia="方正小标宋简体" w:cs="方正小标宋简体"/>
          <w:spacing w:val="0"/>
          <w:sz w:val="44"/>
          <w:szCs w:val="44"/>
        </w:rPr>
        <w:t>年政府信息公开年度报告</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firstLine="516"/>
        <w:textAlignment w:val="auto"/>
        <w:rPr>
          <w:rFonts w:ascii="仿宋_GB2312" w:eastAsia="仿宋_GB2312" w:cs="仿宋_GB2312"/>
          <w:spacing w:val="0"/>
          <w:sz w:val="25"/>
          <w:szCs w:val="25"/>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根据《中华人民共和国政府信息公开条例》</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以下简称《条例》</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和省政府办公厅、枣庄市政府办公室、滕州市政府办公室通知要求，特编制滕州市商务和投资促进局</w:t>
      </w:r>
      <w:r>
        <w:rPr>
          <w:rFonts w:hint="eastAsia" w:ascii="仿宋_GB2312" w:hAnsi="仿宋_GB2312" w:eastAsia="仿宋_GB2312" w:cs="仿宋_GB2312"/>
          <w:spacing w:val="0"/>
          <w:sz w:val="32"/>
          <w:szCs w:val="32"/>
          <w:lang w:eastAsia="zh-CN"/>
        </w:rPr>
        <w:t>2025年</w:t>
      </w:r>
      <w:r>
        <w:rPr>
          <w:rFonts w:hint="eastAsia" w:ascii="仿宋_GB2312" w:hAnsi="仿宋_GB2312" w:eastAsia="仿宋_GB2312" w:cs="仿宋_GB2312"/>
          <w:spacing w:val="0"/>
          <w:sz w:val="32"/>
          <w:szCs w:val="32"/>
        </w:rPr>
        <w:t>政府信息公开年度报告并向社会公布。本报告中所列数据的统计期限自</w:t>
      </w:r>
      <w:r>
        <w:rPr>
          <w:rFonts w:hint="eastAsia" w:ascii="仿宋_GB2312" w:hAnsi="仿宋_GB2312" w:eastAsia="仿宋_GB2312" w:cs="仿宋_GB2312"/>
          <w:spacing w:val="0"/>
          <w:sz w:val="32"/>
          <w:szCs w:val="32"/>
          <w:lang w:eastAsia="zh-CN"/>
        </w:rPr>
        <w:t>2025年</w:t>
      </w:r>
      <w:r>
        <w:rPr>
          <w:rFonts w:hint="eastAsia" w:ascii="仿宋_GB2312" w:hAnsi="仿宋_GB2312" w:eastAsia="仿宋_GB2312" w:cs="仿宋_GB2312"/>
          <w:spacing w:val="0"/>
          <w:sz w:val="32"/>
          <w:szCs w:val="32"/>
        </w:rPr>
        <w:t>1月1日起至</w:t>
      </w:r>
      <w:r>
        <w:rPr>
          <w:rFonts w:hint="eastAsia" w:ascii="仿宋_GB2312" w:hAnsi="仿宋_GB2312" w:eastAsia="仿宋_GB2312" w:cs="仿宋_GB2312"/>
          <w:spacing w:val="0"/>
          <w:sz w:val="32"/>
          <w:szCs w:val="32"/>
          <w:lang w:eastAsia="zh-CN"/>
        </w:rPr>
        <w:t>2025年</w:t>
      </w:r>
      <w:r>
        <w:rPr>
          <w:rFonts w:hint="eastAsia" w:ascii="仿宋_GB2312" w:hAnsi="仿宋_GB2312" w:eastAsia="仿宋_GB2312" w:cs="仿宋_GB2312"/>
          <w:spacing w:val="0"/>
          <w:sz w:val="32"/>
          <w:szCs w:val="32"/>
        </w:rPr>
        <w:t>12月31日止。</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600" w:lineRule="exact"/>
        <w:ind w:left="0" w:firstLine="640" w:firstLineChars="200"/>
        <w:jc w:val="both"/>
        <w:textAlignment w:val="auto"/>
        <w:rPr>
          <w:sz w:val="32"/>
          <w:szCs w:val="32"/>
        </w:rPr>
      </w:pPr>
      <w:r>
        <w:rPr>
          <w:rFonts w:ascii="黑体" w:hAnsi="宋体" w:eastAsia="黑体" w:cs="黑体"/>
          <w:sz w:val="32"/>
          <w:szCs w:val="32"/>
        </w:rPr>
        <w:t>一、总体情况</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0"/>
          <w:sz w:val="32"/>
          <w:szCs w:val="32"/>
          <w:lang w:eastAsia="zh-CN"/>
        </w:rPr>
        <w:t>2025年</w:t>
      </w:r>
      <w:r>
        <w:rPr>
          <w:rFonts w:hint="eastAsia" w:ascii="仿宋_GB2312" w:hAnsi="仿宋_GB2312" w:eastAsia="仿宋_GB2312" w:cs="仿宋_GB2312"/>
          <w:spacing w:val="0"/>
          <w:sz w:val="32"/>
          <w:szCs w:val="32"/>
        </w:rPr>
        <w:t>以来，滕州市商务和投资促进局深入贯彻落实《条例》和相关规定，紧紧围绕上级关于全面深化政务公开的有关部署，准确把握新时代政务公开工作的职责定位和面临的新形势，加强组织领导，明确责任分工，细化分解任务，加大督导力度，坚持“以公开为常态、不公开为例外”原则，全面提升政务公开质量和实效，力促让公开成为</w:t>
      </w:r>
      <w:r>
        <w:rPr>
          <w:rFonts w:hint="eastAsia" w:ascii="仿宋_GB2312" w:hAnsi="仿宋_GB2312" w:eastAsia="仿宋_GB2312" w:cs="仿宋_GB2312"/>
          <w:spacing w:val="0"/>
          <w:sz w:val="32"/>
          <w:szCs w:val="32"/>
          <w:highlight w:val="none"/>
        </w:rPr>
        <w:t>自觉，让透明成为常态。全局上下政府信息公开工作的积极性、主动性不断提高，政府工作透明度进一步增强，有效地保障了公民的知情权，努力打造法治政府、创新政府、廉洁政府和服务型政府。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2"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pacing w:val="0"/>
          <w:sz w:val="32"/>
          <w:szCs w:val="32"/>
          <w:highlight w:val="none"/>
        </w:rPr>
        <w:t>1.主动公开。</w:t>
      </w:r>
      <w:r>
        <w:rPr>
          <w:rFonts w:hint="eastAsia" w:ascii="仿宋_GB2312" w:hAnsi="仿宋_GB2312" w:eastAsia="仿宋_GB2312" w:cs="仿宋_GB2312"/>
          <w:spacing w:val="0"/>
          <w:sz w:val="32"/>
          <w:szCs w:val="32"/>
          <w:highlight w:val="none"/>
        </w:rPr>
        <w:t>通过滕州市政府信息公开主动公开信息</w:t>
      </w:r>
      <w:r>
        <w:rPr>
          <w:rFonts w:hint="eastAsia" w:ascii="仿宋_GB2312" w:hAnsi="仿宋_GB2312" w:eastAsia="仿宋_GB2312" w:cs="仿宋_GB2312"/>
          <w:spacing w:val="0"/>
          <w:sz w:val="32"/>
          <w:szCs w:val="32"/>
          <w:highlight w:val="none"/>
          <w:lang w:val="en-US" w:eastAsia="zh-CN"/>
        </w:rPr>
        <w:t>61</w:t>
      </w:r>
      <w:r>
        <w:rPr>
          <w:rFonts w:hint="eastAsia" w:ascii="仿宋_GB2312" w:hAnsi="仿宋_GB2312" w:eastAsia="仿宋_GB2312" w:cs="仿宋_GB2312"/>
          <w:spacing w:val="0"/>
          <w:sz w:val="32"/>
          <w:szCs w:val="32"/>
          <w:highlight w:val="none"/>
        </w:rPr>
        <w:t>条，其中通知公告</w:t>
      </w:r>
      <w:r>
        <w:rPr>
          <w:rFonts w:hint="eastAsia" w:ascii="仿宋_GB2312" w:hAnsi="仿宋_GB2312" w:eastAsia="仿宋_GB2312" w:cs="仿宋_GB2312"/>
          <w:spacing w:val="0"/>
          <w:sz w:val="32"/>
          <w:szCs w:val="32"/>
          <w:highlight w:val="none"/>
          <w:lang w:val="en-US" w:eastAsia="zh-CN"/>
        </w:rPr>
        <w:t>4</w:t>
      </w:r>
      <w:r>
        <w:rPr>
          <w:rFonts w:hint="eastAsia" w:ascii="仿宋_GB2312" w:hAnsi="仿宋_GB2312" w:eastAsia="仿宋_GB2312" w:cs="仿宋_GB2312"/>
          <w:spacing w:val="0"/>
          <w:sz w:val="32"/>
          <w:szCs w:val="32"/>
          <w:highlight w:val="none"/>
        </w:rPr>
        <w:t>条，占总数的</w:t>
      </w:r>
      <w:r>
        <w:rPr>
          <w:rFonts w:hint="eastAsia" w:ascii="仿宋_GB2312" w:hAnsi="仿宋_GB2312" w:eastAsia="仿宋_GB2312" w:cs="仿宋_GB2312"/>
          <w:spacing w:val="0"/>
          <w:sz w:val="32"/>
          <w:szCs w:val="32"/>
          <w:highlight w:val="none"/>
          <w:lang w:val="en-US" w:eastAsia="zh-CN"/>
        </w:rPr>
        <w:t>6.6</w:t>
      </w:r>
      <w:r>
        <w:rPr>
          <w:rFonts w:hint="eastAsia" w:ascii="仿宋_GB2312" w:hAnsi="仿宋_GB2312" w:eastAsia="仿宋_GB2312" w:cs="仿宋_GB2312"/>
          <w:spacing w:val="0"/>
          <w:sz w:val="32"/>
          <w:szCs w:val="32"/>
          <w:highlight w:val="none"/>
        </w:rPr>
        <w:t>%；规划计划信息1条，占总数的</w:t>
      </w:r>
      <w:r>
        <w:rPr>
          <w:rFonts w:hint="eastAsia" w:ascii="仿宋_GB2312" w:hAnsi="仿宋_GB2312" w:eastAsia="仿宋_GB2312" w:cs="仿宋_GB2312"/>
          <w:spacing w:val="0"/>
          <w:sz w:val="32"/>
          <w:szCs w:val="32"/>
          <w:highlight w:val="none"/>
          <w:lang w:val="en-US" w:eastAsia="zh-CN"/>
        </w:rPr>
        <w:t>1.6</w:t>
      </w:r>
      <w:r>
        <w:rPr>
          <w:rFonts w:hint="eastAsia" w:ascii="仿宋_GB2312" w:hAnsi="仿宋_GB2312" w:eastAsia="仿宋_GB2312" w:cs="仿宋_GB2312"/>
          <w:spacing w:val="0"/>
          <w:sz w:val="32"/>
          <w:szCs w:val="32"/>
          <w:highlight w:val="none"/>
        </w:rPr>
        <w:t>%；财政信息4条，占总数的</w:t>
      </w:r>
      <w:r>
        <w:rPr>
          <w:rFonts w:hint="eastAsia" w:ascii="仿宋_GB2312" w:hAnsi="仿宋_GB2312" w:eastAsia="仿宋_GB2312" w:cs="仿宋_GB2312"/>
          <w:spacing w:val="0"/>
          <w:sz w:val="32"/>
          <w:szCs w:val="32"/>
          <w:highlight w:val="none"/>
          <w:lang w:val="en-US" w:eastAsia="zh-CN"/>
        </w:rPr>
        <w:t>6.6</w:t>
      </w:r>
      <w:r>
        <w:rPr>
          <w:rFonts w:hint="eastAsia" w:ascii="仿宋_GB2312" w:hAnsi="仿宋_GB2312" w:eastAsia="仿宋_GB2312" w:cs="仿宋_GB2312"/>
          <w:spacing w:val="0"/>
          <w:sz w:val="32"/>
          <w:szCs w:val="32"/>
          <w:highlight w:val="none"/>
        </w:rPr>
        <w:t>%；重</w:t>
      </w:r>
      <w:r>
        <w:rPr>
          <w:rFonts w:hint="eastAsia" w:ascii="仿宋_GB2312" w:hAnsi="仿宋_GB2312" w:eastAsia="仿宋_GB2312" w:cs="仿宋_GB2312"/>
          <w:spacing w:val="0"/>
          <w:sz w:val="32"/>
          <w:szCs w:val="32"/>
          <w:highlight w:val="none"/>
          <w:lang w:val="en-US" w:eastAsia="zh-CN"/>
        </w:rPr>
        <w:t>大民生</w:t>
      </w:r>
      <w:r>
        <w:rPr>
          <w:rFonts w:hint="eastAsia" w:ascii="仿宋_GB2312" w:hAnsi="仿宋_GB2312" w:eastAsia="仿宋_GB2312" w:cs="仿宋_GB2312"/>
          <w:spacing w:val="0"/>
          <w:sz w:val="32"/>
          <w:szCs w:val="32"/>
          <w:highlight w:val="none"/>
        </w:rPr>
        <w:t>信息</w:t>
      </w:r>
      <w:r>
        <w:rPr>
          <w:rFonts w:hint="eastAsia" w:ascii="仿宋_GB2312" w:hAnsi="仿宋_GB2312" w:eastAsia="仿宋_GB2312" w:cs="仿宋_GB2312"/>
          <w:spacing w:val="0"/>
          <w:sz w:val="32"/>
          <w:szCs w:val="32"/>
          <w:highlight w:val="none"/>
          <w:lang w:val="en-US" w:eastAsia="zh-CN"/>
        </w:rPr>
        <w:t>10</w:t>
      </w:r>
      <w:r>
        <w:rPr>
          <w:rFonts w:hint="eastAsia" w:ascii="仿宋_GB2312" w:hAnsi="仿宋_GB2312" w:eastAsia="仿宋_GB2312" w:cs="仿宋_GB2312"/>
          <w:spacing w:val="0"/>
          <w:sz w:val="32"/>
          <w:szCs w:val="32"/>
          <w:highlight w:val="none"/>
        </w:rPr>
        <w:t>条，占总数的</w:t>
      </w:r>
      <w:r>
        <w:rPr>
          <w:rFonts w:hint="eastAsia" w:ascii="仿宋_GB2312" w:hAnsi="仿宋_GB2312" w:eastAsia="仿宋_GB2312" w:cs="仿宋_GB2312"/>
          <w:spacing w:val="0"/>
          <w:sz w:val="32"/>
          <w:szCs w:val="32"/>
          <w:highlight w:val="none"/>
          <w:lang w:val="en-US" w:eastAsia="zh-CN"/>
        </w:rPr>
        <w:t>16.4</w:t>
      </w:r>
      <w:r>
        <w:rPr>
          <w:rFonts w:hint="eastAsia" w:ascii="仿宋_GB2312" w:hAnsi="仿宋_GB2312" w:eastAsia="仿宋_GB2312" w:cs="仿宋_GB2312"/>
          <w:spacing w:val="0"/>
          <w:sz w:val="32"/>
          <w:szCs w:val="32"/>
          <w:highlight w:val="none"/>
        </w:rPr>
        <w:t>%；建议提案信息</w:t>
      </w:r>
      <w:r>
        <w:rPr>
          <w:rFonts w:hint="eastAsia" w:ascii="仿宋_GB2312" w:hAnsi="仿宋_GB2312" w:eastAsia="仿宋_GB2312" w:cs="仿宋_GB2312"/>
          <w:spacing w:val="0"/>
          <w:sz w:val="32"/>
          <w:szCs w:val="32"/>
          <w:highlight w:val="none"/>
          <w:lang w:val="en-US" w:eastAsia="zh-CN"/>
        </w:rPr>
        <w:t>37</w:t>
      </w:r>
      <w:r>
        <w:rPr>
          <w:rFonts w:hint="eastAsia" w:ascii="仿宋_GB2312" w:hAnsi="仿宋_GB2312" w:eastAsia="仿宋_GB2312" w:cs="仿宋_GB2312"/>
          <w:spacing w:val="0"/>
          <w:sz w:val="32"/>
          <w:szCs w:val="32"/>
          <w:highlight w:val="none"/>
        </w:rPr>
        <w:t>条，占总数的</w:t>
      </w:r>
      <w:r>
        <w:rPr>
          <w:rFonts w:hint="eastAsia" w:ascii="仿宋_GB2312" w:hAnsi="仿宋_GB2312" w:eastAsia="仿宋_GB2312" w:cs="仿宋_GB2312"/>
          <w:spacing w:val="0"/>
          <w:sz w:val="32"/>
          <w:szCs w:val="32"/>
          <w:highlight w:val="none"/>
          <w:lang w:val="en-US" w:eastAsia="zh-CN"/>
        </w:rPr>
        <w:t>60.7</w:t>
      </w:r>
      <w:r>
        <w:rPr>
          <w:rFonts w:hint="eastAsia" w:ascii="仿宋_GB2312" w:hAnsi="仿宋_GB2312" w:eastAsia="仿宋_GB2312" w:cs="仿宋_GB2312"/>
          <w:spacing w:val="0"/>
          <w:sz w:val="32"/>
          <w:szCs w:val="32"/>
          <w:highlight w:val="none"/>
        </w:rPr>
        <w:t>%；</w:t>
      </w:r>
      <w:r>
        <w:rPr>
          <w:rFonts w:hint="eastAsia" w:ascii="仿宋_GB2312" w:hAnsi="仿宋_GB2312" w:eastAsia="仿宋_GB2312" w:cs="仿宋_GB2312"/>
          <w:spacing w:val="0"/>
          <w:sz w:val="32"/>
          <w:szCs w:val="32"/>
          <w:highlight w:val="none"/>
          <w:lang w:val="en-US" w:eastAsia="zh-CN"/>
        </w:rPr>
        <w:t>组织管理信息4条，</w:t>
      </w:r>
      <w:r>
        <w:rPr>
          <w:rFonts w:hint="eastAsia" w:ascii="仿宋_GB2312" w:hAnsi="仿宋_GB2312" w:eastAsia="仿宋_GB2312" w:cs="仿宋_GB2312"/>
          <w:spacing w:val="0"/>
          <w:sz w:val="32"/>
          <w:szCs w:val="32"/>
          <w:highlight w:val="none"/>
        </w:rPr>
        <w:t>占总数的</w:t>
      </w:r>
      <w:r>
        <w:rPr>
          <w:rFonts w:hint="eastAsia" w:ascii="仿宋_GB2312" w:hAnsi="仿宋_GB2312" w:eastAsia="仿宋_GB2312" w:cs="仿宋_GB2312"/>
          <w:spacing w:val="0"/>
          <w:sz w:val="32"/>
          <w:szCs w:val="32"/>
          <w:highlight w:val="none"/>
          <w:lang w:val="en-US" w:eastAsia="zh-CN"/>
        </w:rPr>
        <w:t>6.6</w:t>
      </w:r>
      <w:r>
        <w:rPr>
          <w:rFonts w:hint="eastAsia" w:ascii="仿宋_GB2312" w:hAnsi="仿宋_GB2312" w:eastAsia="仿宋_GB2312" w:cs="仿宋_GB2312"/>
          <w:spacing w:val="0"/>
          <w:sz w:val="32"/>
          <w:szCs w:val="32"/>
          <w:highlight w:val="none"/>
        </w:rPr>
        <w:t>%；</w:t>
      </w:r>
      <w:r>
        <w:rPr>
          <w:rFonts w:hint="eastAsia" w:ascii="仿宋_GB2312" w:hAnsi="仿宋_GB2312" w:eastAsia="仿宋_GB2312" w:cs="仿宋_GB2312"/>
          <w:spacing w:val="0"/>
          <w:sz w:val="32"/>
          <w:szCs w:val="32"/>
          <w:highlight w:val="none"/>
          <w:lang w:val="en-US" w:eastAsia="zh-CN"/>
        </w:rPr>
        <w:t>政务公开基本目录信息1条，</w:t>
      </w:r>
      <w:r>
        <w:rPr>
          <w:rFonts w:hint="eastAsia" w:ascii="仿宋_GB2312" w:hAnsi="仿宋_GB2312" w:eastAsia="仿宋_GB2312" w:cs="仿宋_GB2312"/>
          <w:spacing w:val="0"/>
          <w:sz w:val="32"/>
          <w:szCs w:val="32"/>
          <w:highlight w:val="none"/>
        </w:rPr>
        <w:t>占总数的</w:t>
      </w:r>
      <w:r>
        <w:rPr>
          <w:rFonts w:hint="eastAsia" w:ascii="仿宋_GB2312" w:hAnsi="仿宋_GB2312" w:eastAsia="仿宋_GB2312" w:cs="仿宋_GB2312"/>
          <w:spacing w:val="0"/>
          <w:sz w:val="32"/>
          <w:szCs w:val="32"/>
          <w:highlight w:val="none"/>
          <w:lang w:val="en-US" w:eastAsia="zh-CN"/>
        </w:rPr>
        <w:t>1.6</w:t>
      </w:r>
      <w:r>
        <w:rPr>
          <w:rFonts w:hint="eastAsia" w:ascii="仿宋_GB2312" w:hAnsi="仿宋_GB2312" w:eastAsia="仿宋_GB2312" w:cs="仿宋_GB2312"/>
          <w:spacing w:val="0"/>
          <w:sz w:val="32"/>
          <w:szCs w:val="32"/>
          <w:highlight w:val="none"/>
        </w:rPr>
        <w:t>%</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此外，还通过微信公众号发布</w:t>
      </w:r>
      <w:r>
        <w:rPr>
          <w:rFonts w:hint="eastAsia" w:ascii="仿宋_GB2312" w:hAnsi="仿宋_GB2312" w:eastAsia="仿宋_GB2312" w:cs="仿宋_GB2312"/>
          <w:spacing w:val="0"/>
          <w:sz w:val="32"/>
          <w:szCs w:val="32"/>
          <w:highlight w:val="none"/>
          <w:lang w:val="en-US" w:eastAsia="zh-CN"/>
        </w:rPr>
        <w:t>各类信息370余</w:t>
      </w:r>
      <w:r>
        <w:rPr>
          <w:rFonts w:hint="eastAsia" w:ascii="仿宋_GB2312" w:hAnsi="仿宋_GB2312" w:eastAsia="仿宋_GB2312" w:cs="仿宋_GB2312"/>
          <w:spacing w:val="0"/>
          <w:sz w:val="32"/>
          <w:szCs w:val="32"/>
          <w:highlight w:val="none"/>
        </w:rPr>
        <w:t>条</w:t>
      </w:r>
      <w:r>
        <w:rPr>
          <w:rFonts w:hint="eastAsia" w:ascii="仿宋_GB2312" w:hAnsi="仿宋_GB2312" w:eastAsia="仿宋_GB2312" w:cs="仿宋_GB2312"/>
          <w:spacing w:val="0"/>
          <w:sz w:val="32"/>
          <w:szCs w:val="32"/>
          <w:highlight w:val="none"/>
          <w:lang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firstLine="0" w:firstLineChars="0"/>
        <w:jc w:val="both"/>
        <w:textAlignment w:val="auto"/>
        <w:rPr>
          <w:rFonts w:hint="eastAsia" w:ascii="仿宋_GB2312" w:hAnsi="仿宋_GB2312" w:eastAsia="仿宋_GB2312" w:cs="仿宋_GB2312"/>
          <w:b/>
          <w:bCs/>
          <w:spacing w:val="0"/>
          <w:sz w:val="32"/>
          <w:szCs w:val="32"/>
          <w:highlight w:val="none"/>
        </w:rPr>
      </w:pPr>
      <w:r>
        <w:drawing>
          <wp:inline distT="0" distB="0" distL="114300" distR="114300">
            <wp:extent cx="5396230" cy="3903345"/>
            <wp:effectExtent l="4445" t="4445" r="9525" b="16510"/>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600" w:lineRule="exact"/>
        <w:ind w:firstLine="642" w:firstLineChars="200"/>
        <w:jc w:val="both"/>
        <w:textAlignment w:val="auto"/>
        <w:rPr>
          <w:rFonts w:hint="default" w:ascii="仿宋_GB2312" w:eastAsia="仿宋_GB2312" w:cs="仿宋_GB2312" w:hAnsiTheme="minorHAnsi"/>
          <w:spacing w:val="0"/>
          <w:kern w:val="2"/>
          <w:sz w:val="32"/>
          <w:szCs w:val="28"/>
          <w:lang w:val="en-US" w:eastAsia="zh-CN" w:bidi="ar-SA"/>
        </w:rPr>
      </w:pPr>
      <w:r>
        <w:rPr>
          <w:rFonts w:hint="eastAsia" w:ascii="仿宋_GB2312" w:hAnsi="仿宋_GB2312" w:eastAsia="仿宋_GB2312" w:cs="仿宋_GB2312"/>
          <w:b/>
          <w:bCs/>
          <w:spacing w:val="0"/>
          <w:sz w:val="32"/>
          <w:szCs w:val="32"/>
          <w:highlight w:val="none"/>
        </w:rPr>
        <w:t>2.</w:t>
      </w:r>
      <w:r>
        <w:rPr>
          <w:rFonts w:hint="eastAsia" w:ascii="仿宋_GB2312" w:hAnsi="仿宋_GB2312" w:eastAsia="仿宋_GB2312" w:cs="仿宋_GB2312"/>
          <w:b/>
          <w:bCs/>
          <w:spacing w:val="0"/>
          <w:sz w:val="32"/>
          <w:szCs w:val="32"/>
          <w:highlight w:val="none"/>
          <w:lang w:val="en-US" w:eastAsia="zh-CN"/>
        </w:rPr>
        <w:t>依申请公开。</w:t>
      </w:r>
      <w:r>
        <w:rPr>
          <w:rFonts w:hint="eastAsia" w:ascii="仿宋_GB2312" w:eastAsia="仿宋_GB2312" w:cs="仿宋_GB2312"/>
          <w:spacing w:val="0"/>
          <w:kern w:val="2"/>
          <w:sz w:val="32"/>
          <w:szCs w:val="28"/>
          <w:lang w:val="en-US" w:eastAsia="zh-CN" w:bidi="ar-SA"/>
        </w:rPr>
        <w:t>2025年</w:t>
      </w:r>
      <w:r>
        <w:rPr>
          <w:rFonts w:hint="eastAsia" w:ascii="仿宋_GB2312" w:eastAsia="仿宋_GB2312" w:cs="仿宋_GB2312" w:hAnsiTheme="minorHAnsi"/>
          <w:spacing w:val="0"/>
          <w:kern w:val="2"/>
          <w:sz w:val="32"/>
          <w:szCs w:val="28"/>
          <w:lang w:val="en-US" w:eastAsia="zh-CN" w:bidi="ar-SA"/>
        </w:rPr>
        <w:t>，滕州市商务和投资促进局未收到和处理政府信息公开依申请事项。没有因政府信息公开产生的行政复议和行政诉讼。</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2" w:firstLineChars="200"/>
        <w:jc w:val="both"/>
        <w:textAlignment w:val="auto"/>
        <w:rPr>
          <w:rFonts w:hint="eastAsia" w:ascii="仿宋_GB2312" w:eastAsia="仿宋_GB2312" w:cs="仿宋_GB2312"/>
          <w:spacing w:val="0"/>
          <w:sz w:val="32"/>
          <w:szCs w:val="28"/>
        </w:rPr>
      </w:pPr>
      <w:r>
        <w:rPr>
          <w:rFonts w:hint="eastAsia" w:ascii="仿宋_GB2312" w:hAnsi="仿宋_GB2312" w:eastAsia="仿宋_GB2312" w:cs="仿宋_GB2312"/>
          <w:b/>
          <w:bCs/>
          <w:spacing w:val="0"/>
          <w:kern w:val="0"/>
          <w:sz w:val="32"/>
          <w:szCs w:val="32"/>
          <w:highlight w:val="none"/>
          <w:lang w:val="en-US" w:eastAsia="zh-CN" w:bidi="ar"/>
        </w:rPr>
        <w:t>3.政府信息管理。</w:t>
      </w:r>
      <w:r>
        <w:rPr>
          <w:rFonts w:hint="eastAsia" w:ascii="仿宋_GB2312" w:eastAsia="仿宋_GB2312" w:cs="仿宋_GB2312" w:hAnsiTheme="minorHAnsi"/>
          <w:spacing w:val="0"/>
          <w:kern w:val="2"/>
          <w:sz w:val="32"/>
          <w:szCs w:val="28"/>
          <w:lang w:val="en-US" w:eastAsia="zh-CN" w:bidi="ar-SA"/>
        </w:rPr>
        <w:t>滕州市商务和投资促进局</w:t>
      </w:r>
      <w:r>
        <w:rPr>
          <w:rFonts w:hint="eastAsia" w:ascii="仿宋_GB2312" w:eastAsia="仿宋_GB2312" w:cs="仿宋_GB2312"/>
          <w:spacing w:val="0"/>
          <w:sz w:val="32"/>
          <w:szCs w:val="28"/>
        </w:rPr>
        <w:t>主要领导为主要负责人，分管领导为分管负责人。各科室依据科室职能，积极主动收集、提报各自业务范围内应公开的政务信息，调研室负责本单位政务公开网站信息的更新与维护。形成“主要领导亲自抓、分管领导具体抓、机关科室合力抓、专人负责抓落实”的工作机制</w:t>
      </w:r>
      <w:r>
        <w:rPr>
          <w:rFonts w:hint="eastAsia" w:ascii="仿宋_GB2312" w:eastAsia="仿宋_GB2312" w:cs="仿宋_GB2312"/>
          <w:spacing w:val="0"/>
          <w:sz w:val="32"/>
          <w:szCs w:val="28"/>
          <w:lang w:eastAsia="zh-CN"/>
        </w:rPr>
        <w:t>。</w:t>
      </w:r>
      <w:r>
        <w:rPr>
          <w:rFonts w:hint="eastAsia" w:ascii="仿宋_GB2312" w:eastAsia="仿宋_GB2312" w:cs="仿宋_GB2312"/>
          <w:spacing w:val="0"/>
          <w:sz w:val="32"/>
          <w:szCs w:val="28"/>
        </w:rPr>
        <w:t>严格执行“谁公开、谁审查、谁负责”“先审查、后公开”“一事一审”等保密审查规定，对拟公开的政府信息，由承办单位提出具体意见，经信息公开操作人员审查后，报信息公开负责领导审批，从源头上落实了保密审查，确保了涉密信息不公开，使政府信息公开工作进一步朝规范化、制度化方向发展，逐步形成长效管理机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2" w:firstLineChars="200"/>
        <w:jc w:val="both"/>
        <w:textAlignment w:val="auto"/>
        <w:rPr>
          <w:rFonts w:eastAsia="仿宋_GB2312"/>
          <w:sz w:val="32"/>
          <w:szCs w:val="28"/>
        </w:rPr>
      </w:pPr>
      <w:r>
        <w:rPr>
          <w:rFonts w:hint="eastAsia" w:ascii="仿宋_GB2312" w:hAnsi="仿宋_GB2312" w:eastAsia="仿宋_GB2312" w:cs="仿宋_GB2312"/>
          <w:b/>
          <w:bCs/>
          <w:spacing w:val="0"/>
          <w:sz w:val="32"/>
          <w:szCs w:val="32"/>
          <w:highlight w:val="none"/>
        </w:rPr>
        <w:t>4.政府信息公开平台建设。</w:t>
      </w:r>
      <w:r>
        <w:rPr>
          <w:rFonts w:hint="eastAsia" w:ascii="仿宋_GB2312" w:eastAsia="仿宋_GB2312" w:cs="仿宋_GB2312"/>
          <w:spacing w:val="0"/>
          <w:sz w:val="32"/>
          <w:szCs w:val="28"/>
        </w:rPr>
        <w:t>按照上级对政府信息平台建设工作的要求，完善政府信息公开制度，明确政府信息公开专区，公开政府信息查阅范围、方式和流程。安排专人负责信息公开的编辑、审核与发布。</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2" w:firstLineChars="200"/>
        <w:jc w:val="both"/>
        <w:textAlignment w:val="auto"/>
        <w:rPr>
          <w:rFonts w:hint="default" w:ascii="仿宋_GB2312" w:eastAsia="仿宋_GB2312"/>
          <w:sz w:val="32"/>
          <w:szCs w:val="32"/>
        </w:rPr>
      </w:pPr>
      <w:r>
        <w:rPr>
          <w:rFonts w:hint="eastAsia" w:ascii="仿宋_GB2312" w:hAnsi="仿宋_GB2312" w:eastAsia="仿宋_GB2312" w:cs="仿宋_GB2312"/>
          <w:b/>
          <w:bCs/>
          <w:spacing w:val="0"/>
          <w:sz w:val="32"/>
          <w:szCs w:val="32"/>
          <w:highlight w:val="none"/>
        </w:rPr>
        <w:t>5.监督保障。</w:t>
      </w:r>
      <w:r>
        <w:rPr>
          <w:rFonts w:hint="eastAsia" w:ascii="仿宋_GB2312" w:eastAsia="仿宋_GB2312" w:cs="仿宋_GB2312"/>
          <w:spacing w:val="0"/>
          <w:sz w:val="32"/>
          <w:szCs w:val="28"/>
        </w:rPr>
        <w:t>按照滕州市政府办公室工作部署要求，滕州市商务和投资促进局积极做好相关政务公开保障工作。同时按照滕州市政务公开绩效考核指标体系和考核标准细则，参加</w:t>
      </w:r>
      <w:r>
        <w:rPr>
          <w:rFonts w:hint="eastAsia" w:ascii="仿宋_GB2312" w:eastAsia="仿宋_GB2312" w:cs="仿宋_GB2312"/>
          <w:spacing w:val="0"/>
          <w:sz w:val="32"/>
          <w:szCs w:val="28"/>
          <w:lang w:eastAsia="zh-CN"/>
        </w:rPr>
        <w:t>2025年</w:t>
      </w:r>
      <w:r>
        <w:rPr>
          <w:rFonts w:hint="eastAsia" w:ascii="仿宋_GB2312" w:eastAsia="仿宋_GB2312" w:cs="仿宋_GB2312"/>
          <w:spacing w:val="0"/>
          <w:sz w:val="32"/>
          <w:szCs w:val="28"/>
        </w:rPr>
        <w:t>滕州市政务公开考核工作。</w:t>
      </w:r>
      <w:r>
        <w:rPr>
          <w:rFonts w:hint="eastAsia" w:ascii="仿宋_GB2312" w:eastAsia="仿宋_GB2312" w:cs="仿宋_GB2312"/>
          <w:spacing w:val="0"/>
          <w:sz w:val="32"/>
          <w:szCs w:val="28"/>
          <w:lang w:eastAsia="zh-CN"/>
        </w:rPr>
        <w:t>2025年</w:t>
      </w:r>
      <w:r>
        <w:rPr>
          <w:rFonts w:hint="eastAsia" w:ascii="仿宋_GB2312" w:eastAsia="仿宋_GB2312" w:cs="仿宋_GB2312"/>
          <w:spacing w:val="0"/>
          <w:sz w:val="32"/>
          <w:szCs w:val="28"/>
        </w:rPr>
        <w:t>，</w:t>
      </w:r>
      <w:r>
        <w:rPr>
          <w:rFonts w:hint="eastAsia" w:ascii="仿宋_GB2312" w:eastAsia="仿宋_GB2312" w:cs="仿宋_GB2312"/>
          <w:spacing w:val="0"/>
          <w:sz w:val="32"/>
          <w:szCs w:val="28"/>
          <w:lang w:val="en-US" w:eastAsia="zh-CN"/>
        </w:rPr>
        <w:t>本单位</w:t>
      </w:r>
      <w:r>
        <w:rPr>
          <w:rFonts w:hint="eastAsia" w:ascii="仿宋_GB2312" w:eastAsia="仿宋_GB2312" w:cs="仿宋_GB2312"/>
          <w:spacing w:val="0"/>
          <w:sz w:val="32"/>
          <w:szCs w:val="28"/>
        </w:rPr>
        <w:t>未发生因信息公开审查不当或保密审查机构未履行保密审查职责而引起的失泄密情况。</w:t>
      </w:r>
      <w:r>
        <w:rPr>
          <w:rFonts w:hint="eastAsia" w:ascii="仿宋_GB2312" w:eastAsia="仿宋_GB2312" w:cs="仿宋_GB2312"/>
          <w:spacing w:val="0"/>
          <w:sz w:val="32"/>
          <w:szCs w:val="28"/>
          <w:lang w:eastAsia="zh-CN"/>
        </w:rPr>
        <w:t>2025年</w:t>
      </w:r>
      <w:r>
        <w:rPr>
          <w:rFonts w:hint="eastAsia" w:ascii="仿宋_GB2312" w:eastAsia="仿宋_GB2312" w:cs="仿宋_GB2312"/>
          <w:spacing w:val="0"/>
          <w:sz w:val="32"/>
          <w:szCs w:val="28"/>
        </w:rPr>
        <w:t>度未进行社会评议，未发生责任追究情况。</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600" w:lineRule="exact"/>
        <w:ind w:left="0" w:firstLine="640" w:firstLineChars="200"/>
        <w:jc w:val="both"/>
        <w:textAlignment w:val="auto"/>
        <w:rPr>
          <w:rFonts w:ascii="黑体" w:hAnsi="宋体" w:eastAsia="黑体" w:cs="黑体"/>
          <w:sz w:val="32"/>
          <w:szCs w:val="32"/>
        </w:rPr>
      </w:pPr>
      <w:r>
        <w:rPr>
          <w:rFonts w:hint="eastAsia" w:ascii="黑体" w:hAnsi="宋体" w:eastAsia="黑体" w:cs="黑体"/>
          <w:sz w:val="32"/>
          <w:szCs w:val="32"/>
        </w:rPr>
        <w:t> 二、主动公开政府信息情况</w:t>
      </w:r>
    </w:p>
    <w:tbl>
      <w:tblPr>
        <w:tblStyle w:val="6"/>
        <w:tblW w:w="5000" w:type="pct"/>
        <w:tblInd w:w="0" w:type="dxa"/>
        <w:tblLayout w:type="autofit"/>
        <w:tblCellMar>
          <w:top w:w="0" w:type="dxa"/>
          <w:left w:w="108" w:type="dxa"/>
          <w:bottom w:w="0" w:type="dxa"/>
          <w:right w:w="108" w:type="dxa"/>
        </w:tblCellMar>
      </w:tblPr>
      <w:tblGrid>
        <w:gridCol w:w="2012"/>
        <w:gridCol w:w="2027"/>
        <w:gridCol w:w="2027"/>
        <w:gridCol w:w="2654"/>
      </w:tblGrid>
      <w:tr>
        <w:tblPrEx>
          <w:tblCellMar>
            <w:top w:w="0" w:type="dxa"/>
            <w:left w:w="108" w:type="dxa"/>
            <w:bottom w:w="0" w:type="dxa"/>
            <w:right w:w="108" w:type="dxa"/>
          </w:tblCellMar>
        </w:tblPrEx>
        <w:trPr>
          <w:trHeight w:val="312" w:hRule="atLeast"/>
        </w:trPr>
        <w:tc>
          <w:tcPr>
            <w:tcW w:w="8720"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wordWrap w:val="0"/>
              <w:spacing w:line="360" w:lineRule="atLeast"/>
              <w:jc w:val="center"/>
              <w:rPr>
                <w:rFonts w:ascii="黑体" w:hAnsi="黑体" w:eastAsia="黑体" w:cs="宋体"/>
                <w:color w:val="000000"/>
                <w:kern w:val="0"/>
                <w:szCs w:val="21"/>
              </w:rPr>
            </w:pPr>
            <w:r>
              <w:rPr>
                <w:rFonts w:hint="eastAsia" w:ascii="黑体" w:hAnsi="黑体" w:eastAsia="黑体" w:cs="宋体"/>
                <w:color w:val="000000"/>
                <w:kern w:val="0"/>
                <w:sz w:val="24"/>
                <w:szCs w:val="24"/>
              </w:rPr>
              <w:t>第二十条第（一）项</w:t>
            </w:r>
          </w:p>
        </w:tc>
      </w:tr>
      <w:tr>
        <w:tblPrEx>
          <w:tblCellMar>
            <w:top w:w="0" w:type="dxa"/>
            <w:left w:w="108" w:type="dxa"/>
            <w:bottom w:w="0" w:type="dxa"/>
            <w:right w:w="108" w:type="dxa"/>
          </w:tblCellMar>
        </w:tblPrEx>
        <w:trPr>
          <w:trHeight w:val="312" w:hRule="atLeast"/>
        </w:trPr>
        <w:tc>
          <w:tcPr>
            <w:tcW w:w="2012" w:type="dxa"/>
            <w:tcBorders>
              <w:top w:val="nil"/>
              <w:left w:val="single" w:color="auto" w:sz="8" w:space="0"/>
              <w:bottom w:val="single" w:color="auto" w:sz="8" w:space="0"/>
              <w:right w:val="single" w:color="auto" w:sz="8" w:space="0"/>
            </w:tcBorders>
            <w:noWrap w:val="0"/>
            <w:vAlign w:val="center"/>
          </w:tcPr>
          <w:p>
            <w:pPr>
              <w:widowControl/>
              <w:wordWrap w:val="0"/>
              <w:spacing w:line="360" w:lineRule="atLeast"/>
              <w:jc w:val="center"/>
              <w:rPr>
                <w:rFonts w:ascii="仿宋_GB2312" w:hAnsi="宋体" w:eastAsia="仿宋_GB2312" w:cs="宋体"/>
                <w:color w:val="000000"/>
                <w:kern w:val="0"/>
                <w:szCs w:val="21"/>
              </w:rPr>
            </w:pPr>
            <w:r>
              <w:rPr>
                <w:rFonts w:hint="eastAsia" w:ascii="仿宋_GB2312" w:hAnsi="宋体" w:eastAsia="仿宋_GB2312" w:cs="宋体"/>
                <w:color w:val="000000"/>
                <w:kern w:val="0"/>
                <w:sz w:val="24"/>
                <w:szCs w:val="24"/>
              </w:rPr>
              <w:t>信息内容</w:t>
            </w:r>
          </w:p>
        </w:tc>
        <w:tc>
          <w:tcPr>
            <w:tcW w:w="2027" w:type="dxa"/>
            <w:tcBorders>
              <w:top w:val="nil"/>
              <w:left w:val="nil"/>
              <w:bottom w:val="single" w:color="auto" w:sz="8" w:space="0"/>
              <w:right w:val="single" w:color="auto" w:sz="8" w:space="0"/>
            </w:tcBorders>
            <w:noWrap w:val="0"/>
            <w:vAlign w:val="center"/>
          </w:tcPr>
          <w:p>
            <w:pPr>
              <w:widowControl/>
              <w:wordWrap w:val="0"/>
              <w:spacing w:line="360" w:lineRule="atLeast"/>
              <w:jc w:val="center"/>
              <w:rPr>
                <w:rFonts w:ascii="仿宋_GB2312" w:hAnsi="宋体" w:eastAsia="仿宋_GB2312" w:cs="宋体"/>
                <w:color w:val="000000"/>
                <w:kern w:val="0"/>
                <w:szCs w:val="21"/>
              </w:rPr>
            </w:pPr>
            <w:r>
              <w:rPr>
                <w:rFonts w:hint="eastAsia" w:ascii="仿宋_GB2312" w:hAnsi="宋体" w:eastAsia="仿宋_GB2312" w:cs="宋体"/>
                <w:color w:val="000000"/>
                <w:kern w:val="0"/>
                <w:sz w:val="24"/>
                <w:szCs w:val="24"/>
              </w:rPr>
              <w:t>本年制发件数</w:t>
            </w:r>
          </w:p>
        </w:tc>
        <w:tc>
          <w:tcPr>
            <w:tcW w:w="2027" w:type="dxa"/>
            <w:tcBorders>
              <w:top w:val="nil"/>
              <w:left w:val="nil"/>
              <w:bottom w:val="single" w:color="auto" w:sz="8" w:space="0"/>
              <w:right w:val="single" w:color="auto" w:sz="8" w:space="0"/>
            </w:tcBorders>
            <w:noWrap w:val="0"/>
            <w:vAlign w:val="center"/>
          </w:tcPr>
          <w:p>
            <w:pPr>
              <w:widowControl/>
              <w:wordWrap w:val="0"/>
              <w:spacing w:line="360" w:lineRule="atLeast"/>
              <w:jc w:val="center"/>
              <w:rPr>
                <w:rFonts w:ascii="仿宋_GB2312" w:hAnsi="宋体" w:eastAsia="仿宋_GB2312" w:cs="宋体"/>
                <w:color w:val="000000"/>
                <w:kern w:val="0"/>
                <w:szCs w:val="21"/>
              </w:rPr>
            </w:pPr>
            <w:r>
              <w:rPr>
                <w:rFonts w:hint="eastAsia" w:ascii="仿宋_GB2312" w:hAnsi="宋体" w:eastAsia="仿宋_GB2312" w:cs="宋体"/>
                <w:color w:val="000000"/>
                <w:kern w:val="0"/>
                <w:sz w:val="24"/>
                <w:szCs w:val="24"/>
              </w:rPr>
              <w:t>本年废止件数</w:t>
            </w:r>
          </w:p>
        </w:tc>
        <w:tc>
          <w:tcPr>
            <w:tcW w:w="2654" w:type="dxa"/>
            <w:tcBorders>
              <w:top w:val="nil"/>
              <w:left w:val="nil"/>
              <w:bottom w:val="single" w:color="auto" w:sz="8" w:space="0"/>
              <w:right w:val="single" w:color="auto" w:sz="8" w:space="0"/>
            </w:tcBorders>
            <w:noWrap w:val="0"/>
            <w:vAlign w:val="center"/>
          </w:tcPr>
          <w:p>
            <w:pPr>
              <w:widowControl/>
              <w:wordWrap w:val="0"/>
              <w:spacing w:line="360" w:lineRule="atLeast"/>
              <w:jc w:val="center"/>
              <w:rPr>
                <w:rFonts w:ascii="仿宋_GB2312" w:hAnsi="宋体" w:eastAsia="仿宋_GB2312" w:cs="宋体"/>
                <w:color w:val="000000"/>
                <w:kern w:val="0"/>
                <w:szCs w:val="21"/>
              </w:rPr>
            </w:pPr>
            <w:r>
              <w:rPr>
                <w:rFonts w:hint="eastAsia" w:ascii="仿宋_GB2312" w:hAnsi="宋体" w:eastAsia="仿宋_GB2312" w:cs="宋体"/>
                <w:color w:val="000000"/>
                <w:kern w:val="0"/>
                <w:sz w:val="24"/>
                <w:szCs w:val="24"/>
              </w:rPr>
              <w:t>现行有效件数</w:t>
            </w:r>
          </w:p>
        </w:tc>
      </w:tr>
      <w:tr>
        <w:tblPrEx>
          <w:tblCellMar>
            <w:top w:w="0" w:type="dxa"/>
            <w:left w:w="108" w:type="dxa"/>
            <w:bottom w:w="0" w:type="dxa"/>
            <w:right w:w="108" w:type="dxa"/>
          </w:tblCellMar>
        </w:tblPrEx>
        <w:trPr>
          <w:trHeight w:val="312" w:hRule="atLeast"/>
        </w:trPr>
        <w:tc>
          <w:tcPr>
            <w:tcW w:w="2012" w:type="dxa"/>
            <w:tcBorders>
              <w:top w:val="nil"/>
              <w:left w:val="single" w:color="auto" w:sz="8" w:space="0"/>
              <w:bottom w:val="single" w:color="auto" w:sz="8" w:space="0"/>
              <w:right w:val="single" w:color="auto" w:sz="8" w:space="0"/>
            </w:tcBorders>
            <w:noWrap w:val="0"/>
            <w:vAlign w:val="center"/>
          </w:tcPr>
          <w:p>
            <w:pPr>
              <w:widowControl/>
              <w:wordWrap w:val="0"/>
              <w:spacing w:line="360" w:lineRule="atLeast"/>
              <w:jc w:val="center"/>
              <w:rPr>
                <w:rFonts w:ascii="仿宋_GB2312" w:hAnsi="宋体" w:eastAsia="仿宋_GB2312" w:cs="宋体"/>
                <w:color w:val="000000"/>
                <w:kern w:val="0"/>
                <w:szCs w:val="21"/>
              </w:rPr>
            </w:pPr>
            <w:r>
              <w:rPr>
                <w:rFonts w:hint="eastAsia" w:ascii="仿宋_GB2312" w:hAnsi="宋体" w:eastAsia="仿宋_GB2312" w:cs="宋体"/>
                <w:color w:val="000000"/>
                <w:kern w:val="0"/>
                <w:sz w:val="24"/>
                <w:szCs w:val="24"/>
              </w:rPr>
              <w:t>规章</w:t>
            </w:r>
          </w:p>
        </w:tc>
        <w:tc>
          <w:tcPr>
            <w:tcW w:w="2027" w:type="dxa"/>
            <w:tcBorders>
              <w:top w:val="nil"/>
              <w:left w:val="nil"/>
              <w:bottom w:val="single" w:color="auto" w:sz="8" w:space="0"/>
              <w:right w:val="single" w:color="auto" w:sz="8" w:space="0"/>
            </w:tcBorders>
            <w:noWrap w:val="0"/>
            <w:vAlign w:val="center"/>
          </w:tcPr>
          <w:p>
            <w:pPr>
              <w:widowControl/>
              <w:wordWrap w:val="0"/>
              <w:spacing w:line="360" w:lineRule="atLeast"/>
              <w:jc w:val="center"/>
              <w:rPr>
                <w:rFonts w:hint="eastAsia" w:ascii="仿宋_GB2312" w:hAnsi="宋体" w:eastAsia="仿宋_GB2312" w:cs="宋体"/>
                <w:color w:val="auto"/>
                <w:kern w:val="0"/>
                <w:szCs w:val="21"/>
                <w:lang w:eastAsia="zh-CN"/>
              </w:rPr>
            </w:pPr>
            <w:r>
              <w:rPr>
                <w:rFonts w:hint="eastAsia" w:ascii="仿宋" w:hAnsi="仿宋" w:eastAsia="仿宋" w:cs="宋体"/>
                <w:kern w:val="0"/>
                <w:sz w:val="24"/>
                <w:szCs w:val="24"/>
              </w:rPr>
              <w:t>0</w:t>
            </w:r>
          </w:p>
        </w:tc>
        <w:tc>
          <w:tcPr>
            <w:tcW w:w="2027" w:type="dxa"/>
            <w:tcBorders>
              <w:top w:val="nil"/>
              <w:left w:val="nil"/>
              <w:bottom w:val="single" w:color="auto" w:sz="8" w:space="0"/>
              <w:right w:val="single" w:color="auto" w:sz="8" w:space="0"/>
            </w:tcBorders>
            <w:noWrap w:val="0"/>
            <w:vAlign w:val="center"/>
          </w:tcPr>
          <w:p>
            <w:pPr>
              <w:widowControl/>
              <w:wordWrap w:val="0"/>
              <w:spacing w:line="360" w:lineRule="atLeast"/>
              <w:jc w:val="center"/>
              <w:rPr>
                <w:rFonts w:ascii="仿宋_GB2312" w:hAnsi="宋体" w:eastAsia="仿宋_GB2312" w:cs="宋体"/>
                <w:color w:val="auto"/>
                <w:kern w:val="0"/>
                <w:szCs w:val="21"/>
              </w:rPr>
            </w:pPr>
            <w:r>
              <w:rPr>
                <w:rFonts w:hint="eastAsia" w:ascii="仿宋" w:hAnsi="仿宋" w:eastAsia="仿宋" w:cs="宋体"/>
                <w:kern w:val="0"/>
                <w:sz w:val="24"/>
                <w:szCs w:val="24"/>
              </w:rPr>
              <w:t>0</w:t>
            </w:r>
          </w:p>
        </w:tc>
        <w:tc>
          <w:tcPr>
            <w:tcW w:w="2654" w:type="dxa"/>
            <w:tcBorders>
              <w:top w:val="nil"/>
              <w:left w:val="nil"/>
              <w:bottom w:val="single" w:color="auto" w:sz="8" w:space="0"/>
              <w:right w:val="single" w:color="auto" w:sz="8" w:space="0"/>
            </w:tcBorders>
            <w:noWrap w:val="0"/>
            <w:vAlign w:val="center"/>
          </w:tcPr>
          <w:p>
            <w:pPr>
              <w:widowControl/>
              <w:wordWrap w:val="0"/>
              <w:spacing w:line="360" w:lineRule="atLeast"/>
              <w:jc w:val="center"/>
              <w:rPr>
                <w:rFonts w:ascii="仿宋_GB2312" w:hAnsi="Calibri" w:eastAsia="仿宋_GB2312" w:cs="Calibri"/>
                <w:color w:val="auto"/>
                <w:kern w:val="0"/>
                <w:szCs w:val="21"/>
              </w:rPr>
            </w:pPr>
            <w:r>
              <w:rPr>
                <w:rFonts w:hint="eastAsia" w:ascii="仿宋" w:hAnsi="仿宋" w:eastAsia="仿宋" w:cs="宋体"/>
                <w:kern w:val="0"/>
                <w:sz w:val="24"/>
                <w:szCs w:val="24"/>
              </w:rPr>
              <w:t>0</w:t>
            </w:r>
          </w:p>
        </w:tc>
      </w:tr>
      <w:tr>
        <w:tblPrEx>
          <w:tblCellMar>
            <w:top w:w="0" w:type="dxa"/>
            <w:left w:w="108" w:type="dxa"/>
            <w:bottom w:w="0" w:type="dxa"/>
            <w:right w:w="108" w:type="dxa"/>
          </w:tblCellMar>
        </w:tblPrEx>
        <w:trPr>
          <w:trHeight w:val="312" w:hRule="atLeast"/>
        </w:trPr>
        <w:tc>
          <w:tcPr>
            <w:tcW w:w="2012" w:type="dxa"/>
            <w:tcBorders>
              <w:top w:val="nil"/>
              <w:left w:val="single" w:color="auto" w:sz="8" w:space="0"/>
              <w:bottom w:val="single" w:color="auto" w:sz="8" w:space="0"/>
              <w:right w:val="single" w:color="auto" w:sz="8" w:space="0"/>
            </w:tcBorders>
            <w:noWrap w:val="0"/>
            <w:vAlign w:val="center"/>
          </w:tcPr>
          <w:p>
            <w:pPr>
              <w:widowControl/>
              <w:wordWrap w:val="0"/>
              <w:spacing w:line="360" w:lineRule="atLeast"/>
              <w:jc w:val="center"/>
              <w:rPr>
                <w:rFonts w:ascii="仿宋_GB2312" w:hAnsi="宋体" w:eastAsia="仿宋_GB2312" w:cs="宋体"/>
                <w:color w:val="000000"/>
                <w:kern w:val="0"/>
                <w:szCs w:val="21"/>
              </w:rPr>
            </w:pPr>
            <w:r>
              <w:rPr>
                <w:rFonts w:hint="eastAsia" w:ascii="仿宋_GB2312" w:hAnsi="宋体" w:eastAsia="仿宋_GB2312" w:cs="宋体"/>
                <w:color w:val="000000"/>
                <w:kern w:val="0"/>
                <w:sz w:val="24"/>
                <w:szCs w:val="24"/>
              </w:rPr>
              <w:t>行政规范性文件</w:t>
            </w:r>
          </w:p>
        </w:tc>
        <w:tc>
          <w:tcPr>
            <w:tcW w:w="2027" w:type="dxa"/>
            <w:tcBorders>
              <w:top w:val="nil"/>
              <w:left w:val="nil"/>
              <w:bottom w:val="single" w:color="auto" w:sz="8" w:space="0"/>
              <w:right w:val="single" w:color="auto" w:sz="8" w:space="0"/>
            </w:tcBorders>
            <w:noWrap w:val="0"/>
            <w:vAlign w:val="center"/>
          </w:tcPr>
          <w:p>
            <w:pPr>
              <w:widowControl/>
              <w:wordWrap w:val="0"/>
              <w:spacing w:line="360" w:lineRule="atLeast"/>
              <w:jc w:val="center"/>
              <w:rPr>
                <w:rFonts w:hint="eastAsia" w:ascii="仿宋_GB2312" w:hAnsi="宋体" w:eastAsia="仿宋_GB2312" w:cs="宋体"/>
                <w:color w:val="auto"/>
                <w:kern w:val="0"/>
                <w:szCs w:val="21"/>
                <w:lang w:eastAsia="zh-CN"/>
              </w:rPr>
            </w:pPr>
            <w:r>
              <w:rPr>
                <w:rFonts w:hint="eastAsia" w:ascii="仿宋" w:hAnsi="仿宋" w:eastAsia="仿宋" w:cs="宋体"/>
                <w:kern w:val="0"/>
                <w:sz w:val="24"/>
                <w:szCs w:val="24"/>
              </w:rPr>
              <w:t>0</w:t>
            </w:r>
          </w:p>
        </w:tc>
        <w:tc>
          <w:tcPr>
            <w:tcW w:w="2027" w:type="dxa"/>
            <w:tcBorders>
              <w:top w:val="nil"/>
              <w:left w:val="nil"/>
              <w:bottom w:val="single" w:color="auto" w:sz="8" w:space="0"/>
              <w:right w:val="single" w:color="auto" w:sz="8" w:space="0"/>
            </w:tcBorders>
            <w:noWrap w:val="0"/>
            <w:vAlign w:val="center"/>
          </w:tcPr>
          <w:p>
            <w:pPr>
              <w:widowControl/>
              <w:wordWrap w:val="0"/>
              <w:spacing w:line="360" w:lineRule="atLeast"/>
              <w:jc w:val="center"/>
              <w:rPr>
                <w:rFonts w:hint="eastAsia" w:ascii="仿宋_GB2312" w:hAnsi="宋体" w:eastAsia="仿宋_GB2312" w:cs="宋体"/>
                <w:color w:val="auto"/>
                <w:kern w:val="0"/>
                <w:szCs w:val="21"/>
                <w:lang w:eastAsia="zh-CN"/>
              </w:rPr>
            </w:pPr>
            <w:r>
              <w:rPr>
                <w:rFonts w:hint="eastAsia" w:ascii="仿宋" w:hAnsi="仿宋" w:eastAsia="仿宋" w:cs="宋体"/>
                <w:kern w:val="0"/>
                <w:sz w:val="24"/>
                <w:szCs w:val="24"/>
              </w:rPr>
              <w:t>0</w:t>
            </w:r>
          </w:p>
        </w:tc>
        <w:tc>
          <w:tcPr>
            <w:tcW w:w="2654" w:type="dxa"/>
            <w:tcBorders>
              <w:top w:val="nil"/>
              <w:left w:val="nil"/>
              <w:bottom w:val="single" w:color="auto" w:sz="8" w:space="0"/>
              <w:right w:val="single" w:color="auto" w:sz="8" w:space="0"/>
            </w:tcBorders>
            <w:noWrap w:val="0"/>
            <w:vAlign w:val="center"/>
          </w:tcPr>
          <w:p>
            <w:pPr>
              <w:widowControl/>
              <w:wordWrap w:val="0"/>
              <w:spacing w:line="360" w:lineRule="atLeast"/>
              <w:jc w:val="center"/>
              <w:rPr>
                <w:rFonts w:hint="eastAsia" w:ascii="仿宋_GB2312" w:hAnsi="宋体" w:eastAsia="仿宋_GB2312" w:cs="宋体"/>
                <w:color w:val="auto"/>
                <w:kern w:val="0"/>
                <w:szCs w:val="21"/>
                <w:lang w:eastAsia="zh-CN"/>
              </w:rPr>
            </w:pPr>
            <w:r>
              <w:rPr>
                <w:rFonts w:hint="eastAsia" w:ascii="仿宋" w:hAnsi="仿宋" w:eastAsia="仿宋" w:cs="宋体"/>
                <w:kern w:val="0"/>
                <w:sz w:val="24"/>
                <w:szCs w:val="24"/>
              </w:rPr>
              <w:t>0</w:t>
            </w:r>
          </w:p>
        </w:tc>
      </w:tr>
      <w:tr>
        <w:tblPrEx>
          <w:tblCellMar>
            <w:top w:w="0" w:type="dxa"/>
            <w:left w:w="108" w:type="dxa"/>
            <w:bottom w:w="0" w:type="dxa"/>
            <w:right w:w="108" w:type="dxa"/>
          </w:tblCellMar>
        </w:tblPrEx>
        <w:trPr>
          <w:trHeight w:val="312" w:hRule="atLeast"/>
        </w:trPr>
        <w:tc>
          <w:tcPr>
            <w:tcW w:w="8720"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wordWrap w:val="0"/>
              <w:spacing w:line="360" w:lineRule="atLeast"/>
              <w:jc w:val="center"/>
              <w:rPr>
                <w:rFonts w:ascii="黑体" w:hAnsi="黑体" w:eastAsia="黑体" w:cs="宋体"/>
                <w:color w:val="000000"/>
                <w:kern w:val="0"/>
                <w:szCs w:val="21"/>
              </w:rPr>
            </w:pPr>
            <w:r>
              <w:rPr>
                <w:rFonts w:hint="eastAsia" w:ascii="黑体" w:hAnsi="黑体" w:eastAsia="黑体" w:cs="宋体"/>
                <w:color w:val="000000"/>
                <w:kern w:val="0"/>
                <w:sz w:val="24"/>
                <w:szCs w:val="24"/>
              </w:rPr>
              <w:t>第二十条第（五）项</w:t>
            </w:r>
          </w:p>
        </w:tc>
      </w:tr>
      <w:tr>
        <w:tblPrEx>
          <w:tblCellMar>
            <w:top w:w="0" w:type="dxa"/>
            <w:left w:w="108" w:type="dxa"/>
            <w:bottom w:w="0" w:type="dxa"/>
            <w:right w:w="108" w:type="dxa"/>
          </w:tblCellMar>
        </w:tblPrEx>
        <w:trPr>
          <w:trHeight w:val="312" w:hRule="atLeast"/>
        </w:trPr>
        <w:tc>
          <w:tcPr>
            <w:tcW w:w="2012" w:type="dxa"/>
            <w:tcBorders>
              <w:top w:val="nil"/>
              <w:left w:val="single" w:color="auto" w:sz="8" w:space="0"/>
              <w:bottom w:val="single" w:color="auto" w:sz="8" w:space="0"/>
              <w:right w:val="single" w:color="auto" w:sz="8" w:space="0"/>
            </w:tcBorders>
            <w:noWrap w:val="0"/>
            <w:vAlign w:val="center"/>
          </w:tcPr>
          <w:p>
            <w:pPr>
              <w:widowControl/>
              <w:wordWrap w:val="0"/>
              <w:spacing w:line="360" w:lineRule="atLeast"/>
              <w:jc w:val="center"/>
              <w:rPr>
                <w:rFonts w:ascii="仿宋_GB2312" w:hAnsi="宋体" w:eastAsia="仿宋_GB2312" w:cs="宋体"/>
                <w:color w:val="000000"/>
                <w:kern w:val="0"/>
                <w:szCs w:val="21"/>
              </w:rPr>
            </w:pPr>
            <w:r>
              <w:rPr>
                <w:rFonts w:hint="eastAsia" w:ascii="仿宋_GB2312" w:hAnsi="宋体" w:eastAsia="仿宋_GB2312" w:cs="宋体"/>
                <w:color w:val="000000"/>
                <w:kern w:val="0"/>
                <w:sz w:val="24"/>
                <w:szCs w:val="24"/>
              </w:rPr>
              <w:t>信息内容</w:t>
            </w:r>
          </w:p>
        </w:tc>
        <w:tc>
          <w:tcPr>
            <w:tcW w:w="6708" w:type="dxa"/>
            <w:gridSpan w:val="3"/>
            <w:tcBorders>
              <w:top w:val="single" w:color="auto" w:sz="8" w:space="0"/>
              <w:left w:val="nil"/>
              <w:bottom w:val="single" w:color="auto" w:sz="8" w:space="0"/>
              <w:right w:val="single" w:color="000000" w:sz="8" w:space="0"/>
            </w:tcBorders>
            <w:noWrap w:val="0"/>
            <w:vAlign w:val="center"/>
          </w:tcPr>
          <w:p>
            <w:pPr>
              <w:widowControl/>
              <w:wordWrap w:val="0"/>
              <w:spacing w:line="360" w:lineRule="atLeast"/>
              <w:jc w:val="center"/>
              <w:rPr>
                <w:rFonts w:ascii="仿宋_GB2312" w:hAnsi="宋体" w:eastAsia="仿宋_GB2312" w:cs="宋体"/>
                <w:color w:val="000000"/>
                <w:kern w:val="0"/>
                <w:szCs w:val="21"/>
              </w:rPr>
            </w:pPr>
            <w:r>
              <w:rPr>
                <w:rFonts w:hint="eastAsia" w:ascii="仿宋_GB2312" w:hAnsi="宋体" w:eastAsia="仿宋_GB2312" w:cs="宋体"/>
                <w:color w:val="000000"/>
                <w:kern w:val="0"/>
                <w:sz w:val="24"/>
                <w:szCs w:val="24"/>
              </w:rPr>
              <w:t>本年处理决定数量</w:t>
            </w:r>
          </w:p>
        </w:tc>
      </w:tr>
      <w:tr>
        <w:tblPrEx>
          <w:tblCellMar>
            <w:top w:w="0" w:type="dxa"/>
            <w:left w:w="108" w:type="dxa"/>
            <w:bottom w:w="0" w:type="dxa"/>
            <w:right w:w="108" w:type="dxa"/>
          </w:tblCellMar>
        </w:tblPrEx>
        <w:trPr>
          <w:trHeight w:val="312" w:hRule="atLeast"/>
        </w:trPr>
        <w:tc>
          <w:tcPr>
            <w:tcW w:w="2012" w:type="dxa"/>
            <w:tcBorders>
              <w:top w:val="nil"/>
              <w:left w:val="single" w:color="auto" w:sz="8" w:space="0"/>
              <w:bottom w:val="single" w:color="auto" w:sz="8" w:space="0"/>
              <w:right w:val="single" w:color="auto" w:sz="8" w:space="0"/>
            </w:tcBorders>
            <w:noWrap w:val="0"/>
            <w:vAlign w:val="center"/>
          </w:tcPr>
          <w:p>
            <w:pPr>
              <w:widowControl/>
              <w:wordWrap w:val="0"/>
              <w:spacing w:line="360" w:lineRule="atLeast"/>
              <w:jc w:val="center"/>
              <w:rPr>
                <w:rFonts w:ascii="仿宋_GB2312" w:hAnsi="宋体" w:eastAsia="仿宋_GB2312" w:cs="宋体"/>
                <w:color w:val="000000"/>
                <w:kern w:val="0"/>
                <w:szCs w:val="21"/>
              </w:rPr>
            </w:pPr>
            <w:r>
              <w:rPr>
                <w:rFonts w:hint="eastAsia" w:ascii="仿宋_GB2312" w:hAnsi="宋体" w:eastAsia="仿宋_GB2312" w:cs="宋体"/>
                <w:color w:val="000000"/>
                <w:kern w:val="0"/>
                <w:sz w:val="24"/>
                <w:szCs w:val="24"/>
              </w:rPr>
              <w:t>行政许可</w:t>
            </w:r>
          </w:p>
        </w:tc>
        <w:tc>
          <w:tcPr>
            <w:tcW w:w="6708" w:type="dxa"/>
            <w:gridSpan w:val="3"/>
            <w:tcBorders>
              <w:top w:val="single" w:color="auto" w:sz="8" w:space="0"/>
              <w:left w:val="nil"/>
              <w:bottom w:val="single" w:color="auto" w:sz="8" w:space="0"/>
              <w:right w:val="single" w:color="000000" w:sz="8" w:space="0"/>
            </w:tcBorders>
            <w:noWrap w:val="0"/>
            <w:vAlign w:val="center"/>
          </w:tcPr>
          <w:p>
            <w:pPr>
              <w:widowControl/>
              <w:wordWrap w:val="0"/>
              <w:spacing w:line="360" w:lineRule="atLeast"/>
              <w:jc w:val="center"/>
              <w:rPr>
                <w:rFonts w:hint="eastAsia" w:ascii="仿宋_GB2312" w:hAnsi="Calibri" w:eastAsia="仿宋_GB2312" w:cs="Calibri"/>
                <w:color w:val="auto"/>
                <w:kern w:val="0"/>
                <w:szCs w:val="21"/>
                <w:lang w:val="en-US" w:eastAsia="zh-CN"/>
              </w:rPr>
            </w:pPr>
            <w:r>
              <w:rPr>
                <w:rFonts w:hint="eastAsia" w:ascii="仿宋" w:hAnsi="仿宋" w:eastAsia="仿宋" w:cs="宋体"/>
                <w:kern w:val="0"/>
                <w:sz w:val="24"/>
                <w:szCs w:val="24"/>
              </w:rPr>
              <w:t>0</w:t>
            </w:r>
          </w:p>
        </w:tc>
      </w:tr>
      <w:tr>
        <w:tblPrEx>
          <w:tblCellMar>
            <w:top w:w="0" w:type="dxa"/>
            <w:left w:w="108" w:type="dxa"/>
            <w:bottom w:w="0" w:type="dxa"/>
            <w:right w:w="108" w:type="dxa"/>
          </w:tblCellMar>
        </w:tblPrEx>
        <w:trPr>
          <w:trHeight w:val="312" w:hRule="atLeast"/>
        </w:trPr>
        <w:tc>
          <w:tcPr>
            <w:tcW w:w="8720"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wordWrap w:val="0"/>
              <w:spacing w:line="360" w:lineRule="atLeast"/>
              <w:jc w:val="center"/>
              <w:rPr>
                <w:rFonts w:ascii="黑体" w:hAnsi="黑体" w:eastAsia="黑体" w:cs="宋体"/>
                <w:color w:val="000000"/>
                <w:kern w:val="0"/>
                <w:szCs w:val="21"/>
              </w:rPr>
            </w:pPr>
            <w:r>
              <w:rPr>
                <w:rFonts w:hint="eastAsia" w:ascii="黑体" w:hAnsi="黑体" w:eastAsia="黑体" w:cs="宋体"/>
                <w:color w:val="000000"/>
                <w:kern w:val="0"/>
                <w:sz w:val="24"/>
                <w:szCs w:val="24"/>
              </w:rPr>
              <w:t>第二十条第（六）项</w:t>
            </w:r>
          </w:p>
        </w:tc>
      </w:tr>
      <w:tr>
        <w:tblPrEx>
          <w:tblCellMar>
            <w:top w:w="0" w:type="dxa"/>
            <w:left w:w="108" w:type="dxa"/>
            <w:bottom w:w="0" w:type="dxa"/>
            <w:right w:w="108" w:type="dxa"/>
          </w:tblCellMar>
        </w:tblPrEx>
        <w:trPr>
          <w:trHeight w:val="312" w:hRule="atLeast"/>
        </w:trPr>
        <w:tc>
          <w:tcPr>
            <w:tcW w:w="2012" w:type="dxa"/>
            <w:tcBorders>
              <w:top w:val="nil"/>
              <w:left w:val="single" w:color="auto" w:sz="8" w:space="0"/>
              <w:bottom w:val="single" w:color="auto" w:sz="8" w:space="0"/>
              <w:right w:val="single" w:color="auto" w:sz="8" w:space="0"/>
            </w:tcBorders>
            <w:noWrap w:val="0"/>
            <w:vAlign w:val="center"/>
          </w:tcPr>
          <w:p>
            <w:pPr>
              <w:widowControl/>
              <w:wordWrap w:val="0"/>
              <w:spacing w:line="360" w:lineRule="atLeast"/>
              <w:jc w:val="center"/>
              <w:rPr>
                <w:rFonts w:ascii="仿宋_GB2312" w:hAnsi="宋体" w:eastAsia="仿宋_GB2312" w:cs="宋体"/>
                <w:color w:val="000000"/>
                <w:kern w:val="0"/>
                <w:szCs w:val="21"/>
              </w:rPr>
            </w:pPr>
            <w:r>
              <w:rPr>
                <w:rFonts w:hint="eastAsia" w:ascii="仿宋_GB2312" w:hAnsi="宋体" w:eastAsia="仿宋_GB2312" w:cs="宋体"/>
                <w:color w:val="000000"/>
                <w:kern w:val="0"/>
                <w:sz w:val="24"/>
                <w:szCs w:val="24"/>
              </w:rPr>
              <w:t>信息内容</w:t>
            </w:r>
          </w:p>
        </w:tc>
        <w:tc>
          <w:tcPr>
            <w:tcW w:w="6708" w:type="dxa"/>
            <w:gridSpan w:val="3"/>
            <w:tcBorders>
              <w:top w:val="single" w:color="auto" w:sz="8" w:space="0"/>
              <w:left w:val="nil"/>
              <w:bottom w:val="single" w:color="auto" w:sz="8" w:space="0"/>
              <w:right w:val="single" w:color="000000" w:sz="8" w:space="0"/>
            </w:tcBorders>
            <w:noWrap w:val="0"/>
            <w:vAlign w:val="center"/>
          </w:tcPr>
          <w:p>
            <w:pPr>
              <w:widowControl/>
              <w:wordWrap w:val="0"/>
              <w:spacing w:line="360" w:lineRule="atLeast"/>
              <w:jc w:val="center"/>
              <w:rPr>
                <w:rFonts w:ascii="仿宋_GB2312" w:hAnsi="宋体" w:eastAsia="仿宋_GB2312" w:cs="宋体"/>
                <w:color w:val="000000"/>
                <w:kern w:val="0"/>
                <w:szCs w:val="21"/>
              </w:rPr>
            </w:pPr>
            <w:r>
              <w:rPr>
                <w:rFonts w:hint="eastAsia" w:ascii="仿宋_GB2312" w:hAnsi="宋体" w:eastAsia="仿宋_GB2312" w:cs="宋体"/>
                <w:color w:val="000000"/>
                <w:kern w:val="0"/>
                <w:sz w:val="24"/>
                <w:szCs w:val="24"/>
              </w:rPr>
              <w:t>本年处理决定数量</w:t>
            </w:r>
          </w:p>
        </w:tc>
      </w:tr>
      <w:tr>
        <w:tblPrEx>
          <w:tblCellMar>
            <w:top w:w="0" w:type="dxa"/>
            <w:left w:w="108" w:type="dxa"/>
            <w:bottom w:w="0" w:type="dxa"/>
            <w:right w:w="108" w:type="dxa"/>
          </w:tblCellMar>
        </w:tblPrEx>
        <w:trPr>
          <w:trHeight w:val="312" w:hRule="atLeast"/>
        </w:trPr>
        <w:tc>
          <w:tcPr>
            <w:tcW w:w="2012" w:type="dxa"/>
            <w:tcBorders>
              <w:top w:val="nil"/>
              <w:left w:val="single" w:color="auto" w:sz="8" w:space="0"/>
              <w:bottom w:val="single" w:color="auto" w:sz="8" w:space="0"/>
              <w:right w:val="single" w:color="auto" w:sz="8" w:space="0"/>
            </w:tcBorders>
            <w:noWrap w:val="0"/>
            <w:vAlign w:val="center"/>
          </w:tcPr>
          <w:p>
            <w:pPr>
              <w:widowControl/>
              <w:wordWrap w:val="0"/>
              <w:spacing w:line="360" w:lineRule="atLeast"/>
              <w:jc w:val="center"/>
              <w:rPr>
                <w:rFonts w:ascii="仿宋_GB2312" w:hAnsi="宋体" w:eastAsia="仿宋_GB2312" w:cs="宋体"/>
                <w:color w:val="000000"/>
                <w:kern w:val="0"/>
                <w:szCs w:val="21"/>
              </w:rPr>
            </w:pPr>
            <w:r>
              <w:rPr>
                <w:rFonts w:hint="eastAsia" w:ascii="仿宋_GB2312" w:hAnsi="宋体" w:eastAsia="仿宋_GB2312" w:cs="宋体"/>
                <w:color w:val="000000"/>
                <w:kern w:val="0"/>
                <w:sz w:val="24"/>
                <w:szCs w:val="24"/>
              </w:rPr>
              <w:t>行政处罚</w:t>
            </w:r>
          </w:p>
        </w:tc>
        <w:tc>
          <w:tcPr>
            <w:tcW w:w="6708" w:type="dxa"/>
            <w:gridSpan w:val="3"/>
            <w:tcBorders>
              <w:top w:val="single" w:color="auto" w:sz="8" w:space="0"/>
              <w:left w:val="nil"/>
              <w:bottom w:val="single" w:color="auto" w:sz="8" w:space="0"/>
              <w:right w:val="single" w:color="000000" w:sz="8" w:space="0"/>
            </w:tcBorders>
            <w:noWrap w:val="0"/>
            <w:vAlign w:val="center"/>
          </w:tcPr>
          <w:p>
            <w:pPr>
              <w:widowControl/>
              <w:wordWrap w:val="0"/>
              <w:spacing w:line="360" w:lineRule="atLeast"/>
              <w:jc w:val="center"/>
              <w:rPr>
                <w:rFonts w:hint="eastAsia" w:ascii="仿宋_GB2312" w:hAnsi="Calibri" w:eastAsia="仿宋_GB2312" w:cs="Calibri"/>
                <w:color w:val="auto"/>
                <w:kern w:val="0"/>
                <w:szCs w:val="21"/>
                <w:lang w:eastAsia="zh-CN"/>
              </w:rPr>
            </w:pPr>
            <w:r>
              <w:rPr>
                <w:rFonts w:hint="eastAsia" w:ascii="仿宋" w:hAnsi="仿宋" w:eastAsia="仿宋" w:cs="宋体"/>
                <w:kern w:val="0"/>
                <w:sz w:val="24"/>
                <w:szCs w:val="24"/>
              </w:rPr>
              <w:t>0</w:t>
            </w:r>
          </w:p>
        </w:tc>
      </w:tr>
      <w:tr>
        <w:tblPrEx>
          <w:tblCellMar>
            <w:top w:w="0" w:type="dxa"/>
            <w:left w:w="108" w:type="dxa"/>
            <w:bottom w:w="0" w:type="dxa"/>
            <w:right w:w="108" w:type="dxa"/>
          </w:tblCellMar>
        </w:tblPrEx>
        <w:trPr>
          <w:trHeight w:val="312" w:hRule="atLeast"/>
        </w:trPr>
        <w:tc>
          <w:tcPr>
            <w:tcW w:w="2012" w:type="dxa"/>
            <w:tcBorders>
              <w:top w:val="nil"/>
              <w:left w:val="single" w:color="auto" w:sz="8" w:space="0"/>
              <w:bottom w:val="single" w:color="auto" w:sz="8" w:space="0"/>
              <w:right w:val="single" w:color="auto" w:sz="8" w:space="0"/>
            </w:tcBorders>
            <w:noWrap w:val="0"/>
            <w:vAlign w:val="center"/>
          </w:tcPr>
          <w:p>
            <w:pPr>
              <w:widowControl/>
              <w:wordWrap w:val="0"/>
              <w:spacing w:line="360" w:lineRule="atLeast"/>
              <w:jc w:val="center"/>
              <w:rPr>
                <w:rFonts w:ascii="仿宋_GB2312" w:hAnsi="宋体" w:eastAsia="仿宋_GB2312" w:cs="宋体"/>
                <w:color w:val="000000"/>
                <w:kern w:val="0"/>
                <w:szCs w:val="21"/>
              </w:rPr>
            </w:pPr>
            <w:r>
              <w:rPr>
                <w:rFonts w:hint="eastAsia" w:ascii="仿宋_GB2312" w:hAnsi="宋体" w:eastAsia="仿宋_GB2312" w:cs="宋体"/>
                <w:color w:val="000000"/>
                <w:kern w:val="0"/>
                <w:sz w:val="24"/>
                <w:szCs w:val="24"/>
              </w:rPr>
              <w:t>行政强制</w:t>
            </w:r>
          </w:p>
        </w:tc>
        <w:tc>
          <w:tcPr>
            <w:tcW w:w="6708" w:type="dxa"/>
            <w:gridSpan w:val="3"/>
            <w:tcBorders>
              <w:top w:val="single" w:color="auto" w:sz="8" w:space="0"/>
              <w:left w:val="nil"/>
              <w:bottom w:val="single" w:color="auto" w:sz="8" w:space="0"/>
              <w:right w:val="single" w:color="000000" w:sz="8" w:space="0"/>
            </w:tcBorders>
            <w:noWrap w:val="0"/>
            <w:vAlign w:val="center"/>
          </w:tcPr>
          <w:p>
            <w:pPr>
              <w:widowControl/>
              <w:wordWrap w:val="0"/>
              <w:spacing w:line="360" w:lineRule="atLeast"/>
              <w:jc w:val="center"/>
              <w:rPr>
                <w:rFonts w:hint="default" w:ascii="仿宋_GB2312" w:hAnsi="Calibri" w:eastAsia="仿宋_GB2312" w:cs="Calibri"/>
                <w:color w:val="auto"/>
                <w:kern w:val="0"/>
                <w:szCs w:val="21"/>
                <w:lang w:val="en-US" w:eastAsia="zh-CN"/>
              </w:rPr>
            </w:pPr>
            <w:r>
              <w:rPr>
                <w:rFonts w:hint="eastAsia" w:ascii="仿宋" w:hAnsi="仿宋" w:eastAsia="仿宋" w:cs="宋体"/>
                <w:kern w:val="0"/>
                <w:sz w:val="24"/>
                <w:szCs w:val="24"/>
              </w:rPr>
              <w:t>0</w:t>
            </w:r>
          </w:p>
        </w:tc>
      </w:tr>
      <w:tr>
        <w:tblPrEx>
          <w:tblCellMar>
            <w:top w:w="0" w:type="dxa"/>
            <w:left w:w="108" w:type="dxa"/>
            <w:bottom w:w="0" w:type="dxa"/>
            <w:right w:w="108" w:type="dxa"/>
          </w:tblCellMar>
        </w:tblPrEx>
        <w:trPr>
          <w:trHeight w:val="312" w:hRule="atLeast"/>
        </w:trPr>
        <w:tc>
          <w:tcPr>
            <w:tcW w:w="8720"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wordWrap w:val="0"/>
              <w:spacing w:line="360" w:lineRule="atLeast"/>
              <w:jc w:val="center"/>
              <w:rPr>
                <w:rFonts w:ascii="黑体" w:hAnsi="黑体" w:eastAsia="黑体" w:cs="宋体"/>
                <w:color w:val="000000"/>
                <w:kern w:val="0"/>
                <w:szCs w:val="21"/>
              </w:rPr>
            </w:pPr>
            <w:r>
              <w:rPr>
                <w:rFonts w:hint="eastAsia" w:ascii="黑体" w:hAnsi="黑体" w:eastAsia="黑体" w:cs="宋体"/>
                <w:color w:val="000000"/>
                <w:kern w:val="0"/>
                <w:sz w:val="24"/>
                <w:szCs w:val="24"/>
              </w:rPr>
              <w:t>第二十条第（八）项</w:t>
            </w:r>
          </w:p>
        </w:tc>
      </w:tr>
      <w:tr>
        <w:tblPrEx>
          <w:tblCellMar>
            <w:top w:w="0" w:type="dxa"/>
            <w:left w:w="108" w:type="dxa"/>
            <w:bottom w:w="0" w:type="dxa"/>
            <w:right w:w="108" w:type="dxa"/>
          </w:tblCellMar>
        </w:tblPrEx>
        <w:trPr>
          <w:trHeight w:val="312" w:hRule="atLeast"/>
        </w:trPr>
        <w:tc>
          <w:tcPr>
            <w:tcW w:w="2012" w:type="dxa"/>
            <w:tcBorders>
              <w:top w:val="nil"/>
              <w:left w:val="single" w:color="auto" w:sz="8" w:space="0"/>
              <w:bottom w:val="single" w:color="auto" w:sz="8" w:space="0"/>
              <w:right w:val="single" w:color="auto" w:sz="8" w:space="0"/>
            </w:tcBorders>
            <w:noWrap w:val="0"/>
            <w:vAlign w:val="center"/>
          </w:tcPr>
          <w:p>
            <w:pPr>
              <w:widowControl/>
              <w:wordWrap w:val="0"/>
              <w:spacing w:line="360" w:lineRule="atLeast"/>
              <w:jc w:val="center"/>
              <w:rPr>
                <w:rFonts w:ascii="仿宋_GB2312" w:hAnsi="宋体" w:eastAsia="仿宋_GB2312" w:cs="宋体"/>
                <w:color w:val="000000"/>
                <w:kern w:val="0"/>
                <w:szCs w:val="21"/>
              </w:rPr>
            </w:pPr>
            <w:r>
              <w:rPr>
                <w:rFonts w:hint="eastAsia" w:ascii="仿宋_GB2312" w:hAnsi="宋体" w:eastAsia="仿宋_GB2312" w:cs="宋体"/>
                <w:color w:val="000000"/>
                <w:kern w:val="0"/>
                <w:sz w:val="24"/>
                <w:szCs w:val="24"/>
              </w:rPr>
              <w:t>信息内容</w:t>
            </w:r>
          </w:p>
        </w:tc>
        <w:tc>
          <w:tcPr>
            <w:tcW w:w="6708" w:type="dxa"/>
            <w:gridSpan w:val="3"/>
            <w:tcBorders>
              <w:top w:val="single" w:color="auto" w:sz="8" w:space="0"/>
              <w:left w:val="nil"/>
              <w:bottom w:val="single" w:color="auto" w:sz="8" w:space="0"/>
              <w:right w:val="single" w:color="000000" w:sz="8" w:space="0"/>
            </w:tcBorders>
            <w:noWrap w:val="0"/>
            <w:vAlign w:val="center"/>
          </w:tcPr>
          <w:p>
            <w:pPr>
              <w:widowControl/>
              <w:wordWrap w:val="0"/>
              <w:spacing w:line="360" w:lineRule="atLeast"/>
              <w:jc w:val="center"/>
              <w:rPr>
                <w:rFonts w:ascii="仿宋_GB2312" w:hAnsi="宋体" w:eastAsia="仿宋_GB2312" w:cs="宋体"/>
                <w:color w:val="000000"/>
                <w:kern w:val="0"/>
                <w:szCs w:val="21"/>
              </w:rPr>
            </w:pPr>
            <w:r>
              <w:rPr>
                <w:rFonts w:hint="eastAsia" w:ascii="仿宋_GB2312" w:hAnsi="宋体" w:eastAsia="仿宋_GB2312" w:cs="宋体"/>
                <w:color w:val="000000"/>
                <w:kern w:val="0"/>
                <w:sz w:val="24"/>
                <w:szCs w:val="24"/>
              </w:rPr>
              <w:t>本年收费金额（单位：万元）</w:t>
            </w:r>
          </w:p>
        </w:tc>
      </w:tr>
      <w:tr>
        <w:tblPrEx>
          <w:tblCellMar>
            <w:top w:w="0" w:type="dxa"/>
            <w:left w:w="108" w:type="dxa"/>
            <w:bottom w:w="0" w:type="dxa"/>
            <w:right w:w="108" w:type="dxa"/>
          </w:tblCellMar>
        </w:tblPrEx>
        <w:trPr>
          <w:trHeight w:val="312" w:hRule="atLeast"/>
        </w:trPr>
        <w:tc>
          <w:tcPr>
            <w:tcW w:w="2012" w:type="dxa"/>
            <w:tcBorders>
              <w:top w:val="nil"/>
              <w:left w:val="single" w:color="auto" w:sz="8" w:space="0"/>
              <w:bottom w:val="single" w:color="auto" w:sz="8" w:space="0"/>
              <w:right w:val="single" w:color="auto" w:sz="8" w:space="0"/>
            </w:tcBorders>
            <w:noWrap w:val="0"/>
            <w:vAlign w:val="center"/>
          </w:tcPr>
          <w:p>
            <w:pPr>
              <w:widowControl/>
              <w:wordWrap w:val="0"/>
              <w:spacing w:line="360" w:lineRule="atLeast"/>
              <w:jc w:val="center"/>
              <w:rPr>
                <w:rFonts w:ascii="仿宋_GB2312" w:hAnsi="宋体" w:eastAsia="仿宋_GB2312" w:cs="宋体"/>
                <w:color w:val="000000"/>
                <w:kern w:val="0"/>
                <w:szCs w:val="21"/>
              </w:rPr>
            </w:pPr>
            <w:r>
              <w:rPr>
                <w:rFonts w:hint="eastAsia" w:ascii="仿宋_GB2312" w:hAnsi="宋体" w:eastAsia="仿宋_GB2312" w:cs="宋体"/>
                <w:color w:val="000000"/>
                <w:kern w:val="0"/>
                <w:sz w:val="24"/>
                <w:szCs w:val="24"/>
              </w:rPr>
              <w:t>行政事业性收费</w:t>
            </w:r>
          </w:p>
        </w:tc>
        <w:tc>
          <w:tcPr>
            <w:tcW w:w="6708" w:type="dxa"/>
            <w:gridSpan w:val="3"/>
            <w:tcBorders>
              <w:top w:val="single" w:color="auto" w:sz="8" w:space="0"/>
              <w:left w:val="nil"/>
              <w:bottom w:val="single" w:color="auto" w:sz="8" w:space="0"/>
              <w:right w:val="single" w:color="000000" w:sz="8" w:space="0"/>
            </w:tcBorders>
            <w:noWrap w:val="0"/>
            <w:vAlign w:val="center"/>
          </w:tcPr>
          <w:p>
            <w:pPr>
              <w:widowControl/>
              <w:wordWrap w:val="0"/>
              <w:spacing w:line="360" w:lineRule="atLeast"/>
              <w:jc w:val="center"/>
              <w:rPr>
                <w:rFonts w:hint="eastAsia" w:ascii="仿宋_GB2312" w:hAnsi="Calibri" w:eastAsia="仿宋_GB2312" w:cs="Calibri"/>
                <w:color w:val="000000"/>
                <w:kern w:val="0"/>
                <w:szCs w:val="21"/>
                <w:lang w:eastAsia="zh-CN"/>
              </w:rPr>
            </w:pPr>
            <w:r>
              <w:rPr>
                <w:rFonts w:hint="eastAsia" w:ascii="仿宋" w:hAnsi="仿宋" w:eastAsia="仿宋" w:cs="宋体"/>
                <w:kern w:val="0"/>
                <w:sz w:val="24"/>
                <w:szCs w:val="24"/>
              </w:rPr>
              <w:t>0</w:t>
            </w:r>
          </w:p>
        </w:tc>
      </w:tr>
    </w:tbl>
    <w:p>
      <w:pPr>
        <w:pStyle w:val="5"/>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0" w:afterAutospacing="0" w:line="600" w:lineRule="exact"/>
        <w:ind w:left="0" w:firstLine="640" w:firstLineChars="200"/>
        <w:jc w:val="both"/>
        <w:textAlignment w:val="auto"/>
        <w:rPr>
          <w:rFonts w:hint="eastAsia" w:ascii="黑体" w:hAnsi="宋体" w:eastAsia="黑体" w:cs="黑体"/>
          <w:sz w:val="32"/>
          <w:szCs w:val="32"/>
        </w:rPr>
      </w:pPr>
      <w:r>
        <w:rPr>
          <w:rFonts w:hint="eastAsia" w:ascii="黑体" w:hAnsi="宋体" w:eastAsia="黑体" w:cs="黑体"/>
          <w:sz w:val="32"/>
          <w:szCs w:val="32"/>
        </w:rPr>
        <w:t>收到和处理政府信息公开申请情况</w:t>
      </w:r>
    </w:p>
    <w:tbl>
      <w:tblPr>
        <w:tblStyle w:val="6"/>
        <w:tblW w:w="9525"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75" w:type="dxa"/>
          <w:left w:w="150" w:type="dxa"/>
          <w:bottom w:w="75" w:type="dxa"/>
          <w:right w:w="150" w:type="dxa"/>
        </w:tblCellMar>
      </w:tblPr>
      <w:tblGrid>
        <w:gridCol w:w="710"/>
        <w:gridCol w:w="1609"/>
        <w:gridCol w:w="2909"/>
        <w:gridCol w:w="611"/>
        <w:gridCol w:w="497"/>
        <w:gridCol w:w="497"/>
        <w:gridCol w:w="663"/>
        <w:gridCol w:w="622"/>
        <w:gridCol w:w="595"/>
        <w:gridCol w:w="812"/>
      </w:tblGrid>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5228" w:type="dxa"/>
            <w:gridSpan w:val="3"/>
            <w:vMerge w:val="restart"/>
            <w:tcBorders>
              <w:top w:val="single" w:color="000000" w:sz="8" w:space="0"/>
              <w:left w:val="single" w:color="000000" w:sz="8"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方正楷体_GB2312" w:hAnsi="宋体" w:eastAsia="方正楷体_GB2312" w:cs="宋体"/>
                <w:kern w:val="0"/>
                <w:sz w:val="24"/>
                <w:szCs w:val="24"/>
              </w:rPr>
              <w:t>（本列数据的勾稽关系为：第一项加第二项之和，</w:t>
            </w:r>
          </w:p>
          <w:p>
            <w:pPr>
              <w:widowControl/>
              <w:wordWrap w:val="0"/>
              <w:spacing w:line="360" w:lineRule="atLeast"/>
              <w:jc w:val="both"/>
              <w:rPr>
                <w:rFonts w:ascii="宋体" w:hAnsi="宋体" w:eastAsia="宋体" w:cs="宋体"/>
                <w:kern w:val="0"/>
                <w:sz w:val="24"/>
                <w:szCs w:val="24"/>
              </w:rPr>
            </w:pPr>
            <w:r>
              <w:rPr>
                <w:rFonts w:hint="eastAsia" w:ascii="方正楷体_GB2312" w:hAnsi="宋体" w:eastAsia="方正楷体_GB2312" w:cs="宋体"/>
                <w:kern w:val="0"/>
                <w:sz w:val="24"/>
                <w:szCs w:val="24"/>
              </w:rPr>
              <w:t>等于第三项加第四项之和）</w:t>
            </w:r>
          </w:p>
        </w:tc>
        <w:tc>
          <w:tcPr>
            <w:tcW w:w="4297" w:type="dxa"/>
            <w:gridSpan w:val="7"/>
            <w:tcBorders>
              <w:top w:val="single" w:color="000000" w:sz="8" w:space="0"/>
              <w:left w:val="single" w:color="000000" w:sz="6" w:space="0"/>
              <w:bottom w:val="single" w:color="000000" w:sz="6" w:space="0"/>
              <w:right w:val="single" w:color="000000" w:sz="8"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黑体" w:hAnsi="黑体" w:eastAsia="黑体" w:cs="宋体"/>
                <w:kern w:val="0"/>
                <w:sz w:val="24"/>
                <w:szCs w:val="24"/>
              </w:rPr>
              <w:t>申请人情况</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475" w:hRule="atLeast"/>
          <w:jc w:val="center"/>
        </w:trPr>
        <w:tc>
          <w:tcPr>
            <w:tcW w:w="5228" w:type="dxa"/>
            <w:gridSpan w:val="3"/>
            <w:vMerge w:val="continue"/>
            <w:tcBorders>
              <w:top w:val="single" w:color="000000" w:sz="8" w:space="0"/>
              <w:left w:val="single" w:color="000000" w:sz="8"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611" w:type="dxa"/>
            <w:vMerge w:val="restart"/>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黑体" w:hAnsi="黑体" w:eastAsia="黑体" w:cs="宋体"/>
                <w:kern w:val="0"/>
                <w:sz w:val="24"/>
                <w:szCs w:val="24"/>
              </w:rPr>
              <w:t>自然人</w:t>
            </w:r>
          </w:p>
        </w:tc>
        <w:tc>
          <w:tcPr>
            <w:tcW w:w="2874" w:type="dxa"/>
            <w:gridSpan w:val="5"/>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黑体" w:hAnsi="黑体" w:eastAsia="黑体" w:cs="宋体"/>
                <w:kern w:val="0"/>
                <w:sz w:val="24"/>
                <w:szCs w:val="24"/>
              </w:rPr>
              <w:t>法人或其他组织</w:t>
            </w:r>
          </w:p>
        </w:tc>
        <w:tc>
          <w:tcPr>
            <w:tcW w:w="812" w:type="dxa"/>
            <w:vMerge w:val="restart"/>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黑体" w:hAnsi="黑体" w:eastAsia="黑体" w:cs="宋体"/>
                <w:kern w:val="0"/>
                <w:sz w:val="24"/>
                <w:szCs w:val="24"/>
              </w:rPr>
              <w:t>总计</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1570" w:hRule="atLeast"/>
          <w:jc w:val="center"/>
        </w:trPr>
        <w:tc>
          <w:tcPr>
            <w:tcW w:w="5228" w:type="dxa"/>
            <w:gridSpan w:val="3"/>
            <w:vMerge w:val="continue"/>
            <w:tcBorders>
              <w:top w:val="single" w:color="000000" w:sz="8" w:space="0"/>
              <w:left w:val="single" w:color="000000" w:sz="8"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611"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ind w:left="-101" w:right="-101"/>
              <w:jc w:val="both"/>
              <w:rPr>
                <w:rFonts w:ascii="宋体" w:hAnsi="宋体" w:eastAsia="宋体" w:cs="宋体"/>
                <w:kern w:val="0"/>
                <w:sz w:val="24"/>
                <w:szCs w:val="24"/>
              </w:rPr>
            </w:pPr>
            <w:r>
              <w:rPr>
                <w:rFonts w:hint="eastAsia" w:ascii="黑体" w:hAnsi="黑体" w:eastAsia="黑体" w:cs="宋体"/>
                <w:kern w:val="0"/>
                <w:sz w:val="24"/>
                <w:szCs w:val="24"/>
              </w:rPr>
              <w:t>商业企业</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ind w:left="-101" w:right="-101"/>
              <w:jc w:val="both"/>
              <w:rPr>
                <w:rFonts w:ascii="宋体" w:hAnsi="宋体" w:eastAsia="宋体" w:cs="宋体"/>
                <w:kern w:val="0"/>
                <w:sz w:val="24"/>
                <w:szCs w:val="24"/>
              </w:rPr>
            </w:pPr>
            <w:r>
              <w:rPr>
                <w:rFonts w:hint="eastAsia" w:ascii="黑体" w:hAnsi="黑体" w:eastAsia="黑体" w:cs="宋体"/>
                <w:kern w:val="0"/>
                <w:sz w:val="24"/>
                <w:szCs w:val="24"/>
              </w:rPr>
              <w:t>科研机构</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ind w:left="-101" w:right="-101"/>
              <w:jc w:val="both"/>
              <w:rPr>
                <w:rFonts w:ascii="宋体" w:hAnsi="宋体" w:eastAsia="宋体" w:cs="宋体"/>
                <w:kern w:val="0"/>
                <w:sz w:val="24"/>
                <w:szCs w:val="24"/>
              </w:rPr>
            </w:pPr>
            <w:r>
              <w:rPr>
                <w:rFonts w:hint="eastAsia" w:ascii="黑体" w:hAnsi="黑体" w:eastAsia="黑体" w:cs="宋体"/>
                <w:kern w:val="0"/>
                <w:sz w:val="24"/>
                <w:szCs w:val="24"/>
              </w:rPr>
              <w:t>社会公益组织</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ind w:left="-101" w:right="-101"/>
              <w:jc w:val="both"/>
              <w:rPr>
                <w:rFonts w:ascii="宋体" w:hAnsi="宋体" w:eastAsia="宋体" w:cs="宋体"/>
                <w:kern w:val="0"/>
                <w:sz w:val="24"/>
                <w:szCs w:val="24"/>
              </w:rPr>
            </w:pPr>
            <w:r>
              <w:rPr>
                <w:rFonts w:hint="eastAsia" w:ascii="黑体" w:hAnsi="黑体" w:eastAsia="黑体" w:cs="宋体"/>
                <w:kern w:val="0"/>
                <w:sz w:val="24"/>
                <w:szCs w:val="24"/>
              </w:rPr>
              <w:t>法律服务机构</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ind w:left="-58" w:right="-130"/>
              <w:jc w:val="both"/>
              <w:rPr>
                <w:rFonts w:ascii="宋体" w:hAnsi="宋体" w:eastAsia="宋体" w:cs="宋体"/>
                <w:kern w:val="0"/>
                <w:sz w:val="24"/>
                <w:szCs w:val="24"/>
              </w:rPr>
            </w:pPr>
            <w:r>
              <w:rPr>
                <w:rFonts w:hint="eastAsia" w:ascii="黑体" w:hAnsi="黑体" w:eastAsia="黑体" w:cs="宋体"/>
                <w:kern w:val="0"/>
                <w:sz w:val="24"/>
                <w:szCs w:val="24"/>
              </w:rPr>
              <w:t>其他</w:t>
            </w:r>
          </w:p>
        </w:tc>
        <w:tc>
          <w:tcPr>
            <w:tcW w:w="812" w:type="dxa"/>
            <w:vMerge w:val="continue"/>
            <w:tcBorders>
              <w:top w:val="single" w:color="000000" w:sz="6" w:space="0"/>
              <w:left w:val="single" w:color="000000" w:sz="6" w:space="0"/>
              <w:bottom w:val="single" w:color="000000" w:sz="6" w:space="0"/>
              <w:right w:val="single" w:color="000000" w:sz="8" w:space="0"/>
            </w:tcBorders>
            <w:vAlign w:val="center"/>
          </w:tcPr>
          <w:p>
            <w:pPr>
              <w:widowControl/>
              <w:jc w:val="both"/>
              <w:rPr>
                <w:rFonts w:ascii="宋体" w:hAnsi="宋体" w:eastAsia="宋体" w:cs="宋体"/>
                <w:kern w:val="0"/>
                <w:sz w:val="24"/>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5228" w:type="dxa"/>
            <w:gridSpan w:val="3"/>
            <w:tcBorders>
              <w:top w:val="single" w:color="000000" w:sz="6" w:space="0"/>
              <w:left w:val="single" w:color="000000" w:sz="8"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bookmarkStart w:id="0" w:name="_Hlk66973412"/>
            <w:bookmarkEnd w:id="0"/>
            <w:r>
              <w:rPr>
                <w:rFonts w:hint="eastAsia" w:ascii="黑体" w:hAnsi="黑体" w:eastAsia="黑体" w:cs="宋体"/>
                <w:kern w:val="0"/>
                <w:sz w:val="24"/>
                <w:szCs w:val="24"/>
              </w:rPr>
              <w:t>一、本年新收政府信息公开申请数量</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pPr>
              <w:widowControl/>
              <w:wordWrap w:val="0"/>
              <w:spacing w:line="360" w:lineRule="atLeast"/>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5228" w:type="dxa"/>
            <w:gridSpan w:val="3"/>
            <w:tcBorders>
              <w:top w:val="single" w:color="000000" w:sz="6" w:space="0"/>
              <w:left w:val="single" w:color="000000" w:sz="8"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黑体" w:hAnsi="黑体" w:eastAsia="黑体" w:cs="宋体"/>
                <w:kern w:val="0"/>
                <w:sz w:val="24"/>
                <w:szCs w:val="24"/>
              </w:rPr>
              <w:t>二、上年结转政府信息公开申请数量</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27" w:hRule="atLeast"/>
          <w:jc w:val="center"/>
        </w:trPr>
        <w:tc>
          <w:tcPr>
            <w:tcW w:w="710" w:type="dxa"/>
            <w:vMerge w:val="restart"/>
            <w:tcBorders>
              <w:top w:val="single" w:color="000000" w:sz="6" w:space="0"/>
              <w:left w:val="single" w:color="000000" w:sz="8"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黑体" w:hAnsi="黑体" w:eastAsia="黑体" w:cs="宋体"/>
                <w:kern w:val="0"/>
                <w:sz w:val="24"/>
                <w:szCs w:val="24"/>
              </w:rPr>
              <w:t>三、本年度办理结果</w:t>
            </w:r>
          </w:p>
        </w:tc>
        <w:tc>
          <w:tcPr>
            <w:tcW w:w="4518" w:type="dxa"/>
            <w:gridSpan w:val="2"/>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黑体" w:hAnsi="黑体" w:eastAsia="黑体" w:cs="宋体"/>
                <w:kern w:val="0"/>
                <w:sz w:val="24"/>
                <w:szCs w:val="24"/>
              </w:rPr>
              <w:t>（一）予以公开</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pPr>
              <w:widowControl/>
              <w:wordWrap w:val="0"/>
              <w:spacing w:line="360" w:lineRule="atLeast"/>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4518" w:type="dxa"/>
            <w:gridSpan w:val="2"/>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bookmarkStart w:id="1" w:name="_Hlk66973981"/>
            <w:bookmarkEnd w:id="1"/>
            <w:r>
              <w:rPr>
                <w:rFonts w:hint="eastAsia" w:ascii="黑体" w:hAnsi="黑体" w:eastAsia="黑体" w:cs="宋体"/>
                <w:kern w:val="0"/>
                <w:sz w:val="24"/>
                <w:szCs w:val="24"/>
              </w:rPr>
              <w:t>（二）部分公开（区分处理的，只计这一情形，不计其他情形）</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1609" w:type="dxa"/>
            <w:vMerge w:val="restart"/>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ind w:left="-101"/>
              <w:jc w:val="both"/>
              <w:rPr>
                <w:rFonts w:ascii="宋体" w:hAnsi="宋体" w:eastAsia="宋体" w:cs="宋体"/>
                <w:kern w:val="0"/>
                <w:sz w:val="24"/>
                <w:szCs w:val="24"/>
              </w:rPr>
            </w:pPr>
            <w:r>
              <w:rPr>
                <w:rFonts w:hint="eastAsia" w:ascii="黑体" w:hAnsi="黑体" w:eastAsia="黑体" w:cs="宋体"/>
                <w:kern w:val="0"/>
                <w:sz w:val="24"/>
                <w:szCs w:val="24"/>
              </w:rPr>
              <w:t>（三）不予公开</w:t>
            </w: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1.属于国家秘密</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bookmarkStart w:id="2" w:name="_Hlk66974104"/>
            <w:bookmarkEnd w:id="2"/>
            <w:r>
              <w:rPr>
                <w:rFonts w:hint="eastAsia" w:ascii="仿宋_GB2312" w:hAnsi="宋体" w:eastAsia="仿宋_GB2312" w:cs="宋体"/>
                <w:kern w:val="0"/>
                <w:sz w:val="24"/>
                <w:szCs w:val="24"/>
              </w:rPr>
              <w:t>2.其他法律行政法规禁止公开</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3.危及“三安全一稳定”</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bookmarkStart w:id="3" w:name="_Hlk66974290"/>
            <w:bookmarkEnd w:id="3"/>
            <w:r>
              <w:rPr>
                <w:rFonts w:hint="eastAsia" w:ascii="仿宋_GB2312" w:hAnsi="宋体" w:eastAsia="仿宋_GB2312" w:cs="宋体"/>
                <w:kern w:val="0"/>
                <w:sz w:val="24"/>
                <w:szCs w:val="24"/>
              </w:rPr>
              <w:t>4.保护第三方合法权益</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5.属于三类内部事务信息</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bookmarkStart w:id="4" w:name="_Hlk66974555"/>
            <w:bookmarkEnd w:id="4"/>
            <w:r>
              <w:rPr>
                <w:rFonts w:hint="eastAsia" w:ascii="仿宋_GB2312" w:hAnsi="宋体" w:eastAsia="仿宋_GB2312" w:cs="宋体"/>
                <w:kern w:val="0"/>
                <w:sz w:val="24"/>
                <w:szCs w:val="24"/>
              </w:rPr>
              <w:t>6.属于四类过程性信息</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7.属于行政执法案卷</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bookmarkStart w:id="5" w:name="_Hlk66975211"/>
            <w:bookmarkEnd w:id="5"/>
            <w:r>
              <w:rPr>
                <w:rFonts w:hint="eastAsia" w:ascii="仿宋_GB2312" w:hAnsi="宋体" w:eastAsia="仿宋_GB2312" w:cs="宋体"/>
                <w:kern w:val="0"/>
                <w:sz w:val="24"/>
                <w:szCs w:val="24"/>
              </w:rPr>
              <w:t>8.属于行政查询事项</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1609" w:type="dxa"/>
            <w:vMerge w:val="restart"/>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ind w:left="-101"/>
              <w:jc w:val="both"/>
              <w:rPr>
                <w:rFonts w:ascii="宋体" w:hAnsi="宋体" w:eastAsia="宋体" w:cs="宋体"/>
                <w:kern w:val="0"/>
                <w:sz w:val="24"/>
                <w:szCs w:val="24"/>
              </w:rPr>
            </w:pPr>
            <w:r>
              <w:rPr>
                <w:rFonts w:hint="eastAsia" w:ascii="黑体" w:hAnsi="黑体" w:eastAsia="黑体" w:cs="宋体"/>
                <w:kern w:val="0"/>
                <w:sz w:val="24"/>
                <w:szCs w:val="24"/>
              </w:rPr>
              <w:t>（四）无法提供</w:t>
            </w: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1.本机关不掌握相关政府信息</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bookmarkStart w:id="6" w:name="_Hlk66975392"/>
            <w:bookmarkEnd w:id="6"/>
            <w:r>
              <w:rPr>
                <w:rFonts w:hint="eastAsia" w:ascii="仿宋_GB2312" w:hAnsi="宋体" w:eastAsia="仿宋_GB2312" w:cs="宋体"/>
                <w:kern w:val="0"/>
                <w:sz w:val="24"/>
                <w:szCs w:val="24"/>
              </w:rPr>
              <w:t>2.没有现成信息需要另行制作</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bookmarkStart w:id="7" w:name="_Hlk66975466"/>
            <w:bookmarkEnd w:id="7"/>
            <w:r>
              <w:rPr>
                <w:rFonts w:hint="eastAsia" w:ascii="仿宋_GB2312" w:hAnsi="宋体" w:eastAsia="仿宋_GB2312" w:cs="宋体"/>
                <w:kern w:val="0"/>
                <w:sz w:val="24"/>
                <w:szCs w:val="24"/>
              </w:rPr>
              <w:t>3.补正后申请内容仍不明确</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1609" w:type="dxa"/>
            <w:vMerge w:val="restart"/>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ind w:left="-101"/>
              <w:jc w:val="both"/>
              <w:rPr>
                <w:rFonts w:ascii="宋体" w:hAnsi="宋体" w:eastAsia="宋体" w:cs="宋体"/>
                <w:kern w:val="0"/>
                <w:sz w:val="24"/>
                <w:szCs w:val="24"/>
              </w:rPr>
            </w:pPr>
            <w:r>
              <w:rPr>
                <w:rFonts w:hint="eastAsia" w:ascii="黑体" w:hAnsi="黑体" w:eastAsia="黑体" w:cs="宋体"/>
                <w:kern w:val="0"/>
                <w:sz w:val="24"/>
                <w:szCs w:val="24"/>
              </w:rPr>
              <w:t>（五）不予处理</w:t>
            </w: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bookmarkStart w:id="8" w:name="_Hlk66975537"/>
            <w:bookmarkEnd w:id="8"/>
            <w:r>
              <w:rPr>
                <w:rFonts w:hint="eastAsia" w:ascii="仿宋_GB2312" w:hAnsi="宋体" w:eastAsia="仿宋_GB2312" w:cs="宋体"/>
                <w:kern w:val="0"/>
                <w:sz w:val="24"/>
                <w:szCs w:val="24"/>
              </w:rPr>
              <w:t>1.信访举报投诉类申请</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2.重复申请</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hint="eastAsia" w:ascii="宋体" w:hAnsi="宋体" w:eastAsia="宋体" w:cs="宋体"/>
                <w:kern w:val="0"/>
                <w:sz w:val="24"/>
                <w:szCs w:val="24"/>
                <w:lang w:eastAsia="zh-CN"/>
              </w:rPr>
            </w:pPr>
            <w:r>
              <w:rPr>
                <w:rFonts w:hint="eastAsia" w:ascii="仿宋_GB2312" w:hAnsi="宋体" w:eastAsia="仿宋_GB2312" w:cs="宋体"/>
                <w:kern w:val="0"/>
                <w:sz w:val="24"/>
                <w:szCs w:val="24"/>
                <w:lang w:val="en-US" w:eastAsia="zh-CN"/>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pPr>
              <w:widowControl/>
              <w:wordWrap w:val="0"/>
              <w:spacing w:line="360" w:lineRule="atLeast"/>
              <w:jc w:val="both"/>
              <w:rPr>
                <w:rFonts w:hint="eastAsia" w:ascii="宋体" w:hAnsi="宋体" w:eastAsia="宋体" w:cs="宋体"/>
                <w:kern w:val="0"/>
                <w:sz w:val="24"/>
                <w:szCs w:val="24"/>
                <w:lang w:eastAsia="zh-CN"/>
              </w:rPr>
            </w:pPr>
            <w:r>
              <w:rPr>
                <w:rFonts w:hint="eastAsia" w:ascii="仿宋_GB2312" w:hAnsi="宋体" w:eastAsia="仿宋_GB2312"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3.要求提供公开出版物</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4.无正当理由大量反复申请</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5.要求行政机关确认或重新出具已获取信息</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1609" w:type="dxa"/>
            <w:vMerge w:val="restart"/>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黑体" w:hAnsi="黑体" w:eastAsia="黑体" w:cs="宋体"/>
                <w:kern w:val="0"/>
                <w:sz w:val="24"/>
                <w:szCs w:val="24"/>
              </w:rPr>
              <w:t>（六）其他处理</w:t>
            </w:r>
          </w:p>
        </w:tc>
        <w:tc>
          <w:tcPr>
            <w:tcW w:w="2909" w:type="dxa"/>
            <w:tcBorders>
              <w:top w:val="single" w:color="000000" w:sz="6" w:space="0"/>
              <w:left w:val="single" w:color="000000" w:sz="6" w:space="0"/>
              <w:bottom w:val="single" w:color="000000" w:sz="6" w:space="0"/>
              <w:right w:val="single" w:color="000000" w:sz="6" w:space="0"/>
            </w:tcBorders>
            <w:tcMar>
              <w:top w:w="0" w:type="dxa"/>
              <w:left w:w="14" w:type="dxa"/>
              <w:bottom w:w="0" w:type="dxa"/>
              <w:right w:w="14"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1.申请人无正当理由逾期不补正、行政机关不再处理其政府信息公开申请</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4" w:type="dxa"/>
              <w:bottom w:w="0" w:type="dxa"/>
              <w:right w:w="14"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2.申请人逾期未按收费通知要求缴纳费用、行政机关不再处理其政府信息公开申请</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4" w:type="dxa"/>
              <w:bottom w:w="0" w:type="dxa"/>
              <w:right w:w="14"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4" w:type="dxa"/>
              <w:bottom w:w="0" w:type="dxa"/>
              <w:right w:w="14"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4" w:type="dxa"/>
              <w:bottom w:w="0" w:type="dxa"/>
              <w:right w:w="14"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4" w:type="dxa"/>
              <w:bottom w:w="0" w:type="dxa"/>
              <w:right w:w="14"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4" w:type="dxa"/>
              <w:bottom w:w="0" w:type="dxa"/>
              <w:right w:w="14"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4" w:type="dxa"/>
              <w:bottom w:w="0" w:type="dxa"/>
              <w:right w:w="14"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2909" w:type="dxa"/>
            <w:tcBorders>
              <w:top w:val="single" w:color="000000" w:sz="6" w:space="0"/>
              <w:left w:val="single" w:color="000000" w:sz="6" w:space="0"/>
              <w:bottom w:val="single" w:color="000000" w:sz="6" w:space="0"/>
              <w:right w:val="single" w:color="000000" w:sz="6" w:space="0"/>
            </w:tcBorders>
            <w:tcMar>
              <w:top w:w="0" w:type="dxa"/>
              <w:left w:w="14" w:type="dxa"/>
              <w:bottom w:w="0" w:type="dxa"/>
              <w:right w:w="14"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3.其他</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4" w:type="dxa"/>
              <w:bottom w:w="0" w:type="dxa"/>
              <w:right w:w="14"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4" w:type="dxa"/>
              <w:bottom w:w="0" w:type="dxa"/>
              <w:right w:w="14"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4" w:type="dxa"/>
              <w:bottom w:w="0" w:type="dxa"/>
              <w:right w:w="14"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4" w:type="dxa"/>
              <w:bottom w:w="0" w:type="dxa"/>
              <w:right w:w="14"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4" w:type="dxa"/>
              <w:bottom w:w="0" w:type="dxa"/>
              <w:right w:w="14"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4" w:type="dxa"/>
              <w:bottom w:w="0" w:type="dxa"/>
              <w:right w:w="14"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pPr>
              <w:widowControl/>
              <w:jc w:val="both"/>
              <w:rPr>
                <w:rFonts w:ascii="宋体" w:hAnsi="宋体" w:eastAsia="宋体" w:cs="宋体"/>
                <w:kern w:val="0"/>
                <w:sz w:val="24"/>
                <w:szCs w:val="24"/>
              </w:rPr>
            </w:pPr>
          </w:p>
        </w:tc>
        <w:tc>
          <w:tcPr>
            <w:tcW w:w="4518" w:type="dxa"/>
            <w:gridSpan w:val="2"/>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黑体" w:hAnsi="黑体" w:eastAsia="黑体" w:cs="宋体"/>
                <w:kern w:val="0"/>
                <w:sz w:val="24"/>
                <w:szCs w:val="24"/>
              </w:rPr>
              <w:t>（七）总计</w:t>
            </w:r>
          </w:p>
        </w:tc>
        <w:tc>
          <w:tcPr>
            <w:tcW w:w="611"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bookmarkStart w:id="10" w:name="_GoBack"/>
            <w:bookmarkEnd w:id="10"/>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6" w:space="0"/>
              <w:right w:val="single" w:color="000000" w:sz="8" w:space="0"/>
            </w:tcBorders>
            <w:tcMar>
              <w:top w:w="0" w:type="dxa"/>
              <w:left w:w="115" w:type="dxa"/>
              <w:bottom w:w="0" w:type="dxa"/>
              <w:right w:w="115" w:type="dxa"/>
            </w:tcMar>
            <w:vAlign w:val="center"/>
          </w:tcPr>
          <w:p>
            <w:pPr>
              <w:widowControl/>
              <w:wordWrap w:val="0"/>
              <w:spacing w:line="360" w:lineRule="atLeast"/>
              <w:jc w:val="both"/>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jc w:val="center"/>
        </w:trPr>
        <w:tc>
          <w:tcPr>
            <w:tcW w:w="5228" w:type="dxa"/>
            <w:gridSpan w:val="3"/>
            <w:tcBorders>
              <w:top w:val="single" w:color="000000" w:sz="6" w:space="0"/>
              <w:left w:val="single" w:color="000000" w:sz="8" w:space="0"/>
              <w:bottom w:val="single" w:color="000000" w:sz="8"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黑体" w:hAnsi="黑体" w:eastAsia="黑体" w:cs="宋体"/>
                <w:kern w:val="0"/>
                <w:sz w:val="24"/>
                <w:szCs w:val="24"/>
              </w:rPr>
              <w:t>四、结转下年度继续办理</w:t>
            </w:r>
          </w:p>
        </w:tc>
        <w:tc>
          <w:tcPr>
            <w:tcW w:w="611" w:type="dxa"/>
            <w:tcBorders>
              <w:top w:val="single" w:color="000000" w:sz="6" w:space="0"/>
              <w:left w:val="single" w:color="000000" w:sz="6" w:space="0"/>
              <w:bottom w:val="single" w:color="000000" w:sz="8"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8"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497" w:type="dxa"/>
            <w:tcBorders>
              <w:top w:val="single" w:color="000000" w:sz="6" w:space="0"/>
              <w:left w:val="single" w:color="000000" w:sz="6" w:space="0"/>
              <w:bottom w:val="single" w:color="000000" w:sz="8"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63" w:type="dxa"/>
            <w:tcBorders>
              <w:top w:val="single" w:color="000000" w:sz="6" w:space="0"/>
              <w:left w:val="single" w:color="000000" w:sz="6" w:space="0"/>
              <w:bottom w:val="single" w:color="000000" w:sz="8"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622" w:type="dxa"/>
            <w:tcBorders>
              <w:top w:val="single" w:color="000000" w:sz="6" w:space="0"/>
              <w:left w:val="single" w:color="000000" w:sz="6" w:space="0"/>
              <w:bottom w:val="single" w:color="000000" w:sz="8"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595" w:type="dxa"/>
            <w:tcBorders>
              <w:top w:val="single" w:color="000000" w:sz="6" w:space="0"/>
              <w:left w:val="single" w:color="000000" w:sz="6" w:space="0"/>
              <w:bottom w:val="single" w:color="000000" w:sz="8" w:space="0"/>
              <w:right w:val="single" w:color="000000" w:sz="6"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c>
          <w:tcPr>
            <w:tcW w:w="812" w:type="dxa"/>
            <w:tcBorders>
              <w:top w:val="single" w:color="000000" w:sz="6" w:space="0"/>
              <w:left w:val="single" w:color="000000" w:sz="6" w:space="0"/>
              <w:bottom w:val="single" w:color="000000" w:sz="8" w:space="0"/>
              <w:right w:val="single" w:color="000000" w:sz="8" w:space="0"/>
            </w:tcBorders>
            <w:tcMar>
              <w:top w:w="0" w:type="dxa"/>
              <w:left w:w="115" w:type="dxa"/>
              <w:bottom w:w="0" w:type="dxa"/>
              <w:right w:w="115" w:type="dxa"/>
            </w:tcMar>
            <w:vAlign w:val="center"/>
          </w:tcPr>
          <w:p>
            <w:pPr>
              <w:widowControl/>
              <w:wordWrap w:val="0"/>
              <w:spacing w:line="360" w:lineRule="atLeast"/>
              <w:jc w:val="both"/>
              <w:rPr>
                <w:rFonts w:ascii="宋体" w:hAnsi="宋体" w:eastAsia="宋体" w:cs="宋体"/>
                <w:kern w:val="0"/>
                <w:sz w:val="24"/>
                <w:szCs w:val="24"/>
              </w:rPr>
            </w:pPr>
            <w:r>
              <w:rPr>
                <w:rFonts w:hint="eastAsia" w:ascii="仿宋_GB2312" w:hAnsi="宋体" w:eastAsia="仿宋_GB2312" w:cs="宋体"/>
                <w:kern w:val="0"/>
                <w:sz w:val="24"/>
                <w:szCs w:val="24"/>
              </w:rPr>
              <w:t>0</w:t>
            </w:r>
          </w:p>
        </w:tc>
      </w:tr>
    </w:tbl>
    <w:p>
      <w:pPr>
        <w:pStyle w:val="5"/>
        <w:keepNext w:val="0"/>
        <w:keepLines w:val="0"/>
        <w:pageBreakBefore w:val="0"/>
        <w:widowControl w:val="0"/>
        <w:numPr>
          <w:numId w:val="0"/>
        </w:numPr>
        <w:suppressLineNumbers w:val="0"/>
        <w:kinsoku/>
        <w:wordWrap/>
        <w:overflowPunct/>
        <w:topLinePunct w:val="0"/>
        <w:autoSpaceDE/>
        <w:autoSpaceDN/>
        <w:bidi w:val="0"/>
        <w:adjustRightInd/>
        <w:snapToGrid/>
        <w:spacing w:beforeAutospacing="0" w:after="0" w:afterAutospacing="0" w:line="600" w:lineRule="exact"/>
        <w:ind w:right="0" w:rightChars="0"/>
        <w:jc w:val="both"/>
        <w:textAlignment w:val="auto"/>
        <w:rPr>
          <w:rFonts w:hint="eastAsia" w:ascii="黑体" w:hAnsi="宋体" w:eastAsia="黑体" w:cs="黑体"/>
          <w:sz w:val="32"/>
          <w:szCs w:val="32"/>
          <w:lang w:eastAsia="zh-CN"/>
        </w:rPr>
      </w:pPr>
    </w:p>
    <w:p>
      <w:pPr>
        <w:pStyle w:val="5"/>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0" w:afterAutospacing="0" w:line="600" w:lineRule="exact"/>
        <w:ind w:left="0" w:leftChars="0" w:firstLine="640" w:firstLineChars="200"/>
        <w:jc w:val="both"/>
        <w:textAlignment w:val="auto"/>
        <w:rPr>
          <w:rFonts w:hint="eastAsia" w:ascii="黑体" w:hAnsi="宋体" w:eastAsia="黑体" w:cs="黑体"/>
          <w:sz w:val="32"/>
          <w:szCs w:val="32"/>
        </w:rPr>
      </w:pPr>
      <w:r>
        <w:rPr>
          <w:rFonts w:hint="eastAsia" w:ascii="黑体" w:hAnsi="宋体" w:eastAsia="黑体" w:cs="黑体"/>
          <w:sz w:val="32"/>
          <w:szCs w:val="32"/>
        </w:rPr>
        <w:t>政府信息公开行政复议、行政诉讼情况</w:t>
      </w:r>
    </w:p>
    <w:tbl>
      <w:tblPr>
        <w:tblStyle w:val="6"/>
        <w:tblW w:w="886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90"/>
        <w:gridCol w:w="590"/>
        <w:gridCol w:w="590"/>
        <w:gridCol w:w="590"/>
        <w:gridCol w:w="643"/>
        <w:gridCol w:w="537"/>
        <w:gridCol w:w="591"/>
        <w:gridCol w:w="591"/>
        <w:gridCol w:w="591"/>
        <w:gridCol w:w="591"/>
        <w:gridCol w:w="591"/>
        <w:gridCol w:w="591"/>
        <w:gridCol w:w="591"/>
        <w:gridCol w:w="592"/>
        <w:gridCol w:w="5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4" w:hRule="atLeast"/>
          <w:jc w:val="center"/>
        </w:trPr>
        <w:tc>
          <w:tcPr>
            <w:tcW w:w="300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黑体" w:hAnsi="黑体" w:eastAsia="黑体"/>
              </w:rPr>
            </w:pPr>
            <w:r>
              <w:rPr>
                <w:rFonts w:ascii="黑体" w:hAnsi="黑体" w:eastAsia="黑体"/>
                <w:kern w:val="0"/>
                <w:sz w:val="20"/>
                <w:szCs w:val="20"/>
              </w:rPr>
              <w:t>行政复议</w:t>
            </w:r>
          </w:p>
        </w:tc>
        <w:tc>
          <w:tcPr>
            <w:tcW w:w="5858"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590"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ind w:left="-149" w:leftChars="-71" w:right="-170" w:rightChars="-81"/>
              <w:jc w:val="center"/>
              <w:rPr>
                <w:rFonts w:ascii="黑体" w:hAnsi="黑体" w:eastAsia="黑体"/>
              </w:rPr>
            </w:pPr>
            <w:r>
              <w:rPr>
                <w:rFonts w:ascii="黑体" w:hAnsi="黑体" w:eastAsia="黑体"/>
                <w:kern w:val="0"/>
                <w:sz w:val="20"/>
                <w:szCs w:val="20"/>
              </w:rPr>
              <w:t>维持</w:t>
            </w:r>
          </w:p>
        </w:tc>
        <w:tc>
          <w:tcPr>
            <w:tcW w:w="590" w:type="dxa"/>
            <w:vMerge w:val="restart"/>
            <w:tcBorders>
              <w:top w:val="nil"/>
              <w:left w:val="nil"/>
              <w:bottom w:val="single" w:color="auto" w:sz="8" w:space="0"/>
              <w:right w:val="single" w:color="auto" w:sz="8" w:space="0"/>
            </w:tcBorders>
            <w:noWrap w:val="0"/>
            <w:tcMar>
              <w:left w:w="108" w:type="dxa"/>
              <w:right w:w="108" w:type="dxa"/>
            </w:tcMar>
            <w:vAlign w:val="center"/>
          </w:tcPr>
          <w:p>
            <w:pPr>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590"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ind w:left="-82" w:leftChars="-39" w:right="-97" w:rightChars="-46"/>
              <w:jc w:val="center"/>
              <w:rPr>
                <w:rFonts w:ascii="黑体" w:hAnsi="黑体" w:eastAsia="黑体"/>
              </w:rPr>
            </w:pPr>
            <w:r>
              <w:rPr>
                <w:rFonts w:ascii="黑体" w:hAnsi="黑体" w:eastAsia="黑体"/>
                <w:kern w:val="0"/>
                <w:sz w:val="20"/>
                <w:szCs w:val="20"/>
              </w:rPr>
              <w:t>其他结果</w:t>
            </w:r>
          </w:p>
        </w:tc>
        <w:tc>
          <w:tcPr>
            <w:tcW w:w="590"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ind w:left="-118" w:leftChars="-56" w:right="-118" w:rightChars="-56"/>
              <w:jc w:val="center"/>
              <w:rPr>
                <w:rFonts w:ascii="黑体" w:hAnsi="黑体" w:eastAsia="黑体"/>
              </w:rPr>
            </w:pPr>
            <w:r>
              <w:rPr>
                <w:rFonts w:ascii="黑体" w:hAnsi="黑体" w:eastAsia="黑体"/>
                <w:kern w:val="0"/>
                <w:sz w:val="20"/>
                <w:szCs w:val="20"/>
              </w:rPr>
              <w:t>审结</w:t>
            </w:r>
          </w:p>
        </w:tc>
        <w:tc>
          <w:tcPr>
            <w:tcW w:w="643"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spacing w:line="320" w:lineRule="exact"/>
              <w:jc w:val="center"/>
              <w:rPr>
                <w:rFonts w:ascii="黑体" w:hAnsi="黑体" w:eastAsia="黑体"/>
                <w:kern w:val="0"/>
                <w:sz w:val="20"/>
                <w:szCs w:val="20"/>
              </w:rPr>
            </w:pPr>
            <w:r>
              <w:rPr>
                <w:rFonts w:ascii="黑体" w:hAnsi="黑体" w:eastAsia="黑体"/>
                <w:kern w:val="0"/>
                <w:sz w:val="20"/>
                <w:szCs w:val="20"/>
              </w:rPr>
              <w:t>总</w:t>
            </w:r>
          </w:p>
          <w:p>
            <w:pPr>
              <w:spacing w:line="320" w:lineRule="exact"/>
              <w:jc w:val="center"/>
              <w:rPr>
                <w:rFonts w:ascii="黑体" w:hAnsi="黑体" w:eastAsia="黑体"/>
              </w:rPr>
            </w:pPr>
            <w:r>
              <w:rPr>
                <w:rFonts w:ascii="黑体" w:hAnsi="黑体" w:eastAsia="黑体"/>
                <w:kern w:val="0"/>
                <w:sz w:val="20"/>
                <w:szCs w:val="20"/>
              </w:rPr>
              <w:t>计</w:t>
            </w:r>
          </w:p>
        </w:tc>
        <w:tc>
          <w:tcPr>
            <w:tcW w:w="2901"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rPr>
            </w:pPr>
            <w:r>
              <w:rPr>
                <w:rFonts w:ascii="黑体" w:hAnsi="黑体" w:eastAsia="黑体"/>
                <w:kern w:val="0"/>
                <w:sz w:val="20"/>
                <w:szCs w:val="20"/>
              </w:rPr>
              <w:t>未经复议直接起诉</w:t>
            </w:r>
          </w:p>
        </w:tc>
        <w:tc>
          <w:tcPr>
            <w:tcW w:w="295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1" w:hRule="atLeast"/>
          <w:jc w:val="center"/>
        </w:trPr>
        <w:tc>
          <w:tcPr>
            <w:tcW w:w="59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59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590"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590"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43"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537" w:type="dxa"/>
            <w:tcBorders>
              <w:top w:val="nil"/>
              <w:left w:val="nil"/>
              <w:bottom w:val="single" w:color="auto" w:sz="8" w:space="0"/>
              <w:right w:val="single" w:color="auto" w:sz="8" w:space="0"/>
            </w:tcBorders>
            <w:noWrap w:val="0"/>
            <w:tcMar>
              <w:left w:w="108" w:type="dxa"/>
              <w:right w:w="108" w:type="dxa"/>
            </w:tcMar>
            <w:vAlign w:val="center"/>
          </w:tcPr>
          <w:p>
            <w:pPr>
              <w:ind w:left="-105" w:leftChars="-50" w:right="-126" w:rightChars="-60"/>
              <w:jc w:val="center"/>
              <w:rPr>
                <w:rFonts w:ascii="黑体" w:hAnsi="黑体" w:eastAsia="黑体"/>
              </w:rPr>
            </w:pPr>
            <w:r>
              <w:rPr>
                <w:rFonts w:ascii="黑体" w:hAnsi="黑体" w:eastAsia="黑体"/>
                <w:kern w:val="0"/>
                <w:sz w:val="20"/>
                <w:szCs w:val="20"/>
              </w:rPr>
              <w:t>结果维持</w:t>
            </w:r>
          </w:p>
        </w:tc>
        <w:tc>
          <w:tcPr>
            <w:tcW w:w="591" w:type="dxa"/>
            <w:tcBorders>
              <w:top w:val="nil"/>
              <w:left w:val="nil"/>
              <w:bottom w:val="single" w:color="auto" w:sz="8" w:space="0"/>
              <w:right w:val="single" w:color="auto" w:sz="8" w:space="0"/>
            </w:tcBorders>
            <w:noWrap w:val="0"/>
            <w:tcMar>
              <w:left w:w="108" w:type="dxa"/>
              <w:right w:w="108" w:type="dxa"/>
            </w:tcMar>
            <w:vAlign w:val="center"/>
          </w:tcPr>
          <w:p>
            <w:pPr>
              <w:ind w:left="-86" w:leftChars="-41" w:right="-88" w:rightChars="-42"/>
              <w:jc w:val="center"/>
              <w:rPr>
                <w:rFonts w:ascii="黑体" w:hAnsi="黑体" w:eastAsia="黑体"/>
              </w:rPr>
            </w:pPr>
            <w:r>
              <w:rPr>
                <w:rFonts w:ascii="黑体" w:hAnsi="黑体" w:eastAsia="黑体"/>
                <w:kern w:val="0"/>
                <w:sz w:val="20"/>
                <w:szCs w:val="20"/>
              </w:rPr>
              <w:t>结果纠正</w:t>
            </w:r>
          </w:p>
        </w:tc>
        <w:tc>
          <w:tcPr>
            <w:tcW w:w="591" w:type="dxa"/>
            <w:tcBorders>
              <w:top w:val="single" w:color="auto" w:sz="8" w:space="0"/>
              <w:left w:val="nil"/>
              <w:bottom w:val="single" w:color="auto" w:sz="8" w:space="0"/>
              <w:right w:val="single" w:color="auto" w:sz="8" w:space="0"/>
            </w:tcBorders>
            <w:noWrap w:val="0"/>
            <w:tcMar>
              <w:left w:w="108" w:type="dxa"/>
              <w:right w:w="108" w:type="dxa"/>
            </w:tcMar>
            <w:vAlign w:val="center"/>
          </w:tcPr>
          <w:p>
            <w:pPr>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ind w:left="-126" w:leftChars="-60" w:right="-136" w:rightChars="-65"/>
              <w:jc w:val="center"/>
              <w:rPr>
                <w:rFonts w:ascii="黑体" w:hAnsi="黑体" w:eastAsia="黑体"/>
              </w:rPr>
            </w:pPr>
            <w:r>
              <w:rPr>
                <w:rFonts w:ascii="黑体" w:hAnsi="黑体" w:eastAsia="黑体"/>
                <w:kern w:val="0"/>
                <w:sz w:val="20"/>
                <w:szCs w:val="20"/>
              </w:rPr>
              <w:t>结果</w:t>
            </w:r>
          </w:p>
        </w:tc>
        <w:tc>
          <w:tcPr>
            <w:tcW w:w="591" w:type="dxa"/>
            <w:tcBorders>
              <w:top w:val="single" w:color="auto" w:sz="8" w:space="0"/>
              <w:left w:val="nil"/>
              <w:bottom w:val="single" w:color="auto" w:sz="8" w:space="0"/>
              <w:right w:val="single" w:color="auto" w:sz="8" w:space="0"/>
            </w:tcBorders>
            <w:noWrap w:val="0"/>
            <w:tcMar>
              <w:left w:w="108" w:type="dxa"/>
              <w:right w:w="108" w:type="dxa"/>
            </w:tcMar>
            <w:vAlign w:val="center"/>
          </w:tcPr>
          <w:p>
            <w:pPr>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ind w:left="-164" w:leftChars="-78" w:right="-153" w:rightChars="-73"/>
              <w:jc w:val="center"/>
              <w:rPr>
                <w:rFonts w:ascii="黑体" w:hAnsi="黑体" w:eastAsia="黑体"/>
              </w:rPr>
            </w:pPr>
            <w:r>
              <w:rPr>
                <w:rFonts w:ascii="黑体" w:hAnsi="黑体" w:eastAsia="黑体"/>
                <w:kern w:val="0"/>
                <w:sz w:val="20"/>
                <w:szCs w:val="20"/>
              </w:rPr>
              <w:t>审结</w:t>
            </w:r>
          </w:p>
        </w:tc>
        <w:tc>
          <w:tcPr>
            <w:tcW w:w="591" w:type="dxa"/>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rPr>
            </w:pPr>
            <w:r>
              <w:rPr>
                <w:rFonts w:ascii="黑体" w:hAnsi="黑体" w:eastAsia="黑体"/>
                <w:kern w:val="0"/>
                <w:sz w:val="20"/>
                <w:szCs w:val="20"/>
              </w:rPr>
              <w:t>总计</w:t>
            </w:r>
          </w:p>
        </w:tc>
        <w:tc>
          <w:tcPr>
            <w:tcW w:w="591" w:type="dxa"/>
            <w:tcBorders>
              <w:top w:val="single" w:color="auto" w:sz="8" w:space="0"/>
              <w:left w:val="nil"/>
              <w:bottom w:val="single" w:color="auto" w:sz="8" w:space="0"/>
              <w:right w:val="single" w:color="auto" w:sz="8" w:space="0"/>
            </w:tcBorders>
            <w:noWrap w:val="0"/>
            <w:tcMar>
              <w:left w:w="108" w:type="dxa"/>
              <w:right w:w="108" w:type="dxa"/>
            </w:tcMar>
            <w:vAlign w:val="center"/>
          </w:tcPr>
          <w:p>
            <w:pPr>
              <w:ind w:left="-99" w:leftChars="-47" w:right="-78" w:rightChars="-37"/>
              <w:jc w:val="center"/>
              <w:rPr>
                <w:rFonts w:ascii="黑体" w:hAnsi="黑体" w:eastAsia="黑体"/>
              </w:rPr>
            </w:pPr>
            <w:r>
              <w:rPr>
                <w:rFonts w:ascii="黑体" w:hAnsi="黑体" w:eastAsia="黑体"/>
                <w:kern w:val="0"/>
                <w:sz w:val="20"/>
                <w:szCs w:val="20"/>
              </w:rPr>
              <w:t>结果维持</w:t>
            </w:r>
          </w:p>
        </w:tc>
        <w:tc>
          <w:tcPr>
            <w:tcW w:w="591" w:type="dxa"/>
            <w:tcBorders>
              <w:top w:val="single" w:color="auto" w:sz="8" w:space="0"/>
              <w:left w:val="nil"/>
              <w:bottom w:val="single" w:color="auto" w:sz="8" w:space="0"/>
              <w:right w:val="single" w:color="auto" w:sz="8" w:space="0"/>
            </w:tcBorders>
            <w:noWrap w:val="0"/>
            <w:tcMar>
              <w:left w:w="108" w:type="dxa"/>
              <w:right w:w="108" w:type="dxa"/>
            </w:tcMar>
            <w:vAlign w:val="center"/>
          </w:tcPr>
          <w:p>
            <w:pPr>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ind w:left="-136" w:leftChars="-65" w:right="-124" w:rightChars="-59"/>
              <w:jc w:val="center"/>
              <w:rPr>
                <w:rFonts w:ascii="黑体" w:hAnsi="黑体" w:eastAsia="黑体"/>
              </w:rPr>
            </w:pPr>
            <w:r>
              <w:rPr>
                <w:rFonts w:ascii="黑体" w:hAnsi="黑体" w:eastAsia="黑体"/>
                <w:kern w:val="0"/>
                <w:sz w:val="20"/>
                <w:szCs w:val="20"/>
              </w:rPr>
              <w:t>纠正</w:t>
            </w:r>
          </w:p>
        </w:tc>
        <w:tc>
          <w:tcPr>
            <w:tcW w:w="591" w:type="dxa"/>
            <w:tcBorders>
              <w:top w:val="single" w:color="auto" w:sz="8" w:space="0"/>
              <w:left w:val="nil"/>
              <w:bottom w:val="single" w:color="auto" w:sz="8" w:space="0"/>
              <w:right w:val="single" w:color="auto" w:sz="8" w:space="0"/>
            </w:tcBorders>
            <w:noWrap w:val="0"/>
            <w:tcMar>
              <w:left w:w="108" w:type="dxa"/>
              <w:right w:w="108" w:type="dxa"/>
            </w:tcMar>
            <w:vAlign w:val="center"/>
          </w:tcPr>
          <w:p>
            <w:pPr>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ind w:left="-173" w:leftChars="-83" w:right="-134" w:rightChars="-64" w:hanging="1"/>
              <w:jc w:val="center"/>
              <w:rPr>
                <w:rFonts w:ascii="黑体" w:hAnsi="黑体" w:eastAsia="黑体"/>
              </w:rPr>
            </w:pPr>
            <w:r>
              <w:rPr>
                <w:rFonts w:ascii="黑体" w:hAnsi="黑体" w:eastAsia="黑体"/>
                <w:kern w:val="0"/>
                <w:sz w:val="20"/>
                <w:szCs w:val="20"/>
              </w:rPr>
              <w:t>结果</w:t>
            </w:r>
          </w:p>
        </w:tc>
        <w:tc>
          <w:tcPr>
            <w:tcW w:w="592" w:type="dxa"/>
            <w:tcBorders>
              <w:top w:val="single" w:color="auto" w:sz="8" w:space="0"/>
              <w:left w:val="nil"/>
              <w:bottom w:val="single" w:color="auto" w:sz="8" w:space="0"/>
              <w:right w:val="single" w:color="auto" w:sz="8" w:space="0"/>
            </w:tcBorders>
            <w:noWrap w:val="0"/>
            <w:tcMar>
              <w:left w:w="108" w:type="dxa"/>
              <w:right w:w="108" w:type="dxa"/>
            </w:tcMar>
            <w:vAlign w:val="center"/>
          </w:tcPr>
          <w:p>
            <w:pPr>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592" w:type="dxa"/>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590"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after="180"/>
              <w:jc w:val="center"/>
              <w:rPr>
                <w:rFonts w:hint="eastAsia" w:ascii="Times New Roman" w:hAnsi="Times New Roman" w:eastAsia="宋体"/>
                <w:highlight w:val="none"/>
                <w:lang w:eastAsia="zh-CN"/>
              </w:rPr>
            </w:pPr>
            <w:r>
              <w:rPr>
                <w:rFonts w:hint="eastAsia" w:ascii="Times New Roman" w:hAnsi="Times New Roman"/>
                <w:highlight w:val="none"/>
                <w:lang w:val="en-US" w:eastAsia="zh-CN"/>
              </w:rPr>
              <w:t>0</w:t>
            </w:r>
          </w:p>
        </w:tc>
        <w:tc>
          <w:tcPr>
            <w:tcW w:w="590" w:type="dxa"/>
            <w:tcBorders>
              <w:top w:val="nil"/>
              <w:left w:val="nil"/>
              <w:bottom w:val="single" w:color="auto" w:sz="8" w:space="0"/>
              <w:right w:val="single" w:color="auto" w:sz="8" w:space="0"/>
            </w:tcBorders>
            <w:noWrap w:val="0"/>
            <w:tcMar>
              <w:left w:w="108" w:type="dxa"/>
              <w:right w:w="108" w:type="dxa"/>
            </w:tcMar>
            <w:vAlign w:val="center"/>
          </w:tcPr>
          <w:p>
            <w:pPr>
              <w:spacing w:after="180"/>
              <w:jc w:val="center"/>
              <w:rPr>
                <w:rFonts w:ascii="Times New Roman" w:hAnsi="Times New Roman"/>
                <w:highlight w:val="none"/>
              </w:rPr>
            </w:pPr>
            <w:r>
              <w:rPr>
                <w:rFonts w:hint="eastAsia" w:ascii="Times New Roman" w:hAnsi="Times New Roman"/>
                <w:highlight w:val="none"/>
              </w:rPr>
              <w:t>0</w:t>
            </w:r>
          </w:p>
        </w:tc>
        <w:tc>
          <w:tcPr>
            <w:tcW w:w="590" w:type="dxa"/>
            <w:tcBorders>
              <w:top w:val="nil"/>
              <w:left w:val="nil"/>
              <w:bottom w:val="single" w:color="auto" w:sz="8" w:space="0"/>
              <w:right w:val="single" w:color="auto" w:sz="8" w:space="0"/>
            </w:tcBorders>
            <w:noWrap w:val="0"/>
            <w:tcMar>
              <w:left w:w="108" w:type="dxa"/>
              <w:right w:w="108" w:type="dxa"/>
            </w:tcMar>
            <w:vAlign w:val="center"/>
          </w:tcPr>
          <w:p>
            <w:pPr>
              <w:spacing w:after="180"/>
              <w:jc w:val="center"/>
              <w:rPr>
                <w:rFonts w:ascii="Times New Roman" w:hAnsi="Times New Roman"/>
                <w:highlight w:val="none"/>
              </w:rPr>
            </w:pPr>
            <w:r>
              <w:rPr>
                <w:rFonts w:hint="eastAsia" w:ascii="Times New Roman" w:hAnsi="Times New Roman"/>
                <w:highlight w:val="none"/>
              </w:rPr>
              <w:t>0</w:t>
            </w:r>
          </w:p>
        </w:tc>
        <w:tc>
          <w:tcPr>
            <w:tcW w:w="590" w:type="dxa"/>
            <w:tcBorders>
              <w:top w:val="nil"/>
              <w:left w:val="nil"/>
              <w:bottom w:val="single" w:color="auto" w:sz="8" w:space="0"/>
              <w:right w:val="single" w:color="auto" w:sz="8" w:space="0"/>
            </w:tcBorders>
            <w:noWrap w:val="0"/>
            <w:tcMar>
              <w:left w:w="108" w:type="dxa"/>
              <w:right w:w="108" w:type="dxa"/>
            </w:tcMar>
            <w:vAlign w:val="center"/>
          </w:tcPr>
          <w:p>
            <w:pPr>
              <w:spacing w:after="180"/>
              <w:jc w:val="center"/>
              <w:rPr>
                <w:rFonts w:ascii="Times New Roman" w:hAnsi="Times New Roman"/>
                <w:highlight w:val="none"/>
              </w:rPr>
            </w:pPr>
            <w:r>
              <w:rPr>
                <w:rFonts w:hint="eastAsia" w:ascii="Times New Roman" w:hAnsi="Times New Roman"/>
                <w:highlight w:val="none"/>
              </w:rPr>
              <w:t>0</w:t>
            </w:r>
          </w:p>
        </w:tc>
        <w:tc>
          <w:tcPr>
            <w:tcW w:w="643" w:type="dxa"/>
            <w:tcBorders>
              <w:top w:val="nil"/>
              <w:left w:val="nil"/>
              <w:bottom w:val="single" w:color="auto" w:sz="8" w:space="0"/>
              <w:right w:val="single" w:color="auto" w:sz="8" w:space="0"/>
            </w:tcBorders>
            <w:noWrap w:val="0"/>
            <w:tcMar>
              <w:left w:w="108" w:type="dxa"/>
              <w:right w:w="108" w:type="dxa"/>
            </w:tcMar>
            <w:vAlign w:val="center"/>
          </w:tcPr>
          <w:p>
            <w:pPr>
              <w:spacing w:after="180"/>
              <w:jc w:val="center"/>
              <w:rPr>
                <w:rFonts w:hint="eastAsia" w:ascii="Times New Roman" w:hAnsi="Times New Roman" w:eastAsia="宋体"/>
                <w:highlight w:val="none"/>
                <w:lang w:eastAsia="zh-CN"/>
              </w:rPr>
            </w:pPr>
            <w:r>
              <w:rPr>
                <w:rFonts w:hint="eastAsia" w:ascii="Times New Roman" w:hAnsi="Times New Roman"/>
                <w:highlight w:val="none"/>
                <w:lang w:val="en-US" w:eastAsia="zh-CN"/>
              </w:rPr>
              <w:t>0</w:t>
            </w:r>
          </w:p>
        </w:tc>
        <w:tc>
          <w:tcPr>
            <w:tcW w:w="537" w:type="dxa"/>
            <w:tcBorders>
              <w:top w:val="nil"/>
              <w:left w:val="nil"/>
              <w:bottom w:val="single" w:color="auto" w:sz="8" w:space="0"/>
              <w:right w:val="single" w:color="auto" w:sz="8" w:space="0"/>
            </w:tcBorders>
            <w:noWrap w:val="0"/>
            <w:tcMar>
              <w:left w:w="108" w:type="dxa"/>
              <w:right w:w="108" w:type="dxa"/>
            </w:tcMar>
            <w:vAlign w:val="center"/>
          </w:tcPr>
          <w:p>
            <w:pPr>
              <w:spacing w:after="180"/>
              <w:jc w:val="center"/>
              <w:rPr>
                <w:rFonts w:ascii="Times New Roman" w:hAnsi="Times New Roman"/>
                <w:highlight w:val="none"/>
              </w:rPr>
            </w:pPr>
            <w:r>
              <w:rPr>
                <w:rFonts w:hint="eastAsia" w:ascii="Times New Roman" w:hAnsi="Times New Roman"/>
                <w:highlight w:val="none"/>
              </w:rPr>
              <w:t>0</w:t>
            </w:r>
          </w:p>
        </w:tc>
        <w:tc>
          <w:tcPr>
            <w:tcW w:w="591" w:type="dxa"/>
            <w:tcBorders>
              <w:top w:val="nil"/>
              <w:left w:val="nil"/>
              <w:bottom w:val="single" w:color="auto" w:sz="8" w:space="0"/>
              <w:right w:val="single" w:color="auto" w:sz="8" w:space="0"/>
            </w:tcBorders>
            <w:noWrap w:val="0"/>
            <w:tcMar>
              <w:left w:w="108" w:type="dxa"/>
              <w:right w:w="108" w:type="dxa"/>
            </w:tcMar>
            <w:vAlign w:val="center"/>
          </w:tcPr>
          <w:p>
            <w:pPr>
              <w:spacing w:after="180"/>
              <w:jc w:val="center"/>
              <w:rPr>
                <w:rFonts w:ascii="Times New Roman" w:hAnsi="Times New Roman"/>
                <w:highlight w:val="none"/>
              </w:rPr>
            </w:pPr>
            <w:r>
              <w:rPr>
                <w:rFonts w:hint="eastAsia" w:ascii="Times New Roman" w:hAnsi="Times New Roman"/>
                <w:highlight w:val="none"/>
              </w:rPr>
              <w:t>0</w:t>
            </w:r>
          </w:p>
        </w:tc>
        <w:tc>
          <w:tcPr>
            <w:tcW w:w="591" w:type="dxa"/>
            <w:tcBorders>
              <w:top w:val="nil"/>
              <w:left w:val="nil"/>
              <w:bottom w:val="single" w:color="auto" w:sz="8" w:space="0"/>
              <w:right w:val="single" w:color="auto" w:sz="8" w:space="0"/>
            </w:tcBorders>
            <w:noWrap w:val="0"/>
            <w:tcMar>
              <w:left w:w="108" w:type="dxa"/>
              <w:right w:w="108" w:type="dxa"/>
            </w:tcMar>
            <w:vAlign w:val="center"/>
          </w:tcPr>
          <w:p>
            <w:pPr>
              <w:spacing w:after="180"/>
              <w:jc w:val="center"/>
              <w:rPr>
                <w:rFonts w:ascii="Times New Roman" w:hAnsi="Times New Roman"/>
                <w:highlight w:val="none"/>
              </w:rPr>
            </w:pPr>
            <w:r>
              <w:rPr>
                <w:rFonts w:hint="eastAsia" w:ascii="Times New Roman" w:hAnsi="Times New Roman"/>
                <w:highlight w:val="none"/>
              </w:rPr>
              <w:t>0</w:t>
            </w:r>
          </w:p>
        </w:tc>
        <w:tc>
          <w:tcPr>
            <w:tcW w:w="591" w:type="dxa"/>
            <w:tcBorders>
              <w:top w:val="nil"/>
              <w:left w:val="nil"/>
              <w:bottom w:val="single" w:color="auto" w:sz="8" w:space="0"/>
              <w:right w:val="single" w:color="auto" w:sz="8" w:space="0"/>
            </w:tcBorders>
            <w:noWrap w:val="0"/>
            <w:tcMar>
              <w:left w:w="108" w:type="dxa"/>
              <w:right w:w="108" w:type="dxa"/>
            </w:tcMar>
            <w:vAlign w:val="center"/>
          </w:tcPr>
          <w:p>
            <w:pPr>
              <w:spacing w:after="180"/>
              <w:jc w:val="center"/>
              <w:rPr>
                <w:rFonts w:ascii="Times New Roman" w:hAnsi="Times New Roman"/>
                <w:highlight w:val="none"/>
              </w:rPr>
            </w:pPr>
            <w:r>
              <w:rPr>
                <w:rFonts w:hint="eastAsia" w:ascii="Times New Roman" w:hAnsi="Times New Roman"/>
                <w:highlight w:val="none"/>
              </w:rPr>
              <w:t>0</w:t>
            </w:r>
          </w:p>
        </w:tc>
        <w:tc>
          <w:tcPr>
            <w:tcW w:w="591" w:type="dxa"/>
            <w:tcBorders>
              <w:top w:val="nil"/>
              <w:left w:val="nil"/>
              <w:bottom w:val="single" w:color="auto" w:sz="8" w:space="0"/>
              <w:right w:val="single" w:color="auto" w:sz="8" w:space="0"/>
            </w:tcBorders>
            <w:noWrap w:val="0"/>
            <w:tcMar>
              <w:left w:w="108" w:type="dxa"/>
              <w:right w:w="108" w:type="dxa"/>
            </w:tcMar>
            <w:vAlign w:val="center"/>
          </w:tcPr>
          <w:p>
            <w:pPr>
              <w:spacing w:after="180"/>
              <w:jc w:val="center"/>
              <w:rPr>
                <w:rFonts w:ascii="Times New Roman" w:hAnsi="Times New Roman"/>
                <w:highlight w:val="none"/>
              </w:rPr>
            </w:pPr>
            <w:r>
              <w:rPr>
                <w:rFonts w:hint="eastAsia" w:ascii="Times New Roman" w:hAnsi="Times New Roman"/>
                <w:highlight w:val="none"/>
              </w:rPr>
              <w:t>0</w:t>
            </w:r>
          </w:p>
        </w:tc>
        <w:tc>
          <w:tcPr>
            <w:tcW w:w="591" w:type="dxa"/>
            <w:tcBorders>
              <w:top w:val="nil"/>
              <w:left w:val="nil"/>
              <w:bottom w:val="single" w:color="auto" w:sz="8" w:space="0"/>
              <w:right w:val="single" w:color="auto" w:sz="8" w:space="0"/>
            </w:tcBorders>
            <w:noWrap w:val="0"/>
            <w:tcMar>
              <w:left w:w="108" w:type="dxa"/>
              <w:right w:w="108" w:type="dxa"/>
            </w:tcMar>
            <w:vAlign w:val="center"/>
          </w:tcPr>
          <w:p>
            <w:pPr>
              <w:spacing w:after="180"/>
              <w:jc w:val="center"/>
              <w:rPr>
                <w:rFonts w:ascii="Times New Roman" w:hAnsi="Times New Roman"/>
                <w:highlight w:val="none"/>
              </w:rPr>
            </w:pPr>
            <w:r>
              <w:rPr>
                <w:rFonts w:hint="eastAsia" w:ascii="Times New Roman" w:hAnsi="Times New Roman"/>
                <w:highlight w:val="none"/>
              </w:rPr>
              <w:t>0</w:t>
            </w:r>
          </w:p>
        </w:tc>
        <w:tc>
          <w:tcPr>
            <w:tcW w:w="591" w:type="dxa"/>
            <w:tcBorders>
              <w:top w:val="nil"/>
              <w:left w:val="nil"/>
              <w:bottom w:val="single" w:color="auto" w:sz="8" w:space="0"/>
              <w:right w:val="single" w:color="auto" w:sz="8" w:space="0"/>
            </w:tcBorders>
            <w:noWrap w:val="0"/>
            <w:tcMar>
              <w:left w:w="108" w:type="dxa"/>
              <w:right w:w="108" w:type="dxa"/>
            </w:tcMar>
            <w:vAlign w:val="center"/>
          </w:tcPr>
          <w:p>
            <w:pPr>
              <w:spacing w:after="180"/>
              <w:jc w:val="center"/>
              <w:rPr>
                <w:rFonts w:ascii="Times New Roman" w:hAnsi="Times New Roman"/>
                <w:highlight w:val="none"/>
              </w:rPr>
            </w:pPr>
            <w:r>
              <w:rPr>
                <w:rFonts w:hint="eastAsia" w:ascii="Times New Roman" w:hAnsi="Times New Roman"/>
                <w:highlight w:val="none"/>
              </w:rPr>
              <w:t>0</w:t>
            </w:r>
          </w:p>
        </w:tc>
        <w:tc>
          <w:tcPr>
            <w:tcW w:w="591" w:type="dxa"/>
            <w:tcBorders>
              <w:top w:val="nil"/>
              <w:left w:val="nil"/>
              <w:bottom w:val="single" w:color="auto" w:sz="8" w:space="0"/>
              <w:right w:val="single" w:color="auto" w:sz="8" w:space="0"/>
            </w:tcBorders>
            <w:noWrap w:val="0"/>
            <w:tcMar>
              <w:left w:w="108" w:type="dxa"/>
              <w:right w:w="108" w:type="dxa"/>
            </w:tcMar>
            <w:vAlign w:val="center"/>
          </w:tcPr>
          <w:p>
            <w:pPr>
              <w:spacing w:after="180"/>
              <w:jc w:val="center"/>
              <w:rPr>
                <w:rFonts w:ascii="Times New Roman" w:hAnsi="Times New Roman"/>
                <w:highlight w:val="none"/>
              </w:rPr>
            </w:pPr>
            <w:r>
              <w:rPr>
                <w:rFonts w:hint="eastAsia" w:ascii="Times New Roman" w:hAnsi="Times New Roman"/>
                <w:highlight w:val="none"/>
              </w:rPr>
              <w:t>0</w:t>
            </w:r>
          </w:p>
        </w:tc>
        <w:tc>
          <w:tcPr>
            <w:tcW w:w="592" w:type="dxa"/>
            <w:tcBorders>
              <w:top w:val="nil"/>
              <w:left w:val="nil"/>
              <w:bottom w:val="single" w:color="auto" w:sz="8" w:space="0"/>
              <w:right w:val="single" w:color="auto" w:sz="8" w:space="0"/>
            </w:tcBorders>
            <w:noWrap w:val="0"/>
            <w:tcMar>
              <w:left w:w="108" w:type="dxa"/>
              <w:right w:w="108" w:type="dxa"/>
            </w:tcMar>
            <w:vAlign w:val="center"/>
          </w:tcPr>
          <w:p>
            <w:pPr>
              <w:spacing w:after="180"/>
              <w:jc w:val="center"/>
              <w:rPr>
                <w:rFonts w:ascii="Times New Roman" w:hAnsi="Times New Roman"/>
                <w:highlight w:val="none"/>
              </w:rPr>
            </w:pPr>
            <w:r>
              <w:rPr>
                <w:rFonts w:hint="eastAsia" w:ascii="Times New Roman" w:hAnsi="Times New Roman"/>
                <w:highlight w:val="none"/>
              </w:rPr>
              <w:t>0</w:t>
            </w:r>
          </w:p>
        </w:tc>
        <w:tc>
          <w:tcPr>
            <w:tcW w:w="592" w:type="dxa"/>
            <w:tcBorders>
              <w:top w:val="nil"/>
              <w:left w:val="nil"/>
              <w:bottom w:val="single" w:color="auto" w:sz="8" w:space="0"/>
              <w:right w:val="single" w:color="auto" w:sz="8" w:space="0"/>
            </w:tcBorders>
            <w:noWrap w:val="0"/>
            <w:tcMar>
              <w:left w:w="108" w:type="dxa"/>
              <w:right w:w="108" w:type="dxa"/>
            </w:tcMar>
            <w:vAlign w:val="center"/>
          </w:tcPr>
          <w:p>
            <w:pPr>
              <w:spacing w:after="180"/>
              <w:jc w:val="center"/>
              <w:rPr>
                <w:rFonts w:ascii="Times New Roman" w:hAnsi="Times New Roman"/>
                <w:highlight w:val="none"/>
              </w:rPr>
            </w:pPr>
            <w:r>
              <w:rPr>
                <w:rFonts w:hint="eastAsia" w:ascii="Times New Roman" w:hAnsi="Times New Roman"/>
                <w:highlight w:val="none"/>
              </w:rPr>
              <w:t>0</w:t>
            </w:r>
          </w:p>
        </w:tc>
      </w:tr>
    </w:tbl>
    <w:p>
      <w:pPr>
        <w:pStyle w:val="5"/>
        <w:keepNext w:val="0"/>
        <w:keepLines w:val="0"/>
        <w:pageBreakBefore w:val="0"/>
        <w:widowControl w:val="0"/>
        <w:numPr>
          <w:numId w:val="0"/>
        </w:numPr>
        <w:suppressLineNumbers w:val="0"/>
        <w:kinsoku/>
        <w:wordWrap/>
        <w:overflowPunct/>
        <w:topLinePunct w:val="0"/>
        <w:autoSpaceDE/>
        <w:autoSpaceDN/>
        <w:bidi w:val="0"/>
        <w:adjustRightInd/>
        <w:snapToGrid/>
        <w:spacing w:beforeAutospacing="0" w:after="0" w:afterAutospacing="0" w:line="600" w:lineRule="exact"/>
        <w:ind w:leftChars="200" w:right="0" w:rightChars="0"/>
        <w:jc w:val="both"/>
        <w:textAlignment w:val="auto"/>
        <w:rPr>
          <w:rFonts w:hint="eastAsia" w:ascii="黑体" w:hAnsi="宋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600" w:lineRule="exact"/>
        <w:ind w:left="0" w:firstLine="640" w:firstLineChars="200"/>
        <w:jc w:val="both"/>
        <w:textAlignment w:val="auto"/>
        <w:rPr>
          <w:rFonts w:hint="eastAsia" w:ascii="黑体" w:hAnsi="宋体" w:eastAsia="黑体" w:cs="黑体"/>
          <w:sz w:val="32"/>
          <w:szCs w:val="32"/>
          <w:lang w:val="en-US" w:eastAsia="zh-CN"/>
        </w:rPr>
      </w:pPr>
      <w:r>
        <w:rPr>
          <w:rFonts w:hint="eastAsia" w:ascii="黑体" w:hAnsi="宋体" w:eastAsia="黑体" w:cs="黑体"/>
          <w:sz w:val="32"/>
          <w:szCs w:val="32"/>
          <w:lang w:eastAsia="zh-CN"/>
        </w:rPr>
        <w:t>五、</w:t>
      </w:r>
      <w:r>
        <w:rPr>
          <w:rFonts w:hint="eastAsia" w:ascii="黑体" w:hAnsi="宋体" w:eastAsia="黑体" w:cs="黑体"/>
          <w:sz w:val="32"/>
          <w:szCs w:val="32"/>
        </w:rPr>
        <w:t>存在</w:t>
      </w:r>
      <w:r>
        <w:rPr>
          <w:rFonts w:hint="eastAsia" w:ascii="黑体" w:hAnsi="宋体" w:eastAsia="黑体" w:cs="黑体"/>
          <w:sz w:val="32"/>
          <w:szCs w:val="32"/>
          <w:lang w:val="en-US" w:eastAsia="zh-CN"/>
        </w:rPr>
        <w:t>的</w:t>
      </w:r>
      <w:r>
        <w:rPr>
          <w:rFonts w:hint="eastAsia" w:ascii="黑体" w:hAnsi="宋体" w:eastAsia="黑体" w:cs="黑体"/>
          <w:sz w:val="32"/>
          <w:szCs w:val="32"/>
        </w:rPr>
        <w:t>问题</w:t>
      </w:r>
      <w:r>
        <w:rPr>
          <w:rFonts w:hint="eastAsia" w:ascii="黑体" w:hAnsi="宋体" w:eastAsia="黑体" w:cs="黑体"/>
          <w:sz w:val="32"/>
          <w:szCs w:val="32"/>
          <w:lang w:val="en-US" w:eastAsia="zh-CN"/>
        </w:rPr>
        <w:t>和整改措施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spacing w:val="0"/>
          <w:sz w:val="32"/>
          <w:szCs w:val="32"/>
          <w:shd w:val="clear" w:fill="FFFFFF"/>
          <w:lang w:val="en-US" w:eastAsia="zh-CN"/>
        </w:rPr>
      </w:pPr>
      <w:r>
        <w:rPr>
          <w:rFonts w:hint="eastAsia" w:ascii="仿宋_GB2312" w:hAnsi="仿宋_GB2312" w:eastAsia="仿宋_GB2312" w:cs="仿宋_GB2312"/>
          <w:b w:val="0"/>
          <w:bCs w:val="0"/>
          <w:spacing w:val="0"/>
          <w:sz w:val="32"/>
          <w:szCs w:val="32"/>
          <w:shd w:val="clear" w:fill="FFFFFF"/>
          <w:lang w:val="en-US" w:eastAsia="zh-CN"/>
        </w:rPr>
        <w:t>2025年，滕州市商务和投资促进局政务公开工作取得了新的进展，但仍存在以下问题：</w:t>
      </w:r>
      <w:r>
        <w:rPr>
          <w:rFonts w:hint="default" w:ascii="仿宋_GB2312" w:hAnsi="仿宋_GB2312" w:eastAsia="仿宋_GB2312" w:cs="仿宋_GB2312"/>
          <w:b/>
          <w:bCs/>
          <w:spacing w:val="0"/>
          <w:sz w:val="32"/>
          <w:szCs w:val="32"/>
          <w:shd w:val="clear" w:fill="FFFFFF"/>
          <w:lang w:val="en-US" w:eastAsia="zh-CN"/>
        </w:rPr>
        <w:t>一是</w:t>
      </w:r>
      <w:r>
        <w:rPr>
          <w:rFonts w:hint="default" w:ascii="仿宋_GB2312" w:hAnsi="仿宋_GB2312" w:eastAsia="仿宋_GB2312" w:cs="仿宋_GB2312"/>
          <w:b w:val="0"/>
          <w:bCs w:val="0"/>
          <w:spacing w:val="0"/>
          <w:sz w:val="32"/>
          <w:szCs w:val="32"/>
          <w:shd w:val="clear" w:fill="FFFFFF"/>
          <w:lang w:val="en-US" w:eastAsia="zh-CN"/>
        </w:rPr>
        <w:t>政务公开的深度与效用有待进一步拓展。部分公开内容仍偏重于动态与结果发布，对决策背景、过程及实施效果的深入解读和系统性展示还可加强。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b w:val="0"/>
          <w:bCs w:val="0"/>
          <w:spacing w:val="0"/>
          <w:sz w:val="32"/>
          <w:szCs w:val="32"/>
          <w:shd w:val="clear" w:fill="FFFFFF"/>
          <w:lang w:val="en-US" w:eastAsia="zh-CN"/>
        </w:rPr>
      </w:pPr>
      <w:r>
        <w:rPr>
          <w:rFonts w:hint="default" w:ascii="仿宋_GB2312" w:hAnsi="仿宋_GB2312" w:eastAsia="仿宋_GB2312" w:cs="仿宋_GB2312"/>
          <w:b/>
          <w:bCs/>
          <w:spacing w:val="0"/>
          <w:sz w:val="32"/>
          <w:szCs w:val="32"/>
          <w:shd w:val="clear" w:fill="FFFFFF"/>
          <w:lang w:val="en-US" w:eastAsia="zh-CN"/>
        </w:rPr>
        <w:t>二是</w:t>
      </w:r>
      <w:r>
        <w:rPr>
          <w:rFonts w:hint="default" w:ascii="仿宋_GB2312" w:hAnsi="仿宋_GB2312" w:eastAsia="仿宋_GB2312" w:cs="仿宋_GB2312"/>
          <w:b w:val="0"/>
          <w:bCs w:val="0"/>
          <w:spacing w:val="0"/>
          <w:sz w:val="32"/>
          <w:szCs w:val="32"/>
          <w:shd w:val="clear" w:fill="FFFFFF"/>
          <w:lang w:val="en-US" w:eastAsia="zh-CN"/>
        </w:rPr>
        <w:t>政策服务与公众互动的精准性、便捷性需持续优化。在推动涉企惠企政策落地过程中，政策供给与企业群众个性化、场景化需求之间的匹配精度，以及政策咨询、反馈渠道的集成度和响应效率，仍有改进余地。</w:t>
      </w:r>
      <w:r>
        <w:rPr>
          <w:rFonts w:hint="default" w:ascii="仿宋_GB2312" w:hAnsi="仿宋_GB2312" w:eastAsia="仿宋_GB2312" w:cs="仿宋_GB2312"/>
          <w:b/>
          <w:bCs/>
          <w:spacing w:val="0"/>
          <w:sz w:val="32"/>
          <w:szCs w:val="32"/>
          <w:shd w:val="clear" w:fill="FFFFFF"/>
          <w:lang w:val="en-US" w:eastAsia="zh-CN"/>
        </w:rPr>
        <w:t>三是</w:t>
      </w:r>
      <w:r>
        <w:rPr>
          <w:rFonts w:hint="default" w:ascii="仿宋_GB2312" w:hAnsi="仿宋_GB2312" w:eastAsia="仿宋_GB2312" w:cs="仿宋_GB2312"/>
          <w:b w:val="0"/>
          <w:bCs w:val="0"/>
          <w:spacing w:val="0"/>
          <w:sz w:val="32"/>
          <w:szCs w:val="32"/>
          <w:shd w:val="clear" w:fill="FFFFFF"/>
          <w:lang w:val="en-US" w:eastAsia="zh-CN"/>
        </w:rPr>
        <w:t>政务公开标准化、规范化建设需不断巩固。随着公开平台与内容的日益丰富，在信息分类、发布格式、数据对接及长效运维机制等方面，需进一步强化标准指引与规范管理，提升整体工作质效。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spacing w:val="0"/>
          <w:sz w:val="32"/>
          <w:szCs w:val="32"/>
          <w:shd w:val="clear" w:fill="FFFFFF"/>
          <w:lang w:val="en-US" w:eastAsia="zh-CN"/>
        </w:rPr>
      </w:pPr>
      <w:r>
        <w:rPr>
          <w:rFonts w:hint="default" w:ascii="仿宋_GB2312" w:hAnsi="仿宋_GB2312" w:eastAsia="仿宋_GB2312" w:cs="仿宋_GB2312"/>
          <w:b w:val="0"/>
          <w:bCs w:val="0"/>
          <w:spacing w:val="0"/>
          <w:sz w:val="32"/>
          <w:szCs w:val="32"/>
          <w:shd w:val="clear" w:fill="FFFFFF"/>
          <w:lang w:val="en-US" w:eastAsia="zh-CN"/>
        </w:rPr>
        <w:t>针对以上方</w:t>
      </w:r>
      <w:r>
        <w:rPr>
          <w:rFonts w:hint="eastAsia" w:ascii="仿宋_GB2312" w:hAnsi="仿宋_GB2312" w:eastAsia="仿宋_GB2312" w:cs="仿宋_GB2312"/>
          <w:b w:val="0"/>
          <w:bCs w:val="0"/>
          <w:spacing w:val="0"/>
          <w:sz w:val="32"/>
          <w:szCs w:val="32"/>
          <w:shd w:val="clear" w:fill="FFFFFF"/>
          <w:lang w:val="en-US" w:eastAsia="zh-CN"/>
        </w:rPr>
        <w:t>向</w:t>
      </w:r>
      <w:r>
        <w:rPr>
          <w:rFonts w:hint="default" w:ascii="仿宋_GB2312" w:hAnsi="仿宋_GB2312" w:eastAsia="仿宋_GB2312" w:cs="仿宋_GB2312"/>
          <w:b w:val="0"/>
          <w:bCs w:val="0"/>
          <w:spacing w:val="0"/>
          <w:sz w:val="32"/>
          <w:szCs w:val="32"/>
          <w:shd w:val="clear" w:fill="FFFFFF"/>
          <w:lang w:val="en-US" w:eastAsia="zh-CN"/>
        </w:rPr>
        <w:t>202</w:t>
      </w:r>
      <w:r>
        <w:rPr>
          <w:rFonts w:hint="eastAsia" w:ascii="仿宋_GB2312" w:hAnsi="仿宋_GB2312" w:eastAsia="仿宋_GB2312" w:cs="仿宋_GB2312"/>
          <w:b w:val="0"/>
          <w:bCs w:val="0"/>
          <w:spacing w:val="0"/>
          <w:sz w:val="32"/>
          <w:szCs w:val="32"/>
          <w:shd w:val="clear" w:fill="FFFFFF"/>
          <w:lang w:val="en-US" w:eastAsia="zh-CN"/>
        </w:rPr>
        <w:t>6</w:t>
      </w:r>
      <w:r>
        <w:rPr>
          <w:rFonts w:hint="default" w:ascii="仿宋_GB2312" w:hAnsi="仿宋_GB2312" w:eastAsia="仿宋_GB2312" w:cs="仿宋_GB2312"/>
          <w:b w:val="0"/>
          <w:bCs w:val="0"/>
          <w:spacing w:val="0"/>
          <w:sz w:val="32"/>
          <w:szCs w:val="32"/>
          <w:shd w:val="clear" w:fill="FFFFFF"/>
          <w:lang w:val="en-US" w:eastAsia="zh-CN"/>
        </w:rPr>
        <w:t>年我们将重点采取以下措施予以加强：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spacing w:val="0"/>
          <w:sz w:val="32"/>
          <w:szCs w:val="32"/>
          <w:shd w:val="clear" w:fill="FFFFFF"/>
          <w:lang w:val="en-US" w:eastAsia="zh-CN"/>
        </w:rPr>
      </w:pPr>
      <w:r>
        <w:rPr>
          <w:rFonts w:hint="eastAsia" w:ascii="楷体_GB2312" w:hAnsi="楷体_GB2312" w:eastAsia="楷体_GB2312" w:cs="楷体_GB2312"/>
          <w:b w:val="0"/>
          <w:bCs w:val="0"/>
          <w:spacing w:val="0"/>
          <w:sz w:val="32"/>
          <w:szCs w:val="32"/>
          <w:shd w:val="clear" w:fill="FFFFFF"/>
          <w:lang w:val="en-US" w:eastAsia="zh-CN"/>
        </w:rPr>
        <w:t>一是深化公开内容建设，提升政务信息“含金量”。</w:t>
      </w:r>
      <w:r>
        <w:rPr>
          <w:rFonts w:hint="default" w:ascii="仿宋_GB2312" w:hAnsi="仿宋_GB2312" w:eastAsia="仿宋_GB2312" w:cs="仿宋_GB2312"/>
          <w:b w:val="0"/>
          <w:bCs w:val="0"/>
          <w:spacing w:val="0"/>
          <w:sz w:val="32"/>
          <w:szCs w:val="32"/>
          <w:shd w:val="clear" w:fill="FFFFFF"/>
          <w:lang w:val="en-US" w:eastAsia="zh-CN"/>
        </w:rPr>
        <w:t>在做好常规动态公开基础上，更加注重对重大决策、重点项目、关键数据的背景阐释、过程跟踪及效果评估解读，增强公开的实质性与影响力。</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spacing w:val="0"/>
          <w:sz w:val="32"/>
          <w:szCs w:val="32"/>
          <w:shd w:val="clear" w:fill="FFFFFF"/>
          <w:lang w:val="en-US" w:eastAsia="zh-CN"/>
        </w:rPr>
      </w:pPr>
      <w:r>
        <w:rPr>
          <w:rFonts w:hint="default" w:ascii="楷体_GB2312" w:hAnsi="楷体_GB2312" w:eastAsia="楷体_GB2312" w:cs="楷体_GB2312"/>
          <w:b w:val="0"/>
          <w:bCs w:val="0"/>
          <w:spacing w:val="0"/>
          <w:sz w:val="32"/>
          <w:szCs w:val="32"/>
          <w:shd w:val="clear" w:fill="FFFFFF"/>
          <w:lang w:val="en-US" w:eastAsia="zh-CN"/>
        </w:rPr>
        <w:t>二是优化政策服务与互动机制。</w:t>
      </w:r>
      <w:r>
        <w:rPr>
          <w:rFonts w:hint="default" w:ascii="仿宋_GB2312" w:hAnsi="仿宋_GB2312" w:eastAsia="仿宋_GB2312" w:cs="仿宋_GB2312"/>
          <w:b w:val="0"/>
          <w:bCs w:val="0"/>
          <w:spacing w:val="0"/>
          <w:sz w:val="32"/>
          <w:szCs w:val="32"/>
          <w:shd w:val="clear" w:fill="FFFFFF"/>
          <w:lang w:val="en-US" w:eastAsia="zh-CN"/>
        </w:rPr>
        <w:t>依托现有平台，探索构建集政策推送、咨询答疑、诉求征集、反馈跟踪于一体的线上服务模块。聚焦企业群众高频需求与关切，开展主题式、场景化政策推介，提升政策服务的主动性、靶向性和互动体验。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sz w:val="32"/>
          <w:szCs w:val="32"/>
          <w:shd w:val="clear" w:fill="FFFFFF"/>
          <w:lang w:val="en-US" w:eastAsia="zh-CN"/>
        </w:rPr>
      </w:pPr>
      <w:r>
        <w:rPr>
          <w:rFonts w:hint="default" w:ascii="楷体_GB2312" w:hAnsi="楷体_GB2312" w:eastAsia="楷体_GB2312" w:cs="楷体_GB2312"/>
          <w:b w:val="0"/>
          <w:bCs w:val="0"/>
          <w:spacing w:val="0"/>
          <w:sz w:val="32"/>
          <w:szCs w:val="32"/>
          <w:shd w:val="clear" w:fill="FFFFFF"/>
          <w:lang w:val="en-US" w:eastAsia="zh-CN"/>
        </w:rPr>
        <w:t>三是强化制度标准与平台运维，夯实公开工作基础。</w:t>
      </w:r>
      <w:r>
        <w:rPr>
          <w:rFonts w:hint="default" w:ascii="仿宋_GB2312" w:hAnsi="仿宋_GB2312" w:eastAsia="仿宋_GB2312" w:cs="仿宋_GB2312"/>
          <w:b w:val="0"/>
          <w:bCs w:val="0"/>
          <w:spacing w:val="0"/>
          <w:sz w:val="32"/>
          <w:szCs w:val="32"/>
          <w:shd w:val="clear" w:fill="FFFFFF"/>
          <w:lang w:val="en-US" w:eastAsia="zh-CN"/>
        </w:rPr>
        <w:t>进一步完善政务公开目录体系与内容规范，细化各环节操作标准。加强公开平台日常监测与动态管理，确保信息发布准确规范、渠道畅通安全。通过定期培训与督导，提升全局工作人员专业化、规范化操作能力，保障政务公开工作持续健康运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600" w:lineRule="exact"/>
        <w:ind w:left="0" w:firstLine="640" w:firstLineChars="200"/>
        <w:jc w:val="both"/>
        <w:textAlignment w:val="auto"/>
        <w:rPr>
          <w:rFonts w:hint="eastAsia" w:ascii="黑体" w:hAnsi="宋体" w:eastAsia="黑体" w:cs="黑体"/>
          <w:sz w:val="32"/>
          <w:szCs w:val="32"/>
          <w:lang w:val="en-US" w:eastAsia="zh-CN"/>
        </w:rPr>
      </w:pPr>
      <w:r>
        <w:rPr>
          <w:rFonts w:hint="eastAsia" w:ascii="黑体" w:hAnsi="宋体" w:eastAsia="黑体" w:cs="黑体"/>
          <w:sz w:val="32"/>
          <w:szCs w:val="32"/>
          <w:lang w:val="en-US" w:eastAsia="zh-CN"/>
        </w:rPr>
        <w:t>六、其他需要报告的事项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04"/>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shd w:val="clear" w:fill="FFFFFF"/>
        </w:rPr>
        <w:t>1.收取信息处理费情况方面。</w:t>
      </w:r>
      <w:r>
        <w:rPr>
          <w:rFonts w:hint="eastAsia" w:ascii="仿宋_GB2312" w:hAnsi="仿宋_GB2312" w:eastAsia="仿宋_GB2312" w:cs="仿宋_GB2312"/>
          <w:spacing w:val="0"/>
          <w:sz w:val="32"/>
          <w:szCs w:val="32"/>
          <w:shd w:val="clear" w:fill="FFFFFF"/>
          <w:lang w:eastAsia="zh-CN"/>
        </w:rPr>
        <w:t>2025年</w:t>
      </w:r>
      <w:r>
        <w:rPr>
          <w:rFonts w:hint="eastAsia" w:ascii="仿宋_GB2312" w:hAnsi="仿宋_GB2312" w:eastAsia="仿宋_GB2312" w:cs="仿宋_GB2312"/>
          <w:spacing w:val="0"/>
          <w:sz w:val="32"/>
          <w:szCs w:val="32"/>
          <w:shd w:val="clear" w:fill="FFFFFF"/>
        </w:rPr>
        <w:t>度，本单位未收取信息处理费；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04"/>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shd w:val="clear" w:fill="FFFFFF"/>
        </w:rPr>
        <w:t>2.落实上级年度政务公开工作要点情况。对照《枣庄市</w:t>
      </w:r>
      <w:r>
        <w:rPr>
          <w:rFonts w:hint="eastAsia" w:ascii="仿宋_GB2312" w:hAnsi="仿宋_GB2312" w:eastAsia="仿宋_GB2312" w:cs="仿宋_GB2312"/>
          <w:spacing w:val="0"/>
          <w:sz w:val="32"/>
          <w:szCs w:val="32"/>
          <w:shd w:val="clear" w:fill="FFFFFF"/>
          <w:lang w:eastAsia="zh-CN"/>
        </w:rPr>
        <w:t>2025年</w:t>
      </w:r>
      <w:r>
        <w:rPr>
          <w:rFonts w:hint="eastAsia" w:ascii="仿宋_GB2312" w:hAnsi="仿宋_GB2312" w:eastAsia="仿宋_GB2312" w:cs="仿宋_GB2312"/>
          <w:spacing w:val="0"/>
          <w:sz w:val="32"/>
          <w:szCs w:val="32"/>
          <w:shd w:val="clear" w:fill="FFFFFF"/>
        </w:rPr>
        <w:t>政务公开政务公开工作要点》和《滕州市</w:t>
      </w:r>
      <w:r>
        <w:rPr>
          <w:rFonts w:hint="eastAsia" w:ascii="仿宋_GB2312" w:hAnsi="仿宋_GB2312" w:eastAsia="仿宋_GB2312" w:cs="仿宋_GB2312"/>
          <w:spacing w:val="0"/>
          <w:sz w:val="32"/>
          <w:szCs w:val="32"/>
          <w:shd w:val="clear" w:fill="FFFFFF"/>
          <w:lang w:eastAsia="zh-CN"/>
        </w:rPr>
        <w:t>2025年</w:t>
      </w:r>
      <w:r>
        <w:rPr>
          <w:rFonts w:hint="eastAsia" w:ascii="仿宋_GB2312" w:hAnsi="仿宋_GB2312" w:eastAsia="仿宋_GB2312" w:cs="仿宋_GB2312"/>
          <w:spacing w:val="0"/>
          <w:sz w:val="32"/>
          <w:szCs w:val="32"/>
          <w:shd w:val="clear" w:fill="FFFFFF"/>
        </w:rPr>
        <w:t>政务公开工作要点》，围绕重点领域信息公开、政策发布解读与回应、政民互动、基层政务公开标准化规范化建设和工作保障和落实逐项明确责任主体和完成时限。</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04"/>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shd w:val="clear" w:fill="FFFFFF"/>
        </w:rPr>
        <w:t>3.人大代表建议和政协提案办理情况方面。</w:t>
      </w:r>
      <w:r>
        <w:rPr>
          <w:rFonts w:hint="eastAsia" w:ascii="仿宋_GB2312" w:hAnsi="仿宋_GB2312" w:eastAsia="仿宋_GB2312" w:cs="仿宋_GB2312"/>
          <w:spacing w:val="0"/>
          <w:sz w:val="32"/>
          <w:szCs w:val="32"/>
          <w:shd w:val="clear" w:fill="FFFFFF"/>
          <w:lang w:eastAsia="zh-CN"/>
        </w:rPr>
        <w:t>2025年</w:t>
      </w:r>
      <w:r>
        <w:rPr>
          <w:rFonts w:hint="eastAsia" w:ascii="仿宋_GB2312" w:hAnsi="仿宋_GB2312" w:eastAsia="仿宋_GB2312" w:cs="仿宋_GB2312"/>
          <w:spacing w:val="0"/>
          <w:sz w:val="32"/>
          <w:szCs w:val="32"/>
          <w:shd w:val="clear" w:fill="FFFFFF"/>
        </w:rPr>
        <w:t>，市商务和投资促进局承办人大代表建议</w:t>
      </w:r>
      <w:r>
        <w:rPr>
          <w:rFonts w:hint="eastAsia" w:ascii="仿宋_GB2312" w:hAnsi="仿宋_GB2312" w:eastAsia="仿宋_GB2312" w:cs="仿宋_GB2312"/>
          <w:spacing w:val="0"/>
          <w:sz w:val="32"/>
          <w:szCs w:val="32"/>
          <w:shd w:val="clear" w:fill="FFFFFF"/>
          <w:lang w:val="en-US" w:eastAsia="zh-CN"/>
        </w:rPr>
        <w:t>8</w:t>
      </w:r>
      <w:r>
        <w:rPr>
          <w:rFonts w:hint="eastAsia" w:ascii="仿宋_GB2312" w:hAnsi="仿宋_GB2312" w:eastAsia="仿宋_GB2312" w:cs="仿宋_GB2312"/>
          <w:spacing w:val="0"/>
          <w:sz w:val="32"/>
          <w:szCs w:val="32"/>
          <w:shd w:val="clear" w:fill="FFFFFF"/>
        </w:rPr>
        <w:t>件、政协提案</w:t>
      </w:r>
      <w:r>
        <w:rPr>
          <w:rFonts w:hint="eastAsia" w:ascii="仿宋_GB2312" w:hAnsi="仿宋_GB2312" w:eastAsia="仿宋_GB2312" w:cs="仿宋_GB2312"/>
          <w:spacing w:val="0"/>
          <w:sz w:val="32"/>
          <w:szCs w:val="32"/>
          <w:shd w:val="clear" w:fill="FFFFFF"/>
          <w:lang w:val="en-US" w:eastAsia="zh-CN"/>
        </w:rPr>
        <w:t>29</w:t>
      </w:r>
      <w:r>
        <w:rPr>
          <w:rFonts w:hint="eastAsia" w:ascii="仿宋_GB2312" w:hAnsi="仿宋_GB2312" w:eastAsia="仿宋_GB2312" w:cs="仿宋_GB2312"/>
          <w:spacing w:val="0"/>
          <w:sz w:val="32"/>
          <w:szCs w:val="32"/>
          <w:shd w:val="clear" w:fill="FFFFFF"/>
        </w:rPr>
        <w:t>件，均已办结；</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04"/>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shd w:val="clear" w:fill="FFFFFF"/>
        </w:rPr>
        <w:t>4.开展政务公开创新方面。开通</w:t>
      </w:r>
      <w:r>
        <w:rPr>
          <w:rFonts w:hint="eastAsia" w:ascii="仿宋_GB2312" w:hAnsi="仿宋_GB2312" w:eastAsia="仿宋_GB2312" w:cs="仿宋_GB2312"/>
          <w:spacing w:val="0"/>
          <w:sz w:val="32"/>
          <w:szCs w:val="32"/>
          <w:shd w:val="clear" w:fill="FFFFFF"/>
          <w:lang w:eastAsia="zh-CN"/>
        </w:rPr>
        <w:t>《</w:t>
      </w:r>
      <w:r>
        <w:rPr>
          <w:rFonts w:hint="eastAsia" w:ascii="仿宋_GB2312" w:hAnsi="仿宋_GB2312" w:eastAsia="仿宋_GB2312" w:cs="仿宋_GB2312"/>
          <w:spacing w:val="0"/>
          <w:sz w:val="32"/>
          <w:szCs w:val="32"/>
          <w:shd w:val="clear" w:fill="FFFFFF"/>
        </w:rPr>
        <w:t>滕州商务</w:t>
      </w:r>
      <w:r>
        <w:rPr>
          <w:rFonts w:hint="eastAsia" w:ascii="仿宋_GB2312" w:hAnsi="仿宋_GB2312" w:eastAsia="仿宋_GB2312" w:cs="仿宋_GB2312"/>
          <w:spacing w:val="0"/>
          <w:sz w:val="32"/>
          <w:szCs w:val="32"/>
          <w:shd w:val="clear" w:fill="FFFFFF"/>
          <w:lang w:eastAsia="zh-CN"/>
        </w:rPr>
        <w:t>》</w:t>
      </w:r>
      <w:r>
        <w:rPr>
          <w:rFonts w:hint="eastAsia" w:ascii="仿宋_GB2312" w:hAnsi="仿宋_GB2312" w:eastAsia="仿宋_GB2312" w:cs="仿宋_GB2312"/>
          <w:spacing w:val="0"/>
          <w:sz w:val="32"/>
          <w:szCs w:val="32"/>
          <w:shd w:val="clear" w:fill="FFFFFF"/>
        </w:rPr>
        <w:t>微信公众号，创新政务公开形式。</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04"/>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shd w:val="clear" w:fill="FFFFFF"/>
        </w:rPr>
        <w:t>5.本单位政府信息公开工作年度报告数据统计需要说明的事项：无</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04"/>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shd w:val="clear" w:fill="FFFFFF"/>
        </w:rPr>
        <w:t>6.其他有关文件专门要求通过政府信息公开工作年度报告予以报告的事项：无</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sz w:val="28"/>
          <w:szCs w:val="28"/>
        </w:rPr>
      </w:pPr>
      <w:r>
        <w:rPr>
          <w:rFonts w:hint="eastAsia" w:ascii="仿宋_GB2312" w:hAnsi="仿宋_GB2312" w:eastAsia="仿宋_GB2312" w:cs="仿宋_GB2312"/>
          <w:spacing w:val="0"/>
          <w:sz w:val="32"/>
          <w:szCs w:val="32"/>
          <w:shd w:val="clear" w:fill="FFFFFF"/>
        </w:rPr>
        <w:t>  7.本报告的电子版可在“中国滕州网”（http://www.tengzhou.gov.cn/）网站查询和下载。如对本报告有任何疑问，请与滕州市商务和投资促进局办公室（研究室）联系。（地址：山东省滕州市北辛中路政务中心</w:t>
      </w:r>
      <w:r>
        <w:rPr>
          <w:rFonts w:hint="eastAsia" w:ascii="仿宋_GB2312" w:hAnsi="仿宋_GB2312" w:eastAsia="仿宋_GB2312" w:cs="仿宋_GB2312"/>
          <w:spacing w:val="0"/>
          <w:sz w:val="32"/>
          <w:szCs w:val="32"/>
          <w:shd w:val="clear" w:fill="FFFFFF"/>
          <w:lang w:val="en-US" w:eastAsia="zh-CN"/>
        </w:rPr>
        <w:t>A</w:t>
      </w:r>
      <w:r>
        <w:rPr>
          <w:rFonts w:hint="eastAsia" w:ascii="仿宋_GB2312" w:hAnsi="仿宋_GB2312" w:eastAsia="仿宋_GB2312" w:cs="仿宋_GB2312"/>
          <w:spacing w:val="0"/>
          <w:sz w:val="32"/>
          <w:szCs w:val="32"/>
          <w:shd w:val="clear" w:fill="FFFFFF"/>
        </w:rPr>
        <w:t>304房间，联系电话：0632—5888304，电子邮箱：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"mailto:tzzwgk@zz.shandong.cn%EF%BC%89%E3%80%82" </w:instrText>
      </w:r>
      <w:r>
        <w:rPr>
          <w:rFonts w:hint="eastAsia" w:ascii="仿宋_GB2312" w:hAnsi="仿宋_GB2312" w:eastAsia="仿宋_GB2312" w:cs="仿宋_GB2312"/>
          <w:sz w:val="32"/>
          <w:szCs w:val="32"/>
        </w:rPr>
        <w:fldChar w:fldCharType="separate"/>
      </w:r>
      <w:r>
        <w:rPr>
          <w:rStyle w:val="9"/>
          <w:rFonts w:hint="eastAsia" w:ascii="仿宋_GB2312" w:hAnsi="仿宋_GB2312" w:eastAsia="仿宋_GB2312" w:cs="仿宋_GB2312"/>
          <w:color w:val="333333"/>
          <w:spacing w:val="0"/>
          <w:sz w:val="32"/>
          <w:szCs w:val="32"/>
          <w:shd w:val="clear" w:fill="FFFFFF"/>
        </w:rPr>
        <w:t>tzwjmj@163.com</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0"/>
          <w:sz w:val="32"/>
          <w:szCs w:val="32"/>
          <w:shd w:val="clear" w:fill="FFFFFF"/>
        </w:rPr>
        <w:t>）</w:t>
      </w:r>
      <w:r>
        <w:rPr>
          <w:rFonts w:hint="eastAsia" w:ascii="仿宋_GB2312" w:hAnsi="仿宋_GB2312" w:eastAsia="仿宋_GB2312" w:cs="仿宋_GB2312"/>
          <w:sz w:val="32"/>
          <w:szCs w:val="32"/>
        </w:rPr>
        <w:t>   </w:t>
      </w:r>
      <w:r>
        <w:rPr>
          <w:rFonts w:hint="eastAsia" w:ascii="仿宋_GB2312" w:eastAsia="仿宋_GB2312" w:cs="仿宋_GB2312"/>
          <w:sz w:val="28"/>
          <w:szCs w:val="28"/>
        </w:rPr>
        <w:t> </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600" w:lineRule="exact"/>
        <w:ind w:left="0" w:firstLine="640" w:firstLineChars="200"/>
        <w:jc w:val="both"/>
        <w:textAlignment w:val="auto"/>
        <w:rPr>
          <w:rFonts w:hint="eastAsia" w:ascii="黑体" w:hAnsi="宋体" w:eastAsia="黑体" w:cs="黑体"/>
          <w:sz w:val="32"/>
          <w:szCs w:val="32"/>
        </w:rPr>
      </w:pPr>
    </w:p>
    <w:sectPr>
      <w:footerReference r:id="rId3"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思源黑体 CN Bold">
    <w:panose1 w:val="020B0500000000000000"/>
    <w:charset w:val="86"/>
    <w:family w:val="auto"/>
    <w:pitch w:val="default"/>
    <w:sig w:usb0="20000003" w:usb1="2ADF3C10" w:usb2="00000016" w:usb3="00000000" w:csb0="60060107"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方正楷体_GB2312">
    <w:altName w:val="楷体_GB2312"/>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7689DE"/>
    <w:multiLevelType w:val="singleLevel"/>
    <w:tmpl w:val="CB7689D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NGQ3ZTMyZTZjNTI2ZGJmZDk4NmNiMTkxZDg1NDEifQ=="/>
  </w:docVars>
  <w:rsids>
    <w:rsidRoot w:val="00000000"/>
    <w:rsid w:val="0031380D"/>
    <w:rsid w:val="00C14B91"/>
    <w:rsid w:val="016814B1"/>
    <w:rsid w:val="01CB0F78"/>
    <w:rsid w:val="02C92423"/>
    <w:rsid w:val="02FE031F"/>
    <w:rsid w:val="030E7E36"/>
    <w:rsid w:val="04C3012D"/>
    <w:rsid w:val="04D72BD5"/>
    <w:rsid w:val="052676B9"/>
    <w:rsid w:val="073562D9"/>
    <w:rsid w:val="07465DF0"/>
    <w:rsid w:val="07C338E5"/>
    <w:rsid w:val="07FB4E2D"/>
    <w:rsid w:val="080C703A"/>
    <w:rsid w:val="08567150"/>
    <w:rsid w:val="09523172"/>
    <w:rsid w:val="0A757631"/>
    <w:rsid w:val="0B5036E2"/>
    <w:rsid w:val="0BCF0AAA"/>
    <w:rsid w:val="0D696CDD"/>
    <w:rsid w:val="0DE545B5"/>
    <w:rsid w:val="0ED40186"/>
    <w:rsid w:val="0F2F360E"/>
    <w:rsid w:val="11A47A44"/>
    <w:rsid w:val="126006AE"/>
    <w:rsid w:val="12AF6F40"/>
    <w:rsid w:val="12C744E4"/>
    <w:rsid w:val="1306440E"/>
    <w:rsid w:val="130F79DE"/>
    <w:rsid w:val="13386F35"/>
    <w:rsid w:val="13750189"/>
    <w:rsid w:val="13DB3D64"/>
    <w:rsid w:val="143A0A8B"/>
    <w:rsid w:val="15602773"/>
    <w:rsid w:val="15653D5E"/>
    <w:rsid w:val="16493207"/>
    <w:rsid w:val="164E4CC1"/>
    <w:rsid w:val="175062B0"/>
    <w:rsid w:val="182061EA"/>
    <w:rsid w:val="1824217E"/>
    <w:rsid w:val="183D3240"/>
    <w:rsid w:val="187622AE"/>
    <w:rsid w:val="19B4308D"/>
    <w:rsid w:val="1A2B77F4"/>
    <w:rsid w:val="1ADA4D76"/>
    <w:rsid w:val="1B2B0976"/>
    <w:rsid w:val="1BA01B1B"/>
    <w:rsid w:val="1BD85D3E"/>
    <w:rsid w:val="1C69015F"/>
    <w:rsid w:val="1CA473E9"/>
    <w:rsid w:val="1CFA525B"/>
    <w:rsid w:val="1E201B9E"/>
    <w:rsid w:val="1EFE2F32"/>
    <w:rsid w:val="1F234F3D"/>
    <w:rsid w:val="206C45C7"/>
    <w:rsid w:val="22405E06"/>
    <w:rsid w:val="22435553"/>
    <w:rsid w:val="226D64CF"/>
    <w:rsid w:val="230518A8"/>
    <w:rsid w:val="23690DB1"/>
    <w:rsid w:val="24165E61"/>
    <w:rsid w:val="2441618A"/>
    <w:rsid w:val="248B7883"/>
    <w:rsid w:val="26551754"/>
    <w:rsid w:val="2670658E"/>
    <w:rsid w:val="28215D92"/>
    <w:rsid w:val="28250763"/>
    <w:rsid w:val="284952E9"/>
    <w:rsid w:val="299802D6"/>
    <w:rsid w:val="2AFB4FC0"/>
    <w:rsid w:val="2B6C37C8"/>
    <w:rsid w:val="2C387AF5"/>
    <w:rsid w:val="2CC82C80"/>
    <w:rsid w:val="2CFA6F40"/>
    <w:rsid w:val="2D1265F1"/>
    <w:rsid w:val="2D884135"/>
    <w:rsid w:val="2DB476A8"/>
    <w:rsid w:val="2E254102"/>
    <w:rsid w:val="2E61338C"/>
    <w:rsid w:val="2F104DB2"/>
    <w:rsid w:val="2F243AEC"/>
    <w:rsid w:val="2F326F6B"/>
    <w:rsid w:val="2F3B34B0"/>
    <w:rsid w:val="2F425D32"/>
    <w:rsid w:val="305667F5"/>
    <w:rsid w:val="30C916BD"/>
    <w:rsid w:val="32A93554"/>
    <w:rsid w:val="337A6C9E"/>
    <w:rsid w:val="33BC2E13"/>
    <w:rsid w:val="33BE2874"/>
    <w:rsid w:val="33E52369"/>
    <w:rsid w:val="33EF4F96"/>
    <w:rsid w:val="35011425"/>
    <w:rsid w:val="354B08F2"/>
    <w:rsid w:val="364610BA"/>
    <w:rsid w:val="364F7F6E"/>
    <w:rsid w:val="36B50719"/>
    <w:rsid w:val="36DA0180"/>
    <w:rsid w:val="372E04CB"/>
    <w:rsid w:val="37CE1DAE"/>
    <w:rsid w:val="383A26CD"/>
    <w:rsid w:val="3846585A"/>
    <w:rsid w:val="38EC5F48"/>
    <w:rsid w:val="392E47B3"/>
    <w:rsid w:val="3AEA64B7"/>
    <w:rsid w:val="3AFA2446"/>
    <w:rsid w:val="3AFB06C4"/>
    <w:rsid w:val="3BED2703"/>
    <w:rsid w:val="3BFB195D"/>
    <w:rsid w:val="3C4F6F1A"/>
    <w:rsid w:val="3C940DD1"/>
    <w:rsid w:val="3D567E34"/>
    <w:rsid w:val="3E94330A"/>
    <w:rsid w:val="3F32042D"/>
    <w:rsid w:val="3F6820A1"/>
    <w:rsid w:val="3FDD2AF8"/>
    <w:rsid w:val="417C1E33"/>
    <w:rsid w:val="44122F0E"/>
    <w:rsid w:val="442742D8"/>
    <w:rsid w:val="444430DC"/>
    <w:rsid w:val="44705C7F"/>
    <w:rsid w:val="45464A47"/>
    <w:rsid w:val="45F75F2C"/>
    <w:rsid w:val="467909EF"/>
    <w:rsid w:val="46BD0F24"/>
    <w:rsid w:val="46FC1A4C"/>
    <w:rsid w:val="47242D51"/>
    <w:rsid w:val="492E6109"/>
    <w:rsid w:val="494B2817"/>
    <w:rsid w:val="49CA4084"/>
    <w:rsid w:val="49DB003F"/>
    <w:rsid w:val="4BFB4538"/>
    <w:rsid w:val="4D295EA4"/>
    <w:rsid w:val="4D6473B4"/>
    <w:rsid w:val="4E4F6905"/>
    <w:rsid w:val="4F442AF1"/>
    <w:rsid w:val="4F9071D6"/>
    <w:rsid w:val="500A3750"/>
    <w:rsid w:val="504C71A8"/>
    <w:rsid w:val="5106297C"/>
    <w:rsid w:val="5164091A"/>
    <w:rsid w:val="52E57838"/>
    <w:rsid w:val="52ED493F"/>
    <w:rsid w:val="539349F0"/>
    <w:rsid w:val="547D1CF3"/>
    <w:rsid w:val="557E1851"/>
    <w:rsid w:val="55C37BD9"/>
    <w:rsid w:val="57C70491"/>
    <w:rsid w:val="585C67EF"/>
    <w:rsid w:val="58A67A6A"/>
    <w:rsid w:val="58BE3005"/>
    <w:rsid w:val="58C3686E"/>
    <w:rsid w:val="594F3C5E"/>
    <w:rsid w:val="597827FF"/>
    <w:rsid w:val="5A511C57"/>
    <w:rsid w:val="5AA3444B"/>
    <w:rsid w:val="5B4E6197"/>
    <w:rsid w:val="5B5F2276"/>
    <w:rsid w:val="5B9718EC"/>
    <w:rsid w:val="5BA302C2"/>
    <w:rsid w:val="5BF50713"/>
    <w:rsid w:val="5C62639E"/>
    <w:rsid w:val="5D551A5E"/>
    <w:rsid w:val="5D885B92"/>
    <w:rsid w:val="5DB22A0D"/>
    <w:rsid w:val="5DDD2180"/>
    <w:rsid w:val="5E1436C8"/>
    <w:rsid w:val="5FA36AB1"/>
    <w:rsid w:val="5FAD16DE"/>
    <w:rsid w:val="604A33D1"/>
    <w:rsid w:val="611A0FF5"/>
    <w:rsid w:val="63584057"/>
    <w:rsid w:val="63FF44D2"/>
    <w:rsid w:val="64F13BAE"/>
    <w:rsid w:val="655645C6"/>
    <w:rsid w:val="65D35F9E"/>
    <w:rsid w:val="66926769"/>
    <w:rsid w:val="67466C0A"/>
    <w:rsid w:val="67A26502"/>
    <w:rsid w:val="67DD0FCE"/>
    <w:rsid w:val="6AB73D58"/>
    <w:rsid w:val="6BD149A6"/>
    <w:rsid w:val="6BE91CF0"/>
    <w:rsid w:val="6C9A123C"/>
    <w:rsid w:val="6CD04C5E"/>
    <w:rsid w:val="6DE68309"/>
    <w:rsid w:val="6EAE5472"/>
    <w:rsid w:val="6F23376B"/>
    <w:rsid w:val="6F737553"/>
    <w:rsid w:val="6F741481"/>
    <w:rsid w:val="6FB410D2"/>
    <w:rsid w:val="70C04FE9"/>
    <w:rsid w:val="710B3DC7"/>
    <w:rsid w:val="71C805F9"/>
    <w:rsid w:val="72C26D78"/>
    <w:rsid w:val="73247AB1"/>
    <w:rsid w:val="73880040"/>
    <w:rsid w:val="75EA7003"/>
    <w:rsid w:val="77043E82"/>
    <w:rsid w:val="77642B72"/>
    <w:rsid w:val="77AE0291"/>
    <w:rsid w:val="77ED700C"/>
    <w:rsid w:val="785859A5"/>
    <w:rsid w:val="7955F681"/>
    <w:rsid w:val="79D20E2A"/>
    <w:rsid w:val="7B220199"/>
    <w:rsid w:val="7B3F5D4C"/>
    <w:rsid w:val="7B3F6139"/>
    <w:rsid w:val="7B3F7B7E"/>
    <w:rsid w:val="7B66335D"/>
    <w:rsid w:val="7B7517F2"/>
    <w:rsid w:val="7BF24BF0"/>
    <w:rsid w:val="7C3C6C20"/>
    <w:rsid w:val="7C772F6E"/>
    <w:rsid w:val="7E370FE0"/>
    <w:rsid w:val="7E6416AA"/>
    <w:rsid w:val="7FC5201F"/>
    <w:rsid w:val="A4F779A6"/>
    <w:rsid w:val="BBEF14BE"/>
    <w:rsid w:val="DFFC4BB7"/>
    <w:rsid w:val="DFFD2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tmp/wps.rhxaFA/Chart%20in%20Wp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12332313485526"/>
          <c:y val="0.00829673011224988"/>
        </c:manualLayout>
      </c:layout>
      <c:overlay val="0"/>
      <c:spPr>
        <a:noFill/>
        <a:ln>
          <a:noFill/>
        </a:ln>
        <a:effectLst/>
      </c:spPr>
      <c:txPr>
        <a:bodyPr rot="0" spcFirstLastPara="0" vertOverflow="ellipsis" vert="horz" wrap="square" anchor="ctr" anchorCtr="1"/>
        <a:lstStyle/>
        <a:p>
          <a:pPr>
            <a:defRPr lang="zh-CN" sz="1200" b="1"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'[Chart in Wps.xlsx]Sheet1'!$B$1</c:f>
              <c:strCache>
                <c:ptCount val="1"/>
                <c:pt idx="0">
                  <c:v>主动公开信息</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0.0662508825606025"/>
                  <c:y val="-0.011062306816333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802541774535185"/>
                  <c:y val="-0.0027655767040832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762532360555425"/>
                  <c:y val="0.024890190336749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186514473993881"/>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0441280301247352"/>
                  <c:y val="0.038718073857166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6057895975524"/>
                      <c:h val="0.126891166422645"/>
                    </c:manualLayout>
                  </c15:layout>
                </c:ext>
              </c:extLst>
            </c:dLbl>
            <c:numFmt formatCode="0.0%" sourceLinked="0"/>
            <c:spPr>
              <a:noFill/>
              <a:ln>
                <a:noFill/>
              </a:ln>
              <a:effectLst/>
            </c:spPr>
            <c:txPr>
              <a:bodyPr rot="0" spcFirstLastPara="0" vertOverflow="ellipsis" vert="horz" wrap="square" lIns="38100" tIns="19050" rIns="38100" bIns="19050" anchor="t" anchorCtr="1">
                <a:spAutoFit/>
              </a:bodyPr>
              <a:lstStyle/>
              <a:p>
                <a:pPr>
                  <a:defRPr lang="zh-CN" sz="1000" b="1" i="0" u="none" strike="noStrike" kern="1200" baseline="0">
                    <a:gradFill>
                      <a:gsLst>
                        <a:gs pos="0">
                          <a:srgbClr val="012D86"/>
                        </a:gs>
                        <a:gs pos="100000">
                          <a:srgbClr val="0E2557"/>
                        </a:gs>
                      </a:gsLst>
                      <a:lin ang="960000" scaled="0"/>
                    </a:gradFill>
                    <a:effectLst>
                      <a:outerShdw blurRad="50800" dist="38100" dir="2700000" sx="1000" sy="1000" algn="tl" rotWithShape="0">
                        <a:prstClr val="black">
                          <a:alpha val="40000"/>
                        </a:prstClr>
                      </a:outerShdw>
                    </a:effectLst>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in Wps.xlsx]Sheet1'!$A$2:$A$8</c:f>
              <c:strCache>
                <c:ptCount val="7"/>
                <c:pt idx="0">
                  <c:v>通知公告</c:v>
                </c:pt>
                <c:pt idx="1">
                  <c:v>规划计划信息</c:v>
                </c:pt>
                <c:pt idx="2">
                  <c:v>财政信息</c:v>
                </c:pt>
                <c:pt idx="3">
                  <c:v>重大民生信息</c:v>
                </c:pt>
                <c:pt idx="4">
                  <c:v>建议提案信息</c:v>
                </c:pt>
                <c:pt idx="5">
                  <c:v>组织管理信息</c:v>
                </c:pt>
                <c:pt idx="6">
                  <c:v>政务公开基本目录</c:v>
                </c:pt>
              </c:strCache>
            </c:strRef>
          </c:cat>
          <c:val>
            <c:numRef>
              <c:f>'[Chart in Wps.xlsx]Sheet1'!$B$2:$B$8</c:f>
              <c:numCache>
                <c:formatCode>0.00%</c:formatCode>
                <c:ptCount val="7"/>
                <c:pt idx="0">
                  <c:v>0.066</c:v>
                </c:pt>
                <c:pt idx="1">
                  <c:v>0.016</c:v>
                </c:pt>
                <c:pt idx="2">
                  <c:v>0.066</c:v>
                </c:pt>
                <c:pt idx="3">
                  <c:v>0.164</c:v>
                </c:pt>
                <c:pt idx="4">
                  <c:v>0.607</c:v>
                </c:pt>
                <c:pt idx="5">
                  <c:v>0.066</c:v>
                </c:pt>
                <c:pt idx="6">
                  <c:v>0.016</c:v>
                </c:pt>
              </c:numCache>
            </c:numRef>
          </c:val>
        </c:ser>
        <c:dLbls>
          <c:showLegendKey val="0"/>
          <c:showVal val="1"/>
          <c:showCatName val="0"/>
          <c:showSerName val="0"/>
          <c:showPercent val="0"/>
          <c:showBubbleSize val="0"/>
          <c:showLeaderLines val="1"/>
        </c:dLbls>
        <c:firstSliceAng val="14"/>
      </c:pieChart>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lang="zh-CN" sz="1000" b="1"/>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1349</Words>
  <Characters>1398</Characters>
  <Lines>0</Lines>
  <Paragraphs>0</Paragraphs>
  <TotalTime>0</TotalTime>
  <ScaleCrop>false</ScaleCrop>
  <LinksUpToDate>false</LinksUpToDate>
  <CharactersWithSpaces>1398</CharactersWithSpaces>
  <Application>WPS Office_11.8.2.12380_F1E327BC-269C-435d-A152-05C5408002CA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2023-02-10T01:33:00Z</dcterms:created>
  <dc:creator>pc</dc:creator>
  <cp:lastModifiedBy>user</cp:lastModifiedBy>
  <dcterms:modified xsi:type="dcterms:W3CDTF">2026-01-20T16:14:01Z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2052-11.8.2.12380</vt:lpwstr>
  </property>
  <property fmtid="{D5CDD505-2E9C-101B-9397-08002B2CF9AE}" pid="3" name="ICV">
    <vt:lpwstr>70F0A3AE58DDE475D42C52695E97506E</vt:lpwstr>
  </property>
  <property fmtid="{D5CDD505-2E9C-101B-9397-08002B2CF9AE}" pid="4" name="KSOTemplateDocerSaveRecord">
    <vt:lpwstr>eyJoZGlkIjoiMjY5NGQ3ZTMyZTZjNTI2ZGJmZDk4NmNiMTkxZDg1NDEiLCJ1c2VySWQiOiIzMDc3NzMwOTUifQ==</vt:lpwstr>
  </property>
</Properties>
</file>