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AC0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pPr>
    </w:p>
    <w:p w14:paraId="3FBF98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t>滕州市</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rPr>
        <w:t>荆河街道办事处</w:t>
      </w:r>
    </w:p>
    <w:p w14:paraId="46B9F5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17"/>
          <w:sz w:val="44"/>
          <w:szCs w:val="44"/>
          <w:shd w:val="clear" w:color="auto" w:fill="FFFFFF"/>
          <w:lang w:val="en-US" w:eastAsia="zh-CN"/>
        </w:rPr>
        <w:t>2025年</w:t>
      </w:r>
      <w:r>
        <w:rPr>
          <w:rFonts w:hint="eastAsia" w:ascii="方正小标宋简体" w:hAnsi="方正小标宋简体" w:eastAsia="方正小标宋简体" w:cs="方正小标宋简体"/>
          <w:b w:val="0"/>
          <w:bCs/>
          <w:i w:val="0"/>
          <w:caps w:val="0"/>
          <w:color w:val="333333"/>
          <w:spacing w:val="-17"/>
          <w:sz w:val="44"/>
          <w:szCs w:val="44"/>
          <w:shd w:val="clear" w:color="auto" w:fill="FFFFFF"/>
        </w:rPr>
        <w:t>政府信息公开工作</w:t>
      </w:r>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年度报告</w:t>
      </w:r>
    </w:p>
    <w:p w14:paraId="41DC3EC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b w:val="0"/>
          <w:bCs/>
          <w:sz w:val="32"/>
          <w:szCs w:val="32"/>
          <w:lang w:val="en-US" w:eastAsia="zh-CN"/>
        </w:rPr>
      </w:pPr>
    </w:p>
    <w:p w14:paraId="2192E2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lang w:val="en-US" w:eastAsia="zh-CN"/>
        </w:rPr>
      </w:pPr>
      <w:r>
        <w:rPr>
          <w:rFonts w:hint="eastAsia" w:ascii="仿宋_GB2312" w:hAnsi="仿宋_GB2312" w:eastAsia="仿宋_GB2312" w:cs="仿宋_GB2312"/>
          <w:sz w:val="32"/>
          <w:szCs w:val="32"/>
          <w:highlight w:val="none"/>
        </w:rPr>
        <w:t>根据《中华人民共和国政府信息公开条例》（以下简称《条例》）规定，现公布滕州市人民政府</w:t>
      </w:r>
      <w:r>
        <w:rPr>
          <w:rFonts w:hint="eastAsia" w:ascii="仿宋_GB2312" w:hAnsi="仿宋_GB2312" w:eastAsia="仿宋_GB2312" w:cs="仿宋_GB2312"/>
          <w:sz w:val="32"/>
          <w:szCs w:val="32"/>
          <w:highlight w:val="none"/>
          <w:lang w:val="en-US" w:eastAsia="zh-CN"/>
        </w:rPr>
        <w:t>荆河</w:t>
      </w:r>
      <w:r>
        <w:rPr>
          <w:rFonts w:hint="eastAsia" w:ascii="仿宋_GB2312" w:hAnsi="仿宋_GB2312" w:eastAsia="仿宋_GB2312" w:cs="仿宋_GB2312"/>
          <w:sz w:val="32"/>
          <w:szCs w:val="32"/>
          <w:highlight w:val="none"/>
        </w:rPr>
        <w:t>街道办事处 202</w:t>
      </w:r>
      <w:r>
        <w:rPr>
          <w:rFonts w:hint="eastAsia" w:ascii="仿宋_GB2312" w:hAnsi="仿宋_GB2312" w:eastAsia="仿宋_GB2312" w:cs="仿宋_GB2312"/>
          <w:sz w:val="32"/>
          <w:szCs w:val="32"/>
          <w:highlight w:val="none"/>
          <w:lang w:val="en-US"/>
        </w:rPr>
        <w:t>5</w:t>
      </w:r>
      <w:r>
        <w:rPr>
          <w:rFonts w:hint="eastAsia" w:ascii="仿宋_GB2312" w:hAnsi="仿宋_GB2312" w:eastAsia="仿宋_GB2312" w:cs="仿宋_GB2312"/>
          <w:sz w:val="32"/>
          <w:szCs w:val="32"/>
          <w:highlight w:val="none"/>
        </w:rPr>
        <w:t xml:space="preserve"> 年政府信息公开工作年度报告。本报告由总体情况、主动公开政府信息情况、收到和处理政府信息公开申请情况、政府信息公开行政复议和行政诉讼情况、存在的主要问题及改进情况、其他需要报告的事项六部分组成。本报告中所列数据的统计期限自202</w:t>
      </w:r>
      <w:r>
        <w:rPr>
          <w:rFonts w:hint="eastAsia" w:ascii="仿宋_GB2312" w:hAnsi="仿宋_GB2312" w:eastAsia="仿宋_GB2312" w:cs="仿宋_GB2312"/>
          <w:sz w:val="32"/>
          <w:szCs w:val="32"/>
          <w:highlight w:val="none"/>
          <w:lang w:val="en-US"/>
        </w:rPr>
        <w:t>5</w:t>
      </w:r>
      <w:r>
        <w:rPr>
          <w:rFonts w:hint="eastAsia" w:ascii="仿宋_GB2312" w:hAnsi="仿宋_GB2312" w:eastAsia="仿宋_GB2312" w:cs="仿宋_GB2312"/>
          <w:sz w:val="32"/>
          <w:szCs w:val="32"/>
          <w:highlight w:val="none"/>
        </w:rPr>
        <w:t>年1月1日起至202</w:t>
      </w:r>
      <w:r>
        <w:rPr>
          <w:rFonts w:hint="eastAsia" w:ascii="仿宋_GB2312" w:hAnsi="仿宋_GB2312" w:eastAsia="仿宋_GB2312" w:cs="仿宋_GB2312"/>
          <w:sz w:val="32"/>
          <w:szCs w:val="32"/>
          <w:highlight w:val="none"/>
          <w:lang w:val="en-US"/>
        </w:rPr>
        <w:t>5</w:t>
      </w:r>
      <w:r>
        <w:rPr>
          <w:rFonts w:hint="eastAsia" w:ascii="仿宋_GB2312" w:hAnsi="仿宋_GB2312" w:eastAsia="仿宋_GB2312" w:cs="仿宋_GB2312"/>
          <w:sz w:val="32"/>
          <w:szCs w:val="32"/>
          <w:highlight w:val="none"/>
        </w:rPr>
        <w:t>年12月31日止。</w:t>
      </w:r>
    </w:p>
    <w:p w14:paraId="666BE3D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总体情况</w:t>
      </w:r>
    </w:p>
    <w:p w14:paraId="4291AC3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2025年，荆河街道信息公开工作以《中华人民共和国政府信息公开条例》为遵循，认真贯彻落实上级有关政务公开工作的方针、政策及指示精神，努力提升政务公开标准化、规范化、信息化水平，着力拓宽公开渠道，丰富公开内容，强化政策解读与互动回应，切实保障人民群众的知情权、参与权、表达权和监督权，为促进基层治理体系和治理能力现代化、优化营商环境提供了有力支撑。</w:t>
      </w:r>
    </w:p>
    <w:p w14:paraId="1088C2D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1.主动公开方面</w:t>
      </w:r>
    </w:p>
    <w:p w14:paraId="78EDDB8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b w:val="0"/>
          <w:bCs/>
          <w:sz w:val="32"/>
          <w:szCs w:val="32"/>
          <w:lang w:val="en-US" w:eastAsia="zh-CN"/>
        </w:rPr>
        <w:t>全年共计在</w:t>
      </w:r>
      <w:r>
        <w:rPr>
          <w:rFonts w:hint="eastAsia" w:ascii="仿宋_GB2312" w:hAnsi="仿宋_GB2312" w:eastAsia="仿宋_GB2312" w:cs="仿宋_GB2312"/>
          <w:b w:val="0"/>
          <w:bCs/>
          <w:sz w:val="32"/>
          <w:szCs w:val="32"/>
          <w:lang w:val="en-US" w:eastAsia="zh-CN"/>
        </w:rPr>
        <w:t>滕州市</w:t>
      </w:r>
      <w:r>
        <w:rPr>
          <w:rFonts w:hint="default" w:ascii="仿宋_GB2312" w:hAnsi="仿宋_GB2312" w:eastAsia="仿宋_GB2312" w:cs="仿宋_GB2312"/>
          <w:b w:val="0"/>
          <w:bCs/>
          <w:sz w:val="32"/>
          <w:szCs w:val="32"/>
          <w:lang w:val="en-US" w:eastAsia="zh-CN"/>
        </w:rPr>
        <w:t>人民政府网站</w:t>
      </w:r>
      <w:r>
        <w:rPr>
          <w:rFonts w:hint="eastAsia" w:ascii="仿宋_GB2312" w:hAnsi="仿宋_GB2312" w:eastAsia="仿宋_GB2312" w:cs="仿宋_GB2312"/>
          <w:color w:val="000000"/>
          <w:sz w:val="32"/>
          <w:szCs w:val="32"/>
          <w:lang w:val="en-US" w:eastAsia="zh-CN"/>
        </w:rPr>
        <w:t>主动公开政府信息数36条。其中，重大项目建设类7条，占总数的19.4%；通知公告类19条，占总数的52.8%；规划计划类1条，占总数的2.8%；组织管理类7条，占总数的19.4%；主动公开目录1条，占总数的2.8%；基层政务公开标准目录1条，占总数的2.8%。</w:t>
      </w:r>
    </w:p>
    <w:p w14:paraId="5CB98BF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266690" cy="2668905"/>
            <wp:effectExtent l="0" t="0" r="10160" b="17145"/>
            <wp:docPr id="5" name="图片 5" descr="bcefe00da4434c3e7f4d5008e4f6a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cefe00da4434c3e7f4d5008e4f6a2a0"/>
                    <pic:cNvPicPr>
                      <a:picLocks noChangeAspect="1"/>
                    </pic:cNvPicPr>
                  </pic:nvPicPr>
                  <pic:blipFill>
                    <a:blip r:embed="rId5"/>
                    <a:stretch>
                      <a:fillRect/>
                    </a:stretch>
                  </pic:blipFill>
                  <pic:spPr>
                    <a:xfrm>
                      <a:off x="0" y="0"/>
                      <a:ext cx="5266690" cy="2668905"/>
                    </a:xfrm>
                    <a:prstGeom prst="rect">
                      <a:avLst/>
                    </a:prstGeom>
                  </pic:spPr>
                </pic:pic>
              </a:graphicData>
            </a:graphic>
          </wp:inline>
        </w:drawing>
      </w:r>
    </w:p>
    <w:p w14:paraId="0826354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2.依申请公开方面</w:t>
      </w:r>
    </w:p>
    <w:p w14:paraId="2519E34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b w:val="0"/>
          <w:bCs/>
          <w:sz w:val="32"/>
          <w:szCs w:val="32"/>
          <w:lang w:val="en-US" w:eastAsia="zh-CN"/>
        </w:rPr>
        <w:t>2025年，我街道认真贯彻落实信息公开制度要求，发布依申请公开指南，确保政务公开网上申请平台畅通，安排专人具体负责依申请公开工作，线上线下共同保障依申请公开反馈渠道畅通。2025年度，我街道收到依申请公开事项</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color w:val="000000" w:themeColor="text1"/>
          <w:sz w:val="32"/>
          <w:szCs w:val="32"/>
          <w:highlight w:val="none"/>
          <w:shd w:val="clear" w:color="auto" w:fill="auto"/>
          <w:lang w:val="en-US" w:eastAsia="zh-CN"/>
          <w14:textFill>
            <w14:solidFill>
              <w14:schemeClr w14:val="tx1"/>
            </w14:solidFill>
          </w14:textFill>
        </w:rPr>
        <w:t>件，其中予以公开1件，部分公开2件，</w:t>
      </w:r>
      <w:r>
        <w:rPr>
          <w:rFonts w:hint="eastAsia" w:ascii="仿宋_GB2312" w:hAnsi="仿宋_GB2312" w:eastAsia="仿宋_GB2312" w:cs="仿宋_GB2312"/>
          <w:b w:val="0"/>
          <w:bCs/>
          <w:sz w:val="32"/>
          <w:szCs w:val="32"/>
          <w:lang w:val="en-US" w:eastAsia="zh-CN"/>
        </w:rPr>
        <w:t>较2024年相比有所增加。因信息公开被行政复议两次，未发生行政诉讼的情况。</w:t>
      </w:r>
    </w:p>
    <w:p w14:paraId="5774841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3.政府信息管理方面</w:t>
      </w:r>
    </w:p>
    <w:p w14:paraId="2C45C63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2025年，我街道严格按照《中华人民共和国政府信息公开条例》要求，完善政府信息公开栏目建设，及时发布更新工作动态、政策文件解读、街道年度</w:t>
      </w:r>
      <w:r>
        <w:rPr>
          <w:rFonts w:hint="eastAsia" w:ascii="仿宋_GB2312" w:hAnsi="仿宋_GB2312" w:eastAsia="仿宋_GB2312" w:cs="仿宋_GB2312"/>
          <w:color w:val="000000"/>
          <w:sz w:val="32"/>
          <w:szCs w:val="32"/>
          <w:lang w:val="en-US" w:eastAsia="zh-CN"/>
        </w:rPr>
        <w:t>重点工作任务</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重点项目建设</w:t>
      </w:r>
      <w:r>
        <w:rPr>
          <w:rFonts w:hint="default" w:ascii="仿宋_GB2312" w:hAnsi="仿宋_GB2312" w:eastAsia="仿宋_GB2312" w:cs="仿宋_GB2312"/>
          <w:color w:val="000000"/>
          <w:sz w:val="32"/>
          <w:szCs w:val="32"/>
          <w:lang w:val="en-US" w:eastAsia="zh-CN"/>
        </w:rPr>
        <w:t>等重点领域内容，确保权力运行公开透明。建立“收集—审核—发布—归档”闭环管理机制，明确管理职责，细化信息报送、审核流程。明确各类信息的更新频次，建立更新提醒制度，预防信息滞后问题，保障信息管理的有序性。及时进行涉隐私涉密数据整改、错链错别字修改处理，保证政务信息发布的规范性。</w:t>
      </w:r>
    </w:p>
    <w:p w14:paraId="1A77BA9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4.平台建设方面</w:t>
      </w:r>
    </w:p>
    <w:p w14:paraId="55DB44E5">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市政府网内设荆河街道子网页为平台，搭建网站信息公开窗口，充分利用便民服务办事大厅电子显示屏、公开专区，相关街直单位显示屏和公示栏，各社区三务公开栏等渠道，开展信息公开工作，涵盖了街道所有应当公开的重大项目建设、社会公益性事业建设等政府信息及部分自主公开信息，及时解答了群众的咨询关切。</w:t>
      </w:r>
    </w:p>
    <w:p w14:paraId="6217E1CA">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268595" cy="3316605"/>
            <wp:effectExtent l="0" t="0" r="8255" b="17145"/>
            <wp:docPr id="3" name="图片 3" descr="d0599e0e-6994-45c3-8e57-d1dfd16e5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0599e0e-6994-45c3-8e57-d1dfd16e50b9"/>
                    <pic:cNvPicPr>
                      <a:picLocks noChangeAspect="1"/>
                    </pic:cNvPicPr>
                  </pic:nvPicPr>
                  <pic:blipFill>
                    <a:blip r:embed="rId6"/>
                    <a:stretch>
                      <a:fillRect/>
                    </a:stretch>
                  </pic:blipFill>
                  <pic:spPr>
                    <a:xfrm>
                      <a:off x="0" y="0"/>
                      <a:ext cx="5268595" cy="3316605"/>
                    </a:xfrm>
                    <a:prstGeom prst="rect">
                      <a:avLst/>
                    </a:prstGeom>
                  </pic:spPr>
                </pic:pic>
              </a:graphicData>
            </a:graphic>
          </wp:inline>
        </w:drawing>
      </w:r>
    </w:p>
    <w:p w14:paraId="5C573096">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266055" cy="3441065"/>
            <wp:effectExtent l="0" t="0" r="10795" b="6985"/>
            <wp:docPr id="2" name="图片 2" descr="9292fb39-1c43-4fdf-a8ef-1a8c15eb1d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292fb39-1c43-4fdf-a8ef-1a8c15eb1d0f"/>
                    <pic:cNvPicPr>
                      <a:picLocks noChangeAspect="1"/>
                    </pic:cNvPicPr>
                  </pic:nvPicPr>
                  <pic:blipFill>
                    <a:blip r:embed="rId7"/>
                    <a:stretch>
                      <a:fillRect/>
                    </a:stretch>
                  </pic:blipFill>
                  <pic:spPr>
                    <a:xfrm>
                      <a:off x="0" y="0"/>
                      <a:ext cx="5266055" cy="3441065"/>
                    </a:xfrm>
                    <a:prstGeom prst="rect">
                      <a:avLst/>
                    </a:prstGeom>
                  </pic:spPr>
                </pic:pic>
              </a:graphicData>
            </a:graphic>
          </wp:inline>
        </w:drawing>
      </w:r>
    </w:p>
    <w:p w14:paraId="4F8143D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266690" cy="3950335"/>
            <wp:effectExtent l="0" t="0" r="10160" b="12065"/>
            <wp:docPr id="6" name="图片 6" descr="微信图片_20260113152646_40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60113152646_40_303"/>
                    <pic:cNvPicPr>
                      <a:picLocks noChangeAspect="1"/>
                    </pic:cNvPicPr>
                  </pic:nvPicPr>
                  <pic:blipFill>
                    <a:blip r:embed="rId8"/>
                    <a:stretch>
                      <a:fillRect/>
                    </a:stretch>
                  </pic:blipFill>
                  <pic:spPr>
                    <a:xfrm>
                      <a:off x="0" y="0"/>
                      <a:ext cx="5266690" cy="3950335"/>
                    </a:xfrm>
                    <a:prstGeom prst="rect">
                      <a:avLst/>
                    </a:prstGeom>
                  </pic:spPr>
                </pic:pic>
              </a:graphicData>
            </a:graphic>
          </wp:inline>
        </w:drawing>
      </w:r>
    </w:p>
    <w:p w14:paraId="0998088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266690" cy="3950335"/>
            <wp:effectExtent l="0" t="0" r="10160" b="12065"/>
            <wp:docPr id="1" name="图片 1" descr="微信图片_20250630102723_4_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630102723_4_383"/>
                    <pic:cNvPicPr>
                      <a:picLocks noChangeAspect="1"/>
                    </pic:cNvPicPr>
                  </pic:nvPicPr>
                  <pic:blipFill>
                    <a:blip r:embed="rId9"/>
                    <a:stretch>
                      <a:fillRect/>
                    </a:stretch>
                  </pic:blipFill>
                  <pic:spPr>
                    <a:xfrm>
                      <a:off x="0" y="0"/>
                      <a:ext cx="5266690" cy="3950335"/>
                    </a:xfrm>
                    <a:prstGeom prst="rect">
                      <a:avLst/>
                    </a:prstGeom>
                  </pic:spPr>
                </pic:pic>
              </a:graphicData>
            </a:graphic>
          </wp:inline>
        </w:drawing>
      </w:r>
    </w:p>
    <w:p w14:paraId="77DE17F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5.监督保障方面</w:t>
      </w:r>
    </w:p>
    <w:p w14:paraId="3AB9E8BF">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lang w:val="en-US" w:eastAsia="zh-CN"/>
        </w:rPr>
      </w:pPr>
      <w:r>
        <w:rPr>
          <w:rFonts w:hint="default" w:ascii="仿宋_GB2312" w:hAnsi="仿宋_GB2312" w:eastAsia="仿宋_GB2312" w:cs="仿宋_GB2312"/>
          <w:color w:val="000000"/>
          <w:kern w:val="0"/>
          <w:sz w:val="32"/>
          <w:szCs w:val="32"/>
          <w:lang w:val="en-US" w:eastAsia="zh-CN" w:bidi="ar-SA"/>
        </w:rPr>
        <w:t>全年严格按照依申请公开受理机制、政府信息发布保密审查、考核与责任追究等制度开展工作。一是在思想层面保持高度。定期开展培训会议，传达上级精神，深刻认识政府信息公开、政府网站及政务新媒体建设工</w:t>
      </w:r>
      <w:bookmarkStart w:id="10" w:name="_GoBack"/>
      <w:bookmarkEnd w:id="10"/>
      <w:r>
        <w:rPr>
          <w:rFonts w:hint="default" w:ascii="仿宋_GB2312" w:hAnsi="仿宋_GB2312" w:eastAsia="仿宋_GB2312" w:cs="仿宋_GB2312"/>
          <w:color w:val="000000"/>
          <w:kern w:val="0"/>
          <w:sz w:val="32"/>
          <w:szCs w:val="32"/>
          <w:lang w:val="en-US" w:eastAsia="zh-CN" w:bidi="ar-SA"/>
        </w:rPr>
        <w:t>作的严肃性和必要性。二是在责任层面强化监督。每日对政府网站公开信息进行审核筛选</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每周对政府网站更新情况进行检查</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每季度进行全面自查</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每年进行总结回顾。</w:t>
      </w:r>
      <w:r>
        <w:rPr>
          <w:rFonts w:hint="eastAsia" w:ascii="仿宋_GB2312" w:hAnsi="仿宋_GB2312" w:eastAsia="仿宋_GB2312" w:cs="仿宋_GB2312"/>
          <w:color w:val="000000"/>
          <w:kern w:val="0"/>
          <w:sz w:val="32"/>
          <w:szCs w:val="32"/>
          <w:lang w:val="en-US" w:eastAsia="zh-CN" w:bidi="ar-SA"/>
        </w:rPr>
        <w:t>2025年度</w:t>
      </w:r>
      <w:r>
        <w:rPr>
          <w:rFonts w:hint="eastAsia" w:ascii="仿宋_GB2312" w:hAnsi="仿宋_GB2312" w:eastAsia="仿宋_GB2312" w:cs="仿宋_GB2312"/>
          <w:color w:val="000000"/>
          <w:sz w:val="32"/>
          <w:szCs w:val="32"/>
          <w:lang w:val="en-US" w:eastAsia="zh-CN"/>
        </w:rPr>
        <w:t>未进行社会评议，</w:t>
      </w:r>
      <w:r>
        <w:rPr>
          <w:rFonts w:hint="eastAsia" w:ascii="仿宋_GB2312" w:hAnsi="仿宋_GB2312" w:eastAsia="仿宋_GB2312" w:cs="仿宋_GB2312"/>
          <w:color w:val="000000"/>
          <w:kern w:val="0"/>
          <w:sz w:val="32"/>
          <w:szCs w:val="32"/>
          <w:lang w:val="en-US" w:eastAsia="zh-CN" w:bidi="ar-SA"/>
        </w:rPr>
        <w:t>未发生因政府信息公开产生的责任追究事件。</w:t>
      </w:r>
    </w:p>
    <w:p w14:paraId="3DD597C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jc w:val="both"/>
        <w:rPr>
          <w:rFonts w:hint="eastAsia" w:ascii="黑体" w:hAnsi="黑体" w:eastAsia="黑体" w:cs="黑体"/>
          <w:b w:val="0"/>
          <w:bCs/>
          <w:sz w:val="32"/>
          <w:szCs w:val="32"/>
          <w:lang w:val="en-US" w:eastAsia="zh-CN"/>
        </w:rPr>
      </w:pPr>
    </w:p>
    <w:p w14:paraId="467221F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jc w:val="both"/>
        <w:rPr>
          <w:rFonts w:hint="eastAsia" w:ascii="黑体" w:hAnsi="黑体" w:eastAsia="黑体" w:cs="黑体"/>
          <w:b w:val="0"/>
          <w:bCs/>
          <w:sz w:val="32"/>
          <w:szCs w:val="32"/>
          <w:lang w:val="en-US" w:eastAsia="zh-CN"/>
        </w:rPr>
      </w:pPr>
    </w:p>
    <w:p w14:paraId="2D59803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jc w:val="both"/>
        <w:rPr>
          <w:rFonts w:hint="eastAsia" w:ascii="黑体" w:hAnsi="黑体" w:eastAsia="黑体" w:cs="黑体"/>
          <w:b w:val="0"/>
          <w:bCs/>
          <w:sz w:val="32"/>
          <w:szCs w:val="32"/>
          <w:lang w:val="en-US" w:eastAsia="zh-CN"/>
        </w:rPr>
      </w:pPr>
    </w:p>
    <w:p w14:paraId="383A60F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jc w:val="both"/>
        <w:rPr>
          <w:rFonts w:hint="eastAsia" w:ascii="黑体" w:hAnsi="黑体" w:eastAsia="黑体" w:cs="黑体"/>
          <w:b w:val="0"/>
          <w:bCs/>
          <w:sz w:val="32"/>
          <w:szCs w:val="32"/>
          <w:lang w:val="en-US" w:eastAsia="zh-CN"/>
        </w:rPr>
      </w:pPr>
    </w:p>
    <w:p w14:paraId="3603999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rightChars="0"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3331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52437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4BD5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6F97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51927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25818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4E414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14:paraId="3352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728C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7B250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E3B9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0CB851A">
            <w:pPr>
              <w:rPr>
                <w:rFonts w:hint="default" w:ascii="宋体" w:eastAsia="宋体"/>
                <w:sz w:val="24"/>
                <w:szCs w:val="24"/>
                <w:lang w:val="en-US" w:eastAsia="zh-CN"/>
              </w:rPr>
            </w:pPr>
            <w:r>
              <w:rPr>
                <w:rFonts w:hint="eastAsia" w:ascii="宋体"/>
                <w:sz w:val="24"/>
                <w:szCs w:val="24"/>
                <w:lang w:val="en-US" w:eastAsia="zh-CN"/>
              </w:rPr>
              <w:t>0</w:t>
            </w:r>
          </w:p>
        </w:tc>
      </w:tr>
      <w:tr w14:paraId="0B756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5145B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982C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6CC2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35A22DA">
            <w:pPr>
              <w:rPr>
                <w:rFonts w:hint="default" w:ascii="宋体" w:eastAsia="宋体"/>
                <w:sz w:val="24"/>
                <w:szCs w:val="24"/>
                <w:lang w:val="en-US" w:eastAsia="zh-CN"/>
              </w:rPr>
            </w:pPr>
            <w:r>
              <w:rPr>
                <w:rFonts w:hint="eastAsia" w:ascii="宋体"/>
                <w:sz w:val="24"/>
                <w:szCs w:val="24"/>
                <w:lang w:val="en-US" w:eastAsia="zh-CN"/>
              </w:rPr>
              <w:t>0</w:t>
            </w:r>
          </w:p>
        </w:tc>
      </w:tr>
      <w:tr w14:paraId="19F0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268FAA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4674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3F41E4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3B4E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6588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636A7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4A15CBA">
            <w:pPr>
              <w:jc w:val="center"/>
              <w:rPr>
                <w:rFonts w:hint="default" w:ascii="宋体" w:eastAsia="宋体"/>
                <w:sz w:val="24"/>
                <w:szCs w:val="24"/>
                <w:lang w:val="en-US" w:eastAsia="zh-CN"/>
              </w:rPr>
            </w:pPr>
            <w:r>
              <w:rPr>
                <w:rFonts w:hint="eastAsia" w:ascii="宋体"/>
                <w:sz w:val="24"/>
                <w:szCs w:val="24"/>
                <w:lang w:val="en-US" w:eastAsia="zh-CN"/>
              </w:rPr>
              <w:t>0</w:t>
            </w:r>
          </w:p>
        </w:tc>
      </w:tr>
      <w:tr w14:paraId="7CC9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321F67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45448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60B57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14:paraId="16EB5F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0A840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46847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0AC78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00DBD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5F6C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2D98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425C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14:paraId="7FCBAE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79E9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2C344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4B070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4EA0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14:paraId="1C758C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14:paraId="2E4BF903">
            <w:pPr>
              <w:jc w:val="center"/>
              <w:rPr>
                <w:rFonts w:hint="eastAsia" w:ascii="宋体" w:eastAsia="宋体"/>
                <w:sz w:val="24"/>
                <w:szCs w:val="24"/>
                <w:lang w:val="en-US" w:eastAsia="zh-CN"/>
              </w:rPr>
            </w:pPr>
            <w:r>
              <w:rPr>
                <w:rFonts w:hint="eastAsia" w:ascii="宋体"/>
                <w:sz w:val="24"/>
                <w:szCs w:val="24"/>
                <w:lang w:val="en-US" w:eastAsia="zh-CN"/>
              </w:rPr>
              <w:t>0</w:t>
            </w:r>
          </w:p>
        </w:tc>
      </w:tr>
    </w:tbl>
    <w:p w14:paraId="645B67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17EBB1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78B25B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4AF5F1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55A56D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5063C0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727F61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522C4E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254FF2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5D3C36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71A514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446B7E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70BCFB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黑体" w:hAnsi="黑体" w:eastAsia="黑体" w:cs="黑体"/>
          <w:b w:val="0"/>
          <w:bCs/>
          <w:sz w:val="32"/>
          <w:szCs w:val="32"/>
        </w:rPr>
      </w:pPr>
    </w:p>
    <w:p w14:paraId="39F9C2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sz w:val="32"/>
          <w:szCs w:val="32"/>
        </w:rPr>
        <w:t>三、收到和处理政府信息公开申请情况</w:t>
      </w:r>
    </w:p>
    <w:tbl>
      <w:tblPr>
        <w:tblStyle w:val="6"/>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701"/>
      </w:tblGrid>
      <w:tr w14:paraId="64F6C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3DFDCE6A">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691B4621">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48" w:type="dxa"/>
            <w:gridSpan w:val="9"/>
            <w:noWrap w:val="0"/>
            <w:tcMar>
              <w:left w:w="108" w:type="dxa"/>
              <w:right w:w="108" w:type="dxa"/>
            </w:tcMar>
            <w:vAlign w:val="center"/>
          </w:tcPr>
          <w:p w14:paraId="70B5BB0E">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77862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68EC6BE0">
            <w:pPr>
              <w:jc w:val="center"/>
              <w:rPr>
                <w:rFonts w:ascii="仿宋_GB2312" w:hAnsi="Times New Roman" w:eastAsia="仿宋_GB2312"/>
                <w:szCs w:val="21"/>
              </w:rPr>
            </w:pPr>
          </w:p>
        </w:tc>
        <w:tc>
          <w:tcPr>
            <w:tcW w:w="747" w:type="dxa"/>
            <w:vMerge w:val="restart"/>
            <w:noWrap w:val="0"/>
            <w:tcMar>
              <w:left w:w="108" w:type="dxa"/>
              <w:right w:w="108" w:type="dxa"/>
            </w:tcMar>
            <w:vAlign w:val="center"/>
          </w:tcPr>
          <w:p w14:paraId="11AF4382">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7"/>
            <w:noWrap w:val="0"/>
            <w:tcMar>
              <w:left w:w="108" w:type="dxa"/>
              <w:right w:w="108" w:type="dxa"/>
            </w:tcMar>
            <w:vAlign w:val="center"/>
          </w:tcPr>
          <w:p w14:paraId="261BAF4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noWrap w:val="0"/>
            <w:tcMar>
              <w:left w:w="108" w:type="dxa"/>
              <w:right w:w="108" w:type="dxa"/>
            </w:tcMar>
            <w:vAlign w:val="center"/>
          </w:tcPr>
          <w:p w14:paraId="36CBB6B5">
            <w:pPr>
              <w:widowControl/>
              <w:jc w:val="center"/>
              <w:rPr>
                <w:rFonts w:ascii="黑体" w:hAnsi="黑体" w:eastAsia="黑体"/>
                <w:szCs w:val="21"/>
              </w:rPr>
            </w:pPr>
            <w:r>
              <w:rPr>
                <w:rFonts w:hint="eastAsia" w:ascii="黑体" w:hAnsi="黑体" w:eastAsia="黑体"/>
                <w:kern w:val="0"/>
                <w:szCs w:val="21"/>
              </w:rPr>
              <w:t>总计</w:t>
            </w:r>
          </w:p>
        </w:tc>
      </w:tr>
      <w:tr w14:paraId="6B88E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40A267F8">
            <w:pPr>
              <w:jc w:val="center"/>
              <w:rPr>
                <w:rFonts w:ascii="仿宋_GB2312" w:hAnsi="Times New Roman" w:eastAsia="仿宋_GB2312"/>
                <w:szCs w:val="21"/>
              </w:rPr>
            </w:pPr>
          </w:p>
        </w:tc>
        <w:tc>
          <w:tcPr>
            <w:tcW w:w="747" w:type="dxa"/>
            <w:vMerge w:val="continue"/>
            <w:noWrap w:val="0"/>
            <w:tcMar>
              <w:left w:w="108" w:type="dxa"/>
              <w:right w:w="108" w:type="dxa"/>
            </w:tcMar>
            <w:vAlign w:val="center"/>
          </w:tcPr>
          <w:p w14:paraId="5B2B5B39">
            <w:pPr>
              <w:jc w:val="center"/>
              <w:rPr>
                <w:rFonts w:ascii="黑体" w:hAnsi="黑体" w:eastAsia="黑体"/>
                <w:szCs w:val="21"/>
              </w:rPr>
            </w:pPr>
          </w:p>
        </w:tc>
        <w:tc>
          <w:tcPr>
            <w:tcW w:w="540" w:type="dxa"/>
            <w:gridSpan w:val="2"/>
            <w:noWrap w:val="0"/>
            <w:tcMar>
              <w:left w:w="108" w:type="dxa"/>
              <w:right w:w="108" w:type="dxa"/>
            </w:tcMar>
            <w:vAlign w:val="center"/>
          </w:tcPr>
          <w:p w14:paraId="5CE2D5A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gridSpan w:val="2"/>
            <w:noWrap w:val="0"/>
            <w:tcMar>
              <w:left w:w="108" w:type="dxa"/>
              <w:right w:w="108" w:type="dxa"/>
            </w:tcMar>
            <w:vAlign w:val="center"/>
          </w:tcPr>
          <w:p w14:paraId="33871910">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noWrap w:val="0"/>
            <w:tcMar>
              <w:left w:w="108" w:type="dxa"/>
              <w:right w:w="108" w:type="dxa"/>
            </w:tcMar>
            <w:vAlign w:val="center"/>
          </w:tcPr>
          <w:p w14:paraId="091DA6C6">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noWrap w:val="0"/>
            <w:tcMar>
              <w:left w:w="108" w:type="dxa"/>
              <w:right w:w="108" w:type="dxa"/>
            </w:tcMar>
            <w:vAlign w:val="center"/>
          </w:tcPr>
          <w:p w14:paraId="64C397A4">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noWrap w:val="0"/>
            <w:tcMar>
              <w:left w:w="108" w:type="dxa"/>
              <w:right w:w="108" w:type="dxa"/>
            </w:tcMar>
            <w:vAlign w:val="center"/>
          </w:tcPr>
          <w:p w14:paraId="01A318F3">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noWrap w:val="0"/>
            <w:tcMar>
              <w:left w:w="108" w:type="dxa"/>
              <w:right w:w="108" w:type="dxa"/>
            </w:tcMar>
            <w:vAlign w:val="center"/>
          </w:tcPr>
          <w:p w14:paraId="6D7EBA93">
            <w:pPr>
              <w:jc w:val="center"/>
              <w:rPr>
                <w:rFonts w:ascii="仿宋_GB2312" w:hAnsi="Times New Roman" w:eastAsia="仿宋_GB2312"/>
                <w:szCs w:val="21"/>
              </w:rPr>
            </w:pPr>
          </w:p>
        </w:tc>
      </w:tr>
      <w:tr w14:paraId="3E2E3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3CDE4EB4">
            <w:pPr>
              <w:widowControl/>
              <w:rPr>
                <w:rFonts w:ascii="黑体" w:hAnsi="黑体" w:eastAsia="黑体"/>
                <w:color w:val="000000"/>
                <w:szCs w:val="21"/>
              </w:rPr>
            </w:pPr>
            <w:r>
              <w:rPr>
                <w:rFonts w:hint="eastAsia" w:ascii="黑体" w:hAnsi="黑体" w:eastAsia="黑体"/>
                <w:color w:val="000000"/>
                <w:kern w:val="0"/>
                <w:szCs w:val="21"/>
              </w:rPr>
              <w:t>一、</w:t>
            </w:r>
            <w:bookmarkStart w:id="0" w:name="_Hlk66973412"/>
            <w:r>
              <w:rPr>
                <w:rFonts w:hint="eastAsia" w:ascii="黑体" w:hAnsi="黑体" w:eastAsia="黑体"/>
                <w:color w:val="000000"/>
                <w:kern w:val="0"/>
                <w:szCs w:val="21"/>
              </w:rPr>
              <w:t>本年新收政府信息公开申请数量</w:t>
            </w:r>
            <w:bookmarkEnd w:id="0"/>
          </w:p>
        </w:tc>
        <w:tc>
          <w:tcPr>
            <w:tcW w:w="747" w:type="dxa"/>
            <w:noWrap w:val="0"/>
            <w:tcMar>
              <w:left w:w="108" w:type="dxa"/>
              <w:right w:w="108" w:type="dxa"/>
            </w:tcMar>
            <w:vAlign w:val="center"/>
          </w:tcPr>
          <w:p w14:paraId="2161C2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3</w:t>
            </w:r>
          </w:p>
        </w:tc>
        <w:tc>
          <w:tcPr>
            <w:tcW w:w="540" w:type="dxa"/>
            <w:gridSpan w:val="2"/>
            <w:noWrap w:val="0"/>
            <w:tcMar>
              <w:left w:w="108" w:type="dxa"/>
              <w:right w:w="108" w:type="dxa"/>
            </w:tcMar>
            <w:vAlign w:val="center"/>
          </w:tcPr>
          <w:p w14:paraId="53FC02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6FBDF0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720" w:type="dxa"/>
            <w:noWrap w:val="0"/>
            <w:tcMar>
              <w:left w:w="108" w:type="dxa"/>
              <w:right w:w="108" w:type="dxa"/>
            </w:tcMar>
            <w:vAlign w:val="center"/>
          </w:tcPr>
          <w:p w14:paraId="7E3AF3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675" w:type="dxa"/>
            <w:noWrap w:val="0"/>
            <w:tcMar>
              <w:left w:w="108" w:type="dxa"/>
              <w:right w:w="108" w:type="dxa"/>
            </w:tcMar>
            <w:vAlign w:val="center"/>
          </w:tcPr>
          <w:p w14:paraId="073F79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25" w:type="dxa"/>
            <w:noWrap w:val="0"/>
            <w:tcMar>
              <w:left w:w="108" w:type="dxa"/>
              <w:right w:w="108" w:type="dxa"/>
            </w:tcMar>
            <w:vAlign w:val="center"/>
          </w:tcPr>
          <w:p w14:paraId="6BA7EB7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701" w:type="dxa"/>
            <w:noWrap w:val="0"/>
            <w:tcMar>
              <w:left w:w="108" w:type="dxa"/>
              <w:right w:w="108" w:type="dxa"/>
            </w:tcMar>
            <w:vAlign w:val="center"/>
          </w:tcPr>
          <w:p w14:paraId="5F3779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3</w:t>
            </w:r>
          </w:p>
        </w:tc>
      </w:tr>
      <w:tr w14:paraId="2C462B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8F63DC2">
            <w:pPr>
              <w:widowControl/>
              <w:rPr>
                <w:rFonts w:ascii="黑体" w:hAnsi="黑体" w:eastAsia="黑体"/>
                <w:color w:val="000000"/>
                <w:szCs w:val="21"/>
              </w:rPr>
            </w:pPr>
            <w:r>
              <w:rPr>
                <w:rFonts w:hint="eastAsia" w:ascii="黑体" w:hAnsi="黑体" w:eastAsia="黑体"/>
                <w:color w:val="000000"/>
                <w:kern w:val="0"/>
                <w:szCs w:val="21"/>
              </w:rPr>
              <w:t>二、上年结转政府信息公开申请数量</w:t>
            </w:r>
          </w:p>
        </w:tc>
        <w:tc>
          <w:tcPr>
            <w:tcW w:w="747" w:type="dxa"/>
            <w:noWrap w:val="0"/>
            <w:tcMar>
              <w:left w:w="108" w:type="dxa"/>
              <w:right w:w="108" w:type="dxa"/>
            </w:tcMar>
            <w:vAlign w:val="center"/>
          </w:tcPr>
          <w:p w14:paraId="16CCD5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6E4D423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289724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720" w:type="dxa"/>
            <w:noWrap w:val="0"/>
            <w:tcMar>
              <w:left w:w="108" w:type="dxa"/>
              <w:right w:w="108" w:type="dxa"/>
            </w:tcMar>
            <w:vAlign w:val="center"/>
          </w:tcPr>
          <w:p w14:paraId="3CBFD6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675" w:type="dxa"/>
            <w:noWrap w:val="0"/>
            <w:tcMar>
              <w:left w:w="108" w:type="dxa"/>
              <w:right w:w="108" w:type="dxa"/>
            </w:tcMar>
            <w:vAlign w:val="center"/>
          </w:tcPr>
          <w:p w14:paraId="5F4C75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25" w:type="dxa"/>
            <w:noWrap w:val="0"/>
            <w:tcMar>
              <w:left w:w="108" w:type="dxa"/>
              <w:right w:w="108" w:type="dxa"/>
            </w:tcMar>
            <w:vAlign w:val="center"/>
          </w:tcPr>
          <w:p w14:paraId="2CF2D1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701" w:type="dxa"/>
            <w:noWrap w:val="0"/>
            <w:tcMar>
              <w:left w:w="108" w:type="dxa"/>
              <w:right w:w="108" w:type="dxa"/>
            </w:tcMar>
            <w:vAlign w:val="center"/>
          </w:tcPr>
          <w:p w14:paraId="3F672E7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r>
      <w:tr w14:paraId="64361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7F184D21">
            <w:pPr>
              <w:widowControl/>
              <w:spacing w:after="180"/>
              <w:rPr>
                <w:rFonts w:ascii="黑体" w:hAnsi="黑体" w:eastAsia="黑体"/>
                <w:color w:val="000000"/>
                <w:szCs w:val="21"/>
              </w:rPr>
            </w:pPr>
            <w:r>
              <w:rPr>
                <w:rFonts w:hint="eastAsia" w:ascii="黑体" w:hAnsi="黑体" w:eastAsia="黑体"/>
                <w:color w:val="000000"/>
                <w:kern w:val="0"/>
                <w:szCs w:val="21"/>
              </w:rPr>
              <w:t>三、本年度办理结果</w:t>
            </w:r>
          </w:p>
        </w:tc>
        <w:tc>
          <w:tcPr>
            <w:tcW w:w="4677" w:type="dxa"/>
            <w:gridSpan w:val="2"/>
            <w:noWrap w:val="0"/>
            <w:tcMar>
              <w:left w:w="108" w:type="dxa"/>
              <w:right w:w="108" w:type="dxa"/>
            </w:tcMar>
            <w:vAlign w:val="center"/>
          </w:tcPr>
          <w:p w14:paraId="07304A5F">
            <w:pPr>
              <w:widowControl/>
              <w:rPr>
                <w:rFonts w:ascii="黑体" w:hAnsi="黑体" w:eastAsia="黑体"/>
                <w:color w:val="000000"/>
                <w:szCs w:val="21"/>
              </w:rPr>
            </w:pPr>
            <w:r>
              <w:rPr>
                <w:rFonts w:hint="eastAsia" w:ascii="黑体" w:hAnsi="黑体" w:eastAsia="黑体"/>
                <w:color w:val="000000"/>
                <w:kern w:val="0"/>
                <w:szCs w:val="21"/>
              </w:rPr>
              <w:t>（一）予以公开</w:t>
            </w:r>
          </w:p>
        </w:tc>
        <w:tc>
          <w:tcPr>
            <w:tcW w:w="752" w:type="dxa"/>
            <w:gridSpan w:val="2"/>
            <w:noWrap w:val="0"/>
            <w:tcMar>
              <w:left w:w="108" w:type="dxa"/>
              <w:right w:w="108" w:type="dxa"/>
            </w:tcMar>
            <w:vAlign w:val="center"/>
          </w:tcPr>
          <w:p w14:paraId="4AB6B4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1</w:t>
            </w:r>
          </w:p>
        </w:tc>
        <w:tc>
          <w:tcPr>
            <w:tcW w:w="540" w:type="dxa"/>
            <w:gridSpan w:val="2"/>
            <w:noWrap w:val="0"/>
            <w:tcMar>
              <w:left w:w="108" w:type="dxa"/>
              <w:right w:w="108" w:type="dxa"/>
            </w:tcMar>
            <w:vAlign w:val="center"/>
          </w:tcPr>
          <w:p w14:paraId="0EEB30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35" w:type="dxa"/>
            <w:noWrap w:val="0"/>
            <w:tcMar>
              <w:left w:w="108" w:type="dxa"/>
              <w:right w:w="108" w:type="dxa"/>
            </w:tcMar>
            <w:vAlign w:val="center"/>
          </w:tcPr>
          <w:p w14:paraId="3432BE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3F377D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7A83D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391A47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4CECFA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1</w:t>
            </w:r>
          </w:p>
        </w:tc>
      </w:tr>
      <w:tr w14:paraId="4CCAF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184DF69">
            <w:pPr>
              <w:rPr>
                <w:rFonts w:ascii="黑体" w:hAnsi="黑体" w:eastAsia="黑体"/>
                <w:color w:val="000000"/>
                <w:szCs w:val="21"/>
              </w:rPr>
            </w:pPr>
          </w:p>
        </w:tc>
        <w:tc>
          <w:tcPr>
            <w:tcW w:w="4677" w:type="dxa"/>
            <w:gridSpan w:val="2"/>
            <w:noWrap w:val="0"/>
            <w:tcMar>
              <w:left w:w="108" w:type="dxa"/>
              <w:right w:w="108" w:type="dxa"/>
            </w:tcMar>
            <w:vAlign w:val="center"/>
          </w:tcPr>
          <w:p w14:paraId="53D826FE">
            <w:pPr>
              <w:widowControl/>
              <w:rPr>
                <w:rFonts w:ascii="黑体" w:hAnsi="黑体" w:eastAsia="黑体"/>
                <w:color w:val="000000"/>
                <w:szCs w:val="21"/>
              </w:rPr>
            </w:pPr>
            <w:r>
              <w:rPr>
                <w:rFonts w:hint="eastAsia" w:ascii="黑体" w:hAnsi="黑体" w:eastAsia="黑体"/>
                <w:color w:val="000000"/>
                <w:kern w:val="0"/>
                <w:szCs w:val="21"/>
              </w:rPr>
              <w:t>（二）部分公开（</w:t>
            </w:r>
            <w:bookmarkStart w:id="1" w:name="_Hlk66973981"/>
            <w:r>
              <w:rPr>
                <w:rFonts w:hint="eastAsia" w:ascii="黑体" w:hAnsi="黑体" w:eastAsia="黑体"/>
                <w:color w:val="000000"/>
                <w:kern w:val="0"/>
                <w:szCs w:val="21"/>
              </w:rPr>
              <w:t>区分处理的，只计这一情形，不计其他情形</w:t>
            </w:r>
            <w:bookmarkEnd w:id="1"/>
            <w:r>
              <w:rPr>
                <w:rFonts w:hint="eastAsia" w:ascii="黑体" w:hAnsi="黑体" w:eastAsia="黑体"/>
                <w:color w:val="000000"/>
                <w:kern w:val="0"/>
                <w:szCs w:val="21"/>
              </w:rPr>
              <w:t>）</w:t>
            </w:r>
          </w:p>
        </w:tc>
        <w:tc>
          <w:tcPr>
            <w:tcW w:w="752" w:type="dxa"/>
            <w:gridSpan w:val="2"/>
            <w:noWrap w:val="0"/>
            <w:tcMar>
              <w:left w:w="108" w:type="dxa"/>
              <w:right w:w="108" w:type="dxa"/>
            </w:tcMar>
            <w:vAlign w:val="center"/>
          </w:tcPr>
          <w:p w14:paraId="77E0B8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2</w:t>
            </w:r>
          </w:p>
        </w:tc>
        <w:tc>
          <w:tcPr>
            <w:tcW w:w="540" w:type="dxa"/>
            <w:gridSpan w:val="2"/>
            <w:noWrap w:val="0"/>
            <w:tcMar>
              <w:left w:w="108" w:type="dxa"/>
              <w:right w:w="108" w:type="dxa"/>
            </w:tcMar>
            <w:vAlign w:val="center"/>
          </w:tcPr>
          <w:p w14:paraId="4E0434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35" w:type="dxa"/>
            <w:noWrap w:val="0"/>
            <w:tcMar>
              <w:left w:w="108" w:type="dxa"/>
              <w:right w:w="108" w:type="dxa"/>
            </w:tcMar>
            <w:vAlign w:val="center"/>
          </w:tcPr>
          <w:p w14:paraId="7C1C01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25A433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54A808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E0B32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36B559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2</w:t>
            </w:r>
          </w:p>
        </w:tc>
      </w:tr>
      <w:tr w14:paraId="04006D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F7801AC">
            <w:pPr>
              <w:rPr>
                <w:rFonts w:ascii="黑体" w:hAnsi="黑体" w:eastAsia="黑体"/>
                <w:color w:val="000000"/>
                <w:szCs w:val="21"/>
              </w:rPr>
            </w:pPr>
          </w:p>
        </w:tc>
        <w:tc>
          <w:tcPr>
            <w:tcW w:w="1701" w:type="dxa"/>
            <w:vMerge w:val="restart"/>
            <w:noWrap w:val="0"/>
            <w:tcMar>
              <w:left w:w="108" w:type="dxa"/>
              <w:right w:w="108" w:type="dxa"/>
            </w:tcMar>
            <w:vAlign w:val="center"/>
          </w:tcPr>
          <w:p w14:paraId="535DF273">
            <w:pPr>
              <w:widowControl/>
              <w:spacing w:line="200" w:lineRule="exact"/>
              <w:ind w:left="-107" w:leftChars="-51"/>
              <w:rPr>
                <w:rFonts w:ascii="黑体" w:hAnsi="黑体" w:eastAsia="黑体"/>
                <w:color w:val="000000"/>
                <w:szCs w:val="21"/>
              </w:rPr>
            </w:pPr>
            <w:r>
              <w:rPr>
                <w:rFonts w:hint="eastAsia" w:ascii="黑体" w:hAnsi="黑体" w:eastAsia="黑体"/>
                <w:color w:val="000000"/>
                <w:kern w:val="0"/>
                <w:szCs w:val="21"/>
              </w:rPr>
              <w:t>（三）不予公开</w:t>
            </w:r>
          </w:p>
        </w:tc>
        <w:tc>
          <w:tcPr>
            <w:tcW w:w="2976" w:type="dxa"/>
            <w:noWrap w:val="0"/>
            <w:tcMar>
              <w:left w:w="108" w:type="dxa"/>
              <w:right w:w="108" w:type="dxa"/>
            </w:tcMar>
            <w:vAlign w:val="center"/>
          </w:tcPr>
          <w:p w14:paraId="13D207A2">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1.属于国家秘密</w:t>
            </w:r>
          </w:p>
        </w:tc>
        <w:tc>
          <w:tcPr>
            <w:tcW w:w="747" w:type="dxa"/>
            <w:noWrap w:val="0"/>
            <w:tcMar>
              <w:left w:w="108" w:type="dxa"/>
              <w:right w:w="108" w:type="dxa"/>
            </w:tcMar>
            <w:vAlign w:val="center"/>
          </w:tcPr>
          <w:p w14:paraId="62EB90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D44D0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2E328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6E7F0F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38760F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281C2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035FAB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2FCB0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F165BD">
            <w:pPr>
              <w:rPr>
                <w:rFonts w:ascii="黑体" w:hAnsi="黑体" w:eastAsia="黑体"/>
                <w:color w:val="000000"/>
                <w:szCs w:val="21"/>
              </w:rPr>
            </w:pPr>
          </w:p>
        </w:tc>
        <w:tc>
          <w:tcPr>
            <w:tcW w:w="1701" w:type="dxa"/>
            <w:vMerge w:val="continue"/>
            <w:noWrap w:val="0"/>
            <w:tcMar>
              <w:left w:w="108" w:type="dxa"/>
              <w:right w:w="108" w:type="dxa"/>
            </w:tcMar>
            <w:vAlign w:val="center"/>
          </w:tcPr>
          <w:p w14:paraId="1D297196">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7011C655">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2.</w:t>
            </w:r>
            <w:bookmarkStart w:id="2" w:name="_Hlk66974104"/>
            <w:r>
              <w:rPr>
                <w:rFonts w:hint="eastAsia" w:ascii="仿宋_GB2312" w:hAnsi="黑体" w:eastAsia="仿宋_GB2312"/>
                <w:color w:val="000000"/>
                <w:kern w:val="0"/>
                <w:szCs w:val="21"/>
              </w:rPr>
              <w:t>其他法律行政法规禁止公开</w:t>
            </w:r>
            <w:bookmarkEnd w:id="2"/>
          </w:p>
        </w:tc>
        <w:tc>
          <w:tcPr>
            <w:tcW w:w="747" w:type="dxa"/>
            <w:noWrap w:val="0"/>
            <w:tcMar>
              <w:left w:w="108" w:type="dxa"/>
              <w:right w:w="108" w:type="dxa"/>
            </w:tcMar>
            <w:vAlign w:val="center"/>
          </w:tcPr>
          <w:p w14:paraId="32FE43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8881D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9DAEC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852AB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539419E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0AD74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7C1A01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587E4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ED7062B">
            <w:pPr>
              <w:rPr>
                <w:rFonts w:ascii="黑体" w:hAnsi="黑体" w:eastAsia="黑体"/>
                <w:color w:val="000000"/>
                <w:szCs w:val="21"/>
              </w:rPr>
            </w:pPr>
          </w:p>
        </w:tc>
        <w:tc>
          <w:tcPr>
            <w:tcW w:w="1701" w:type="dxa"/>
            <w:vMerge w:val="continue"/>
            <w:noWrap w:val="0"/>
            <w:tcMar>
              <w:left w:w="108" w:type="dxa"/>
              <w:right w:w="108" w:type="dxa"/>
            </w:tcMar>
            <w:vAlign w:val="center"/>
          </w:tcPr>
          <w:p w14:paraId="7C073A35">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050D215F">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3.危及“三安全一稳定”</w:t>
            </w:r>
          </w:p>
        </w:tc>
        <w:tc>
          <w:tcPr>
            <w:tcW w:w="747" w:type="dxa"/>
            <w:noWrap w:val="0"/>
            <w:tcMar>
              <w:left w:w="108" w:type="dxa"/>
              <w:right w:w="108" w:type="dxa"/>
            </w:tcMar>
            <w:vAlign w:val="center"/>
          </w:tcPr>
          <w:p w14:paraId="28FAB9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F5D8A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496917A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2F1EE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559DCF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7F8E23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574214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0674F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54466D7">
            <w:pPr>
              <w:rPr>
                <w:rFonts w:ascii="黑体" w:hAnsi="黑体" w:eastAsia="黑体"/>
                <w:color w:val="000000"/>
                <w:szCs w:val="21"/>
              </w:rPr>
            </w:pPr>
          </w:p>
        </w:tc>
        <w:tc>
          <w:tcPr>
            <w:tcW w:w="1701" w:type="dxa"/>
            <w:vMerge w:val="continue"/>
            <w:noWrap w:val="0"/>
            <w:tcMar>
              <w:left w:w="108" w:type="dxa"/>
              <w:right w:w="108" w:type="dxa"/>
            </w:tcMar>
            <w:vAlign w:val="center"/>
          </w:tcPr>
          <w:p w14:paraId="097149D9">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58C284AA">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4.</w:t>
            </w:r>
            <w:bookmarkStart w:id="3" w:name="_Hlk66974290"/>
            <w:r>
              <w:rPr>
                <w:rFonts w:hint="eastAsia" w:ascii="仿宋_GB2312" w:hAnsi="黑体" w:eastAsia="仿宋_GB2312"/>
                <w:color w:val="000000"/>
                <w:kern w:val="0"/>
                <w:szCs w:val="21"/>
              </w:rPr>
              <w:t>保护第三方合法权益</w:t>
            </w:r>
            <w:bookmarkEnd w:id="3"/>
          </w:p>
        </w:tc>
        <w:tc>
          <w:tcPr>
            <w:tcW w:w="747" w:type="dxa"/>
            <w:noWrap w:val="0"/>
            <w:tcMar>
              <w:left w:w="108" w:type="dxa"/>
              <w:right w:w="108" w:type="dxa"/>
            </w:tcMar>
            <w:vAlign w:val="center"/>
          </w:tcPr>
          <w:p w14:paraId="1027BE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180B9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D4523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306E6D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6E8B0E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64D77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5777B3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0F741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0A020FC">
            <w:pPr>
              <w:rPr>
                <w:rFonts w:ascii="黑体" w:hAnsi="黑体" w:eastAsia="黑体"/>
                <w:color w:val="000000"/>
                <w:szCs w:val="21"/>
              </w:rPr>
            </w:pPr>
          </w:p>
        </w:tc>
        <w:tc>
          <w:tcPr>
            <w:tcW w:w="1701" w:type="dxa"/>
            <w:vMerge w:val="continue"/>
            <w:noWrap w:val="0"/>
            <w:tcMar>
              <w:left w:w="108" w:type="dxa"/>
              <w:right w:w="108" w:type="dxa"/>
            </w:tcMar>
            <w:vAlign w:val="center"/>
          </w:tcPr>
          <w:p w14:paraId="6C3C3CF1">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742CDF38">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5.属于三类内部事务信息</w:t>
            </w:r>
          </w:p>
        </w:tc>
        <w:tc>
          <w:tcPr>
            <w:tcW w:w="747" w:type="dxa"/>
            <w:noWrap w:val="0"/>
            <w:tcMar>
              <w:left w:w="108" w:type="dxa"/>
              <w:right w:w="108" w:type="dxa"/>
            </w:tcMar>
            <w:vAlign w:val="center"/>
          </w:tcPr>
          <w:p w14:paraId="1091A4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4E9BE4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C6252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16934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1CDC31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7256C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2BA673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44F99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2CB117F">
            <w:pPr>
              <w:rPr>
                <w:rFonts w:ascii="黑体" w:hAnsi="黑体" w:eastAsia="黑体"/>
                <w:color w:val="000000"/>
                <w:szCs w:val="21"/>
              </w:rPr>
            </w:pPr>
          </w:p>
        </w:tc>
        <w:tc>
          <w:tcPr>
            <w:tcW w:w="1701" w:type="dxa"/>
            <w:vMerge w:val="continue"/>
            <w:noWrap w:val="0"/>
            <w:tcMar>
              <w:left w:w="108" w:type="dxa"/>
              <w:right w:w="108" w:type="dxa"/>
            </w:tcMar>
            <w:vAlign w:val="center"/>
          </w:tcPr>
          <w:p w14:paraId="3CB4C780">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5BB21DC0">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6.</w:t>
            </w:r>
            <w:bookmarkStart w:id="4" w:name="_Hlk66974555"/>
            <w:r>
              <w:rPr>
                <w:rFonts w:hint="eastAsia" w:ascii="仿宋_GB2312" w:hAnsi="黑体" w:eastAsia="仿宋_GB2312"/>
                <w:color w:val="000000"/>
                <w:kern w:val="0"/>
                <w:szCs w:val="21"/>
              </w:rPr>
              <w:t>属于四类过程性信息</w:t>
            </w:r>
            <w:bookmarkEnd w:id="4"/>
          </w:p>
        </w:tc>
        <w:tc>
          <w:tcPr>
            <w:tcW w:w="747" w:type="dxa"/>
            <w:noWrap w:val="0"/>
            <w:tcMar>
              <w:left w:w="108" w:type="dxa"/>
              <w:right w:w="108" w:type="dxa"/>
            </w:tcMar>
            <w:vAlign w:val="center"/>
          </w:tcPr>
          <w:p w14:paraId="3F00FC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6E5509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64C3B3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035D6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7432F3D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0BC435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134F1B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37555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FB6F1DA">
            <w:pPr>
              <w:rPr>
                <w:rFonts w:ascii="黑体" w:hAnsi="黑体" w:eastAsia="黑体"/>
                <w:color w:val="000000"/>
                <w:szCs w:val="21"/>
              </w:rPr>
            </w:pPr>
          </w:p>
        </w:tc>
        <w:tc>
          <w:tcPr>
            <w:tcW w:w="1701" w:type="dxa"/>
            <w:vMerge w:val="continue"/>
            <w:noWrap w:val="0"/>
            <w:tcMar>
              <w:left w:w="108" w:type="dxa"/>
              <w:right w:w="108" w:type="dxa"/>
            </w:tcMar>
            <w:vAlign w:val="center"/>
          </w:tcPr>
          <w:p w14:paraId="31E46FC4">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5AF23EA3">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7.属于行政执法案卷</w:t>
            </w:r>
          </w:p>
        </w:tc>
        <w:tc>
          <w:tcPr>
            <w:tcW w:w="747" w:type="dxa"/>
            <w:noWrap w:val="0"/>
            <w:tcMar>
              <w:left w:w="108" w:type="dxa"/>
              <w:right w:w="108" w:type="dxa"/>
            </w:tcMar>
            <w:vAlign w:val="center"/>
          </w:tcPr>
          <w:p w14:paraId="71264E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0A9F6E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D426C1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233838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9CBBD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2B2561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24CD084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767E5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2EA11EF">
            <w:pPr>
              <w:rPr>
                <w:rFonts w:ascii="黑体" w:hAnsi="黑体" w:eastAsia="黑体"/>
                <w:color w:val="000000"/>
                <w:szCs w:val="21"/>
              </w:rPr>
            </w:pPr>
          </w:p>
        </w:tc>
        <w:tc>
          <w:tcPr>
            <w:tcW w:w="1701" w:type="dxa"/>
            <w:vMerge w:val="continue"/>
            <w:noWrap w:val="0"/>
            <w:tcMar>
              <w:left w:w="108" w:type="dxa"/>
              <w:right w:w="108" w:type="dxa"/>
            </w:tcMar>
            <w:vAlign w:val="center"/>
          </w:tcPr>
          <w:p w14:paraId="28606F60">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49EEDAC8">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8.</w:t>
            </w:r>
            <w:bookmarkStart w:id="5" w:name="_Hlk66975211"/>
            <w:r>
              <w:rPr>
                <w:rFonts w:hint="eastAsia" w:ascii="仿宋_GB2312" w:hAnsi="黑体" w:eastAsia="仿宋_GB2312"/>
                <w:color w:val="000000"/>
                <w:kern w:val="0"/>
                <w:szCs w:val="21"/>
              </w:rPr>
              <w:t>属于行政查询事项</w:t>
            </w:r>
            <w:bookmarkEnd w:id="5"/>
          </w:p>
        </w:tc>
        <w:tc>
          <w:tcPr>
            <w:tcW w:w="747" w:type="dxa"/>
            <w:noWrap w:val="0"/>
            <w:tcMar>
              <w:left w:w="108" w:type="dxa"/>
              <w:right w:w="108" w:type="dxa"/>
            </w:tcMar>
            <w:vAlign w:val="center"/>
          </w:tcPr>
          <w:p w14:paraId="386FB3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43609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4B6087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05DCFD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2959D3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6420E14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12B7A5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235C0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1BAAAB">
            <w:pPr>
              <w:rPr>
                <w:rFonts w:ascii="黑体" w:hAnsi="黑体" w:eastAsia="黑体"/>
                <w:color w:val="000000"/>
                <w:szCs w:val="21"/>
              </w:rPr>
            </w:pPr>
          </w:p>
        </w:tc>
        <w:tc>
          <w:tcPr>
            <w:tcW w:w="1701" w:type="dxa"/>
            <w:vMerge w:val="restart"/>
            <w:noWrap w:val="0"/>
            <w:tcMar>
              <w:left w:w="108" w:type="dxa"/>
              <w:right w:w="108" w:type="dxa"/>
            </w:tcMar>
            <w:vAlign w:val="center"/>
          </w:tcPr>
          <w:p w14:paraId="36689F61">
            <w:pPr>
              <w:widowControl/>
              <w:spacing w:line="200" w:lineRule="exact"/>
              <w:ind w:left="-107" w:leftChars="-51"/>
              <w:rPr>
                <w:rFonts w:ascii="黑体" w:hAnsi="黑体" w:eastAsia="黑体"/>
                <w:color w:val="000000"/>
                <w:szCs w:val="21"/>
              </w:rPr>
            </w:pPr>
            <w:r>
              <w:rPr>
                <w:rFonts w:hint="eastAsia" w:ascii="黑体" w:hAnsi="黑体" w:eastAsia="黑体"/>
                <w:color w:val="000000"/>
                <w:kern w:val="0"/>
                <w:szCs w:val="21"/>
              </w:rPr>
              <w:t>（四）无法提供</w:t>
            </w:r>
          </w:p>
        </w:tc>
        <w:tc>
          <w:tcPr>
            <w:tcW w:w="2976" w:type="dxa"/>
            <w:noWrap w:val="0"/>
            <w:tcMar>
              <w:left w:w="108" w:type="dxa"/>
              <w:right w:w="108" w:type="dxa"/>
            </w:tcMar>
            <w:vAlign w:val="center"/>
          </w:tcPr>
          <w:p w14:paraId="48061C9D">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1.本机关不掌握相关政府信息</w:t>
            </w:r>
          </w:p>
        </w:tc>
        <w:tc>
          <w:tcPr>
            <w:tcW w:w="747" w:type="dxa"/>
            <w:noWrap w:val="0"/>
            <w:tcMar>
              <w:left w:w="108" w:type="dxa"/>
              <w:right w:w="108" w:type="dxa"/>
            </w:tcMar>
            <w:vAlign w:val="center"/>
          </w:tcPr>
          <w:p w14:paraId="21F1B05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6BC387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3D6BC9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488290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2323A7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924DA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51FA56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5A212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5055331">
            <w:pPr>
              <w:rPr>
                <w:rFonts w:ascii="黑体" w:hAnsi="黑体" w:eastAsia="黑体"/>
                <w:color w:val="000000"/>
                <w:szCs w:val="21"/>
              </w:rPr>
            </w:pPr>
          </w:p>
        </w:tc>
        <w:tc>
          <w:tcPr>
            <w:tcW w:w="1701" w:type="dxa"/>
            <w:vMerge w:val="continue"/>
            <w:noWrap w:val="0"/>
            <w:tcMar>
              <w:left w:w="108" w:type="dxa"/>
              <w:right w:w="108" w:type="dxa"/>
            </w:tcMar>
            <w:vAlign w:val="center"/>
          </w:tcPr>
          <w:p w14:paraId="322137C4">
            <w:pPr>
              <w:spacing w:line="200" w:lineRule="exact"/>
              <w:ind w:left="-107" w:leftChars="-51"/>
              <w:rPr>
                <w:rFonts w:ascii="黑体" w:hAnsi="黑体" w:eastAsia="黑体"/>
                <w:color w:val="000000"/>
                <w:szCs w:val="21"/>
              </w:rPr>
            </w:pPr>
          </w:p>
        </w:tc>
        <w:tc>
          <w:tcPr>
            <w:tcW w:w="2976" w:type="dxa"/>
            <w:noWrap w:val="0"/>
            <w:tcMar>
              <w:left w:w="108" w:type="dxa"/>
              <w:right w:w="108" w:type="dxa"/>
            </w:tcMar>
            <w:vAlign w:val="center"/>
          </w:tcPr>
          <w:p w14:paraId="513A8169">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2.</w:t>
            </w:r>
            <w:bookmarkStart w:id="6" w:name="_Hlk66975392"/>
            <w:r>
              <w:rPr>
                <w:rFonts w:hint="eastAsia" w:ascii="仿宋_GB2312" w:hAnsi="黑体" w:eastAsia="仿宋_GB2312"/>
                <w:color w:val="000000"/>
                <w:kern w:val="0"/>
                <w:szCs w:val="21"/>
              </w:rPr>
              <w:t>没有现成信息需要另行制作</w:t>
            </w:r>
            <w:bookmarkEnd w:id="6"/>
          </w:p>
        </w:tc>
        <w:tc>
          <w:tcPr>
            <w:tcW w:w="747" w:type="dxa"/>
            <w:noWrap w:val="0"/>
            <w:tcMar>
              <w:left w:w="108" w:type="dxa"/>
              <w:right w:w="108" w:type="dxa"/>
            </w:tcMar>
            <w:vAlign w:val="center"/>
          </w:tcPr>
          <w:p w14:paraId="1DABB9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366ECA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FE859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0B6944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27ADFE9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E51D7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55B5D9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16EF7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B361556">
            <w:pPr>
              <w:rPr>
                <w:rFonts w:ascii="黑体" w:hAnsi="黑体" w:eastAsia="黑体"/>
                <w:color w:val="000000"/>
                <w:szCs w:val="21"/>
              </w:rPr>
            </w:pPr>
          </w:p>
        </w:tc>
        <w:tc>
          <w:tcPr>
            <w:tcW w:w="1701" w:type="dxa"/>
            <w:vMerge w:val="continue"/>
            <w:noWrap w:val="0"/>
            <w:tcMar>
              <w:left w:w="108" w:type="dxa"/>
              <w:right w:w="108" w:type="dxa"/>
            </w:tcMar>
            <w:vAlign w:val="center"/>
          </w:tcPr>
          <w:p w14:paraId="10F7006F">
            <w:pPr>
              <w:spacing w:line="200" w:lineRule="exact"/>
              <w:ind w:left="-107" w:leftChars="-51"/>
              <w:rPr>
                <w:rFonts w:ascii="黑体" w:hAnsi="黑体" w:eastAsia="黑体"/>
                <w:color w:val="000000"/>
                <w:szCs w:val="21"/>
              </w:rPr>
            </w:pPr>
          </w:p>
        </w:tc>
        <w:tc>
          <w:tcPr>
            <w:tcW w:w="2976" w:type="dxa"/>
            <w:noWrap w:val="0"/>
            <w:tcMar>
              <w:left w:w="108" w:type="dxa"/>
              <w:right w:w="108" w:type="dxa"/>
            </w:tcMar>
            <w:vAlign w:val="center"/>
          </w:tcPr>
          <w:p w14:paraId="1386C3AC">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3.</w:t>
            </w:r>
            <w:bookmarkStart w:id="7" w:name="_Hlk66975466"/>
            <w:r>
              <w:rPr>
                <w:rFonts w:hint="eastAsia" w:ascii="仿宋_GB2312" w:hAnsi="黑体" w:eastAsia="仿宋_GB2312"/>
                <w:color w:val="000000"/>
                <w:kern w:val="0"/>
                <w:szCs w:val="21"/>
              </w:rPr>
              <w:t>补正后申请内容仍不明确</w:t>
            </w:r>
            <w:bookmarkEnd w:id="7"/>
          </w:p>
        </w:tc>
        <w:tc>
          <w:tcPr>
            <w:tcW w:w="747" w:type="dxa"/>
            <w:noWrap w:val="0"/>
            <w:tcMar>
              <w:left w:w="108" w:type="dxa"/>
              <w:right w:w="108" w:type="dxa"/>
            </w:tcMar>
            <w:vAlign w:val="center"/>
          </w:tcPr>
          <w:p w14:paraId="2D59A3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6ABC3D6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9CA24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60171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3677BA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1CEC31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4292DF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301AE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230C1C9">
            <w:pPr>
              <w:rPr>
                <w:rFonts w:ascii="黑体" w:hAnsi="黑体" w:eastAsia="黑体"/>
                <w:color w:val="000000"/>
                <w:szCs w:val="21"/>
              </w:rPr>
            </w:pPr>
          </w:p>
        </w:tc>
        <w:tc>
          <w:tcPr>
            <w:tcW w:w="1701" w:type="dxa"/>
            <w:vMerge w:val="restart"/>
            <w:noWrap w:val="0"/>
            <w:tcMar>
              <w:left w:w="108" w:type="dxa"/>
              <w:right w:w="108" w:type="dxa"/>
            </w:tcMar>
            <w:vAlign w:val="center"/>
          </w:tcPr>
          <w:p w14:paraId="20E00E60">
            <w:pPr>
              <w:widowControl/>
              <w:spacing w:line="200" w:lineRule="exact"/>
              <w:ind w:left="-107" w:leftChars="-51"/>
              <w:rPr>
                <w:rFonts w:ascii="黑体" w:hAnsi="黑体" w:eastAsia="黑体"/>
                <w:color w:val="000000"/>
                <w:szCs w:val="21"/>
              </w:rPr>
            </w:pPr>
            <w:r>
              <w:rPr>
                <w:rFonts w:hint="eastAsia" w:ascii="黑体" w:hAnsi="黑体" w:eastAsia="黑体"/>
                <w:color w:val="000000"/>
                <w:kern w:val="0"/>
                <w:szCs w:val="21"/>
              </w:rPr>
              <w:t>（五）不予处理</w:t>
            </w:r>
          </w:p>
        </w:tc>
        <w:tc>
          <w:tcPr>
            <w:tcW w:w="2976" w:type="dxa"/>
            <w:noWrap w:val="0"/>
            <w:tcMar>
              <w:left w:w="108" w:type="dxa"/>
              <w:right w:w="108" w:type="dxa"/>
            </w:tcMar>
            <w:vAlign w:val="center"/>
          </w:tcPr>
          <w:p w14:paraId="1C8CE6FB">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1.</w:t>
            </w:r>
            <w:bookmarkStart w:id="8" w:name="_Hlk66975537"/>
            <w:r>
              <w:rPr>
                <w:rFonts w:hint="eastAsia" w:ascii="仿宋_GB2312" w:hAnsi="黑体" w:eastAsia="仿宋_GB2312"/>
                <w:color w:val="000000"/>
                <w:kern w:val="0"/>
                <w:szCs w:val="21"/>
              </w:rPr>
              <w:t>信访举报投诉类申请</w:t>
            </w:r>
            <w:bookmarkEnd w:id="8"/>
          </w:p>
        </w:tc>
        <w:tc>
          <w:tcPr>
            <w:tcW w:w="747" w:type="dxa"/>
            <w:noWrap w:val="0"/>
            <w:tcMar>
              <w:left w:w="108" w:type="dxa"/>
              <w:right w:w="108" w:type="dxa"/>
            </w:tcMar>
            <w:vAlign w:val="center"/>
          </w:tcPr>
          <w:p w14:paraId="68C25C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3C57FB8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1AA88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353B7A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6A65C5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829A19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7DF6046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1344D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B08065">
            <w:pPr>
              <w:rPr>
                <w:rFonts w:ascii="黑体" w:hAnsi="黑体" w:eastAsia="黑体"/>
                <w:color w:val="000000"/>
                <w:szCs w:val="21"/>
              </w:rPr>
            </w:pPr>
          </w:p>
        </w:tc>
        <w:tc>
          <w:tcPr>
            <w:tcW w:w="1701" w:type="dxa"/>
            <w:vMerge w:val="continue"/>
            <w:noWrap w:val="0"/>
            <w:tcMar>
              <w:left w:w="108" w:type="dxa"/>
              <w:right w:w="108" w:type="dxa"/>
            </w:tcMar>
            <w:vAlign w:val="center"/>
          </w:tcPr>
          <w:p w14:paraId="2CBFC784">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6F403E3F">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2.重复申请</w:t>
            </w:r>
          </w:p>
        </w:tc>
        <w:tc>
          <w:tcPr>
            <w:tcW w:w="747" w:type="dxa"/>
            <w:noWrap w:val="0"/>
            <w:tcMar>
              <w:left w:w="108" w:type="dxa"/>
              <w:right w:w="108" w:type="dxa"/>
            </w:tcMar>
            <w:vAlign w:val="center"/>
          </w:tcPr>
          <w:p w14:paraId="243041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08F9B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E768FE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B4361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AB063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6814AF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64B7004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5B5317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581A45E">
            <w:pPr>
              <w:rPr>
                <w:rFonts w:ascii="黑体" w:hAnsi="黑体" w:eastAsia="黑体"/>
                <w:color w:val="000000"/>
                <w:szCs w:val="21"/>
              </w:rPr>
            </w:pPr>
          </w:p>
        </w:tc>
        <w:tc>
          <w:tcPr>
            <w:tcW w:w="1701" w:type="dxa"/>
            <w:vMerge w:val="continue"/>
            <w:noWrap w:val="0"/>
            <w:tcMar>
              <w:left w:w="108" w:type="dxa"/>
              <w:right w:w="108" w:type="dxa"/>
            </w:tcMar>
            <w:vAlign w:val="center"/>
          </w:tcPr>
          <w:p w14:paraId="41CB4C24">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5EAC5FF7">
            <w:pPr>
              <w:widowControl/>
              <w:spacing w:line="200" w:lineRule="exact"/>
              <w:rPr>
                <w:rFonts w:ascii="仿宋_GB2312" w:hAnsi="黑体" w:eastAsia="仿宋_GB2312"/>
                <w:color w:val="000000"/>
                <w:szCs w:val="21"/>
              </w:rPr>
            </w:pPr>
            <w:r>
              <w:rPr>
                <w:rFonts w:hint="eastAsia" w:ascii="仿宋_GB2312" w:hAnsi="黑体" w:eastAsia="仿宋_GB2312"/>
                <w:color w:val="000000"/>
                <w:kern w:val="0"/>
                <w:szCs w:val="21"/>
              </w:rPr>
              <w:t>3.要求提供公开出版物</w:t>
            </w:r>
          </w:p>
        </w:tc>
        <w:tc>
          <w:tcPr>
            <w:tcW w:w="747" w:type="dxa"/>
            <w:noWrap w:val="0"/>
            <w:tcMar>
              <w:left w:w="108" w:type="dxa"/>
              <w:right w:w="108" w:type="dxa"/>
            </w:tcMar>
            <w:vAlign w:val="center"/>
          </w:tcPr>
          <w:p w14:paraId="5CC146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31A27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63CAA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676B01F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08D99B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57F13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7BBFB4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4100D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6503672E">
            <w:pPr>
              <w:rPr>
                <w:rFonts w:ascii="黑体" w:hAnsi="黑体" w:eastAsia="黑体"/>
                <w:color w:val="000000"/>
                <w:szCs w:val="21"/>
              </w:rPr>
            </w:pPr>
          </w:p>
        </w:tc>
        <w:tc>
          <w:tcPr>
            <w:tcW w:w="1701" w:type="dxa"/>
            <w:vMerge w:val="continue"/>
            <w:noWrap w:val="0"/>
            <w:tcMar>
              <w:left w:w="108" w:type="dxa"/>
              <w:right w:w="108" w:type="dxa"/>
            </w:tcMar>
            <w:vAlign w:val="center"/>
          </w:tcPr>
          <w:p w14:paraId="323C7E96">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45F7477A">
            <w:pPr>
              <w:widowControl/>
              <w:spacing w:line="200" w:lineRule="exact"/>
              <w:rPr>
                <w:rFonts w:ascii="仿宋_GB2312" w:hAnsi="黑体" w:eastAsia="仿宋_GB2312"/>
                <w:color w:val="000000"/>
                <w:szCs w:val="21"/>
              </w:rPr>
            </w:pPr>
            <w:r>
              <w:rPr>
                <w:rFonts w:hint="eastAsia" w:ascii="仿宋_GB2312" w:hAnsi="黑体" w:eastAsia="仿宋_GB2312"/>
                <w:color w:val="000000"/>
                <w:kern w:val="0"/>
                <w:szCs w:val="21"/>
              </w:rPr>
              <w:t>4.无正当理由大量反复申请</w:t>
            </w:r>
          </w:p>
        </w:tc>
        <w:tc>
          <w:tcPr>
            <w:tcW w:w="747" w:type="dxa"/>
            <w:noWrap w:val="0"/>
            <w:tcMar>
              <w:left w:w="108" w:type="dxa"/>
              <w:right w:w="108" w:type="dxa"/>
            </w:tcMar>
            <w:vAlign w:val="center"/>
          </w:tcPr>
          <w:p w14:paraId="0634181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16E959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DE2D6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E7954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2E47F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733378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644037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42D22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99BB1B3">
            <w:pPr>
              <w:rPr>
                <w:rFonts w:ascii="黑体" w:hAnsi="黑体" w:eastAsia="黑体"/>
                <w:color w:val="000000"/>
                <w:szCs w:val="21"/>
              </w:rPr>
            </w:pPr>
          </w:p>
        </w:tc>
        <w:tc>
          <w:tcPr>
            <w:tcW w:w="1701" w:type="dxa"/>
            <w:vMerge w:val="continue"/>
            <w:noWrap w:val="0"/>
            <w:tcMar>
              <w:left w:w="108" w:type="dxa"/>
              <w:right w:w="108" w:type="dxa"/>
            </w:tcMar>
            <w:vAlign w:val="center"/>
          </w:tcPr>
          <w:p w14:paraId="55BD420A">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64C65A6F">
            <w:pPr>
              <w:widowControl/>
              <w:spacing w:line="300" w:lineRule="exact"/>
              <w:rPr>
                <w:rFonts w:ascii="仿宋_GB2312" w:hAnsi="黑体" w:eastAsia="仿宋_GB2312"/>
                <w:color w:val="000000"/>
                <w:kern w:val="0"/>
                <w:szCs w:val="21"/>
              </w:rPr>
            </w:pPr>
            <w:r>
              <w:rPr>
                <w:rFonts w:hint="eastAsia" w:ascii="仿宋_GB2312" w:hAnsi="黑体" w:eastAsia="仿宋_GB2312"/>
                <w:color w:val="000000"/>
                <w:kern w:val="0"/>
                <w:szCs w:val="21"/>
              </w:rPr>
              <w:t>5.要求行政机关确认或重新</w:t>
            </w:r>
          </w:p>
          <w:p w14:paraId="68545ED8">
            <w:pPr>
              <w:widowControl/>
              <w:spacing w:line="300" w:lineRule="exact"/>
              <w:ind w:firstLine="210" w:firstLineChars="100"/>
              <w:rPr>
                <w:rFonts w:ascii="仿宋_GB2312" w:hAnsi="黑体" w:eastAsia="仿宋_GB2312"/>
                <w:color w:val="000000"/>
                <w:szCs w:val="21"/>
              </w:rPr>
            </w:pPr>
            <w:r>
              <w:rPr>
                <w:rFonts w:hint="eastAsia" w:ascii="仿宋_GB2312" w:hAnsi="黑体" w:eastAsia="仿宋_GB2312"/>
                <w:color w:val="000000"/>
                <w:kern w:val="0"/>
                <w:szCs w:val="21"/>
              </w:rPr>
              <w:t>出具已获取信息</w:t>
            </w:r>
          </w:p>
        </w:tc>
        <w:tc>
          <w:tcPr>
            <w:tcW w:w="747" w:type="dxa"/>
            <w:noWrap w:val="0"/>
            <w:tcMar>
              <w:left w:w="108" w:type="dxa"/>
              <w:right w:w="108" w:type="dxa"/>
            </w:tcMar>
            <w:vAlign w:val="center"/>
          </w:tcPr>
          <w:p w14:paraId="28701E4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69FAEE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30DB71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6163D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78E29E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2DB53F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5050D4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338323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D1818DA">
            <w:pPr>
              <w:rPr>
                <w:rFonts w:ascii="黑体" w:hAnsi="黑体" w:eastAsia="黑体"/>
                <w:color w:val="000000"/>
                <w:szCs w:val="21"/>
              </w:rPr>
            </w:pPr>
          </w:p>
        </w:tc>
        <w:tc>
          <w:tcPr>
            <w:tcW w:w="1701" w:type="dxa"/>
            <w:vMerge w:val="restart"/>
            <w:noWrap w:val="0"/>
            <w:tcMar>
              <w:left w:w="108" w:type="dxa"/>
              <w:right w:w="108" w:type="dxa"/>
            </w:tcMar>
            <w:vAlign w:val="center"/>
          </w:tcPr>
          <w:p w14:paraId="45A5760D">
            <w:pPr>
              <w:widowControl/>
              <w:spacing w:line="300" w:lineRule="exact"/>
              <w:rPr>
                <w:rFonts w:ascii="黑体" w:hAnsi="黑体" w:eastAsia="黑体"/>
                <w:color w:val="000000"/>
                <w:kern w:val="0"/>
                <w:szCs w:val="21"/>
              </w:rPr>
            </w:pPr>
            <w:r>
              <w:rPr>
                <w:rFonts w:hint="eastAsia" w:ascii="黑体" w:hAnsi="黑体" w:eastAsia="黑体"/>
                <w:color w:val="000000"/>
                <w:kern w:val="0"/>
                <w:szCs w:val="21"/>
              </w:rPr>
              <w:t>（六）其他处理</w:t>
            </w:r>
          </w:p>
        </w:tc>
        <w:tc>
          <w:tcPr>
            <w:tcW w:w="2976" w:type="dxa"/>
            <w:noWrap w:val="0"/>
            <w:vAlign w:val="center"/>
          </w:tcPr>
          <w:p w14:paraId="1C2D3FDA">
            <w:pPr>
              <w:widowControl/>
              <w:spacing w:line="300" w:lineRule="exact"/>
              <w:rPr>
                <w:rFonts w:ascii="仿宋_GB2312" w:hAnsi="楷体" w:eastAsia="仿宋_GB2312"/>
                <w:color w:val="000000"/>
              </w:rPr>
            </w:pPr>
            <w:r>
              <w:rPr>
                <w:rFonts w:hint="eastAsia" w:ascii="仿宋_GB2312" w:hAnsi="楷体" w:eastAsia="仿宋_GB2312"/>
                <w:color w:val="000000"/>
              </w:rPr>
              <w:t>1.申请人无正当理由逾期不补正、行政机关不再处理其政府信息公开申请</w:t>
            </w:r>
          </w:p>
        </w:tc>
        <w:tc>
          <w:tcPr>
            <w:tcW w:w="747" w:type="dxa"/>
            <w:noWrap w:val="0"/>
            <w:tcMar>
              <w:left w:w="108" w:type="dxa"/>
              <w:right w:w="108" w:type="dxa"/>
            </w:tcMar>
            <w:vAlign w:val="center"/>
          </w:tcPr>
          <w:p w14:paraId="39EFED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84A94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4E4B2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CC754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61E3C5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008CEF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4956FA7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06CA8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F1BAEF3">
            <w:pPr>
              <w:rPr>
                <w:rFonts w:ascii="黑体" w:hAnsi="黑体" w:eastAsia="黑体"/>
                <w:color w:val="000000"/>
                <w:szCs w:val="21"/>
              </w:rPr>
            </w:pPr>
          </w:p>
        </w:tc>
        <w:tc>
          <w:tcPr>
            <w:tcW w:w="1701" w:type="dxa"/>
            <w:vMerge w:val="continue"/>
            <w:noWrap w:val="0"/>
            <w:tcMar>
              <w:left w:w="108" w:type="dxa"/>
              <w:right w:w="108" w:type="dxa"/>
            </w:tcMar>
            <w:vAlign w:val="center"/>
          </w:tcPr>
          <w:p w14:paraId="50391445">
            <w:pPr>
              <w:widowControl/>
              <w:spacing w:line="300" w:lineRule="exact"/>
              <w:rPr>
                <w:rFonts w:ascii="黑体" w:hAnsi="黑体" w:eastAsia="黑体"/>
                <w:color w:val="000000"/>
                <w:kern w:val="0"/>
                <w:szCs w:val="21"/>
              </w:rPr>
            </w:pPr>
          </w:p>
        </w:tc>
        <w:tc>
          <w:tcPr>
            <w:tcW w:w="2976" w:type="dxa"/>
            <w:noWrap w:val="0"/>
            <w:vAlign w:val="center"/>
          </w:tcPr>
          <w:p w14:paraId="2D4C9534">
            <w:pPr>
              <w:widowControl/>
              <w:spacing w:line="300" w:lineRule="exact"/>
              <w:rPr>
                <w:rFonts w:ascii="仿宋_GB2312" w:hAnsi="黑体" w:eastAsia="仿宋_GB2312"/>
                <w:color w:val="000000"/>
                <w:kern w:val="0"/>
                <w:szCs w:val="21"/>
              </w:rPr>
            </w:pPr>
            <w:r>
              <w:rPr>
                <w:rFonts w:hint="eastAsia" w:ascii="仿宋_GB2312" w:hAnsi="楷体" w:eastAsia="仿宋_GB2312"/>
                <w:color w:val="000000"/>
              </w:rPr>
              <w:t>2.申请人逾期未按收费通知要求缴纳费用、行政机关不再处理其政府信息公开申请</w:t>
            </w:r>
          </w:p>
        </w:tc>
        <w:tc>
          <w:tcPr>
            <w:tcW w:w="747" w:type="dxa"/>
            <w:noWrap w:val="0"/>
            <w:tcMar>
              <w:left w:w="108" w:type="dxa"/>
              <w:right w:w="108" w:type="dxa"/>
            </w:tcMar>
            <w:vAlign w:val="center"/>
          </w:tcPr>
          <w:p w14:paraId="5FB099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5D4581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1966C0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0C62F9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1C1571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DF508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1F3DE0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r>
      <w:tr w14:paraId="724D1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B6FFDCF">
            <w:pPr>
              <w:rPr>
                <w:rFonts w:ascii="黑体" w:hAnsi="黑体" w:eastAsia="黑体"/>
                <w:color w:val="000000"/>
                <w:szCs w:val="21"/>
              </w:rPr>
            </w:pPr>
          </w:p>
        </w:tc>
        <w:tc>
          <w:tcPr>
            <w:tcW w:w="1701" w:type="dxa"/>
            <w:vMerge w:val="continue"/>
            <w:noWrap w:val="0"/>
            <w:tcMar>
              <w:left w:w="108" w:type="dxa"/>
              <w:right w:w="108" w:type="dxa"/>
            </w:tcMar>
            <w:vAlign w:val="center"/>
          </w:tcPr>
          <w:p w14:paraId="0D1BAA7C">
            <w:pPr>
              <w:widowControl/>
              <w:spacing w:line="300" w:lineRule="exact"/>
              <w:rPr>
                <w:rFonts w:ascii="黑体" w:hAnsi="黑体" w:eastAsia="黑体"/>
                <w:color w:val="000000"/>
                <w:kern w:val="0"/>
                <w:szCs w:val="21"/>
              </w:rPr>
            </w:pPr>
          </w:p>
        </w:tc>
        <w:tc>
          <w:tcPr>
            <w:tcW w:w="2976" w:type="dxa"/>
            <w:noWrap w:val="0"/>
            <w:vAlign w:val="center"/>
          </w:tcPr>
          <w:p w14:paraId="46DCDD51">
            <w:pPr>
              <w:widowControl/>
              <w:spacing w:line="300" w:lineRule="exact"/>
              <w:rPr>
                <w:rFonts w:ascii="仿宋_GB2312" w:hAnsi="黑体" w:eastAsia="仿宋_GB2312"/>
                <w:color w:val="000000"/>
                <w:kern w:val="0"/>
                <w:szCs w:val="21"/>
              </w:rPr>
            </w:pPr>
            <w:r>
              <w:rPr>
                <w:rFonts w:hint="eastAsia" w:ascii="仿宋_GB2312" w:hAnsi="楷体" w:eastAsia="仿宋_GB2312"/>
                <w:color w:val="000000"/>
              </w:rPr>
              <w:t>3.其他</w:t>
            </w:r>
          </w:p>
        </w:tc>
        <w:tc>
          <w:tcPr>
            <w:tcW w:w="747" w:type="dxa"/>
            <w:noWrap w:val="0"/>
            <w:tcMar>
              <w:left w:w="108" w:type="dxa"/>
              <w:right w:w="108" w:type="dxa"/>
            </w:tcMar>
            <w:vAlign w:val="center"/>
          </w:tcPr>
          <w:p w14:paraId="604120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73154C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3AB2C7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366534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116D926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D4D43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54ED72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r>
      <w:tr w14:paraId="445C9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4CDF708">
            <w:pPr>
              <w:rPr>
                <w:rFonts w:ascii="黑体" w:hAnsi="黑体" w:eastAsia="黑体"/>
                <w:color w:val="000000"/>
                <w:szCs w:val="21"/>
              </w:rPr>
            </w:pPr>
          </w:p>
        </w:tc>
        <w:tc>
          <w:tcPr>
            <w:tcW w:w="4677" w:type="dxa"/>
            <w:gridSpan w:val="2"/>
            <w:noWrap w:val="0"/>
            <w:tcMar>
              <w:left w:w="108" w:type="dxa"/>
              <w:right w:w="108" w:type="dxa"/>
            </w:tcMar>
            <w:vAlign w:val="center"/>
          </w:tcPr>
          <w:p w14:paraId="26BEA53A">
            <w:pPr>
              <w:widowControl/>
              <w:spacing w:line="300" w:lineRule="exact"/>
              <w:rPr>
                <w:rFonts w:ascii="黑体" w:hAnsi="黑体" w:eastAsia="黑体"/>
                <w:color w:val="000000"/>
                <w:kern w:val="0"/>
                <w:szCs w:val="21"/>
              </w:rPr>
            </w:pPr>
            <w:r>
              <w:rPr>
                <w:rFonts w:hint="eastAsia" w:ascii="黑体" w:hAnsi="黑体" w:eastAsia="黑体"/>
                <w:color w:val="000000"/>
                <w:kern w:val="0"/>
                <w:szCs w:val="21"/>
              </w:rPr>
              <w:t>（七）总计</w:t>
            </w:r>
          </w:p>
        </w:tc>
        <w:tc>
          <w:tcPr>
            <w:tcW w:w="747" w:type="dxa"/>
            <w:noWrap w:val="0"/>
            <w:tcMar>
              <w:left w:w="108" w:type="dxa"/>
              <w:right w:w="108" w:type="dxa"/>
            </w:tcMar>
            <w:vAlign w:val="center"/>
          </w:tcPr>
          <w:p w14:paraId="2D5F34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3</w:t>
            </w:r>
          </w:p>
        </w:tc>
        <w:tc>
          <w:tcPr>
            <w:tcW w:w="540" w:type="dxa"/>
            <w:gridSpan w:val="2"/>
            <w:noWrap w:val="0"/>
            <w:tcMar>
              <w:left w:w="108" w:type="dxa"/>
              <w:right w:w="108" w:type="dxa"/>
            </w:tcMar>
            <w:vAlign w:val="center"/>
          </w:tcPr>
          <w:p w14:paraId="0683FF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07641C9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C2420F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3C05AEE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6601D3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480DB1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eastAsia="zh-CN"/>
              </w:rPr>
            </w:pPr>
            <w:r>
              <w:rPr>
                <w:rFonts w:hint="eastAsia" w:ascii="仿宋_GB2312" w:eastAsia="仿宋_GB2312"/>
                <w:color w:val="000000"/>
                <w:szCs w:val="21"/>
                <w:lang w:val="en-US" w:eastAsia="zh-CN"/>
              </w:rPr>
              <w:t>3</w:t>
            </w:r>
          </w:p>
        </w:tc>
      </w:tr>
      <w:tr w14:paraId="3D9D9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34D01154">
            <w:pPr>
              <w:widowControl/>
              <w:spacing w:line="300" w:lineRule="exact"/>
              <w:rPr>
                <w:rFonts w:ascii="黑体" w:hAnsi="黑体" w:eastAsia="黑体"/>
                <w:color w:val="000000"/>
                <w:kern w:val="0"/>
                <w:szCs w:val="21"/>
              </w:rPr>
            </w:pPr>
            <w:r>
              <w:rPr>
                <w:rFonts w:hint="eastAsia" w:ascii="黑体" w:hAnsi="黑体" w:eastAsia="黑体"/>
                <w:color w:val="000000"/>
                <w:kern w:val="0"/>
                <w:szCs w:val="21"/>
              </w:rPr>
              <w:t>四、结转下年度继续办理</w:t>
            </w:r>
          </w:p>
        </w:tc>
        <w:tc>
          <w:tcPr>
            <w:tcW w:w="747" w:type="dxa"/>
            <w:noWrap w:val="0"/>
            <w:tcMar>
              <w:left w:w="108" w:type="dxa"/>
              <w:right w:w="108" w:type="dxa"/>
            </w:tcMar>
            <w:vAlign w:val="center"/>
          </w:tcPr>
          <w:p w14:paraId="1DF006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4BFC3B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2AF1FE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3FBEF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0C2A0B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F12E9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noWrap w:val="0"/>
            <w:tcMar>
              <w:left w:w="108" w:type="dxa"/>
              <w:right w:w="108" w:type="dxa"/>
            </w:tcMar>
            <w:vAlign w:val="center"/>
          </w:tcPr>
          <w:p w14:paraId="65F11A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r>
    </w:tbl>
    <w:p w14:paraId="4413F9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27A763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黑体" w:hAnsi="黑体" w:eastAsia="黑体" w:cs="黑体"/>
          <w:b w:val="0"/>
          <w:bCs/>
          <w:sz w:val="32"/>
          <w:szCs w:val="32"/>
        </w:rPr>
      </w:pPr>
    </w:p>
    <w:p w14:paraId="189D1B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sz w:val="32"/>
          <w:szCs w:val="32"/>
        </w:rPr>
        <w:t>四、政府信息公开行政复议、行政诉讼情况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F93D5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D4EC2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54FDDA4">
            <w:pPr>
              <w:widowControl/>
              <w:jc w:val="center"/>
              <w:rPr>
                <w:rFonts w:ascii="黑体" w:hAnsi="黑体" w:eastAsia="黑体"/>
              </w:rPr>
            </w:pPr>
            <w:r>
              <w:rPr>
                <w:rFonts w:ascii="黑体" w:hAnsi="黑体" w:eastAsia="黑体"/>
                <w:kern w:val="0"/>
                <w:sz w:val="20"/>
                <w:szCs w:val="20"/>
              </w:rPr>
              <w:t>行政诉讼</w:t>
            </w:r>
          </w:p>
        </w:tc>
      </w:tr>
      <w:tr w14:paraId="60F16F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A4D2B12">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51F4C803">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B36D0A6">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0315137">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45B1C04">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4B67A35D">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A49460B">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831C12C">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E9DA796">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4209FA07">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01944E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7200CFB">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2ADD1DC1">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5F288FA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21C5551">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30861ED">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7342786">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23A1472">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D2372A">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1EDAC666">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B5895EB">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3DF18DA9">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E6994CD">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94CA54B">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EFEDD4">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12D39F5E">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986B05F">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45349464">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61B208">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7BB2D0A">
            <w:pPr>
              <w:widowControl/>
              <w:jc w:val="center"/>
              <w:rPr>
                <w:rFonts w:ascii="黑体" w:hAnsi="黑体" w:eastAsia="黑体"/>
              </w:rPr>
            </w:pPr>
            <w:r>
              <w:rPr>
                <w:rFonts w:ascii="黑体" w:hAnsi="黑体" w:eastAsia="黑体"/>
                <w:kern w:val="0"/>
                <w:sz w:val="20"/>
                <w:szCs w:val="20"/>
              </w:rPr>
              <w:t>总计</w:t>
            </w:r>
          </w:p>
        </w:tc>
      </w:tr>
      <w:tr w14:paraId="150CAE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8F2763D">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E08E48F">
            <w:pPr>
              <w:widowControl/>
              <w:spacing w:after="180"/>
              <w:jc w:val="center"/>
              <w:rPr>
                <w:rFonts w:hint="default" w:ascii="Times New Roman" w:hAnsi="Times New Roman"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B872601">
            <w:pPr>
              <w:widowControl/>
              <w:spacing w:after="180"/>
              <w:jc w:val="center"/>
              <w:rPr>
                <w:rFonts w:hint="default"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18C2270">
            <w:pPr>
              <w:widowControl/>
              <w:spacing w:after="180"/>
              <w:jc w:val="center"/>
              <w:rPr>
                <w:rFonts w:hint="default" w:ascii="Times New Roman" w:hAnsi="Times New Roman" w:eastAsia="宋体"/>
                <w:lang w:val="en-US" w:eastAsia="zh-CN"/>
              </w:rPr>
            </w:pPr>
            <w:r>
              <w:rPr>
                <w:rFonts w:hint="eastAsia"/>
                <w:lang w:val="en-US" w:eastAsia="zh-CN"/>
              </w:rPr>
              <w:t>1</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7888A0A8">
            <w:pPr>
              <w:widowControl/>
              <w:spacing w:after="180"/>
              <w:jc w:val="center"/>
              <w:rPr>
                <w:rFonts w:hint="default" w:ascii="Times New Roman" w:hAnsi="Times New Roman" w:eastAsia="宋体"/>
                <w:lang w:val="en-US" w:eastAsia="zh-CN"/>
              </w:rPr>
            </w:pPr>
            <w:r>
              <w:rPr>
                <w:rFonts w:hint="eastAsia"/>
                <w:lang w:val="en-US" w:eastAsia="zh-CN"/>
              </w:rPr>
              <w:t>2</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D807CCD">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8D37D14">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69DBF8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1853671">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7EB6EFD">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749357F">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802C8F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E665FE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36D8AB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5C315C30">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2F61FF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14:paraId="24B08A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我街道在推进政务公开工作中，仍存在一些亟待解决的问题与不足：一方面，公开质量尚需进一步提升，政策解读形式较为单一，文字解读的简洁性和明确性仍有欠缺，缺乏图文、视频等多样化、通俗易懂的解读方式。另一方面，信息公开的全面性有待加强，结合本地实际与自身重点工作的公开内容相对不足，针对社会热点和群众关切的信息公开还不够充分，难以满足群众日益增长的信息需求。</w:t>
      </w:r>
    </w:p>
    <w:p w14:paraId="7675DE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一步，我街道将重点从以下两方面加以改进：一是强化解读力度，丰富解读形式。积极借鉴优秀政策解读案例经验，不断优化文字解读的实用性与精准性，逐步增加图解、视频等直观生动的解读方式。二是紧扣群众需求，深化公开内容。聚焦乡村振兴、生态环境、社会治理等与群众切身利益密切相关的领域，进一步加大信息公开力度，切实提升政务公开工作的针对性与实效性。</w:t>
      </w:r>
    </w:p>
    <w:p w14:paraId="5A079B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p>
    <w:p w14:paraId="014C09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六、其他需要报告的事项</w:t>
      </w:r>
    </w:p>
    <w:p w14:paraId="186974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1.收取信息处理费情况方面。202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年度，本单位未收取信息处理费；</w:t>
      </w:r>
    </w:p>
    <w:p w14:paraId="654B2C4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2.落实上级年度政务公开工作要点情况。对照《滕州市202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年政务公开工作要点》，围绕重点领域信息公开、政策文件、公示公告、基层政务公开标准化规范化建设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落实逐项明确责任主体</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完成时限。</w:t>
      </w:r>
    </w:p>
    <w:p w14:paraId="2E8F83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3.人大代表建议和政协提案办理情况方面。202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年，未承办人大、政协提案；</w:t>
      </w:r>
    </w:p>
    <w:p w14:paraId="45E4AE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4.开展政务公开创新方面。荆河街道办事处持续推进政务公开体验区建设等创新形式。</w:t>
      </w:r>
    </w:p>
    <w:p w14:paraId="47FB5E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5.本单位政府信息公开工作年度报告数据统计需要说明的事项：无</w:t>
      </w:r>
    </w:p>
    <w:p w14:paraId="30CF49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6.其他有关文件专门要求通过政府信息公开工作年度报告予以报告的事项：无</w:t>
      </w:r>
    </w:p>
    <w:p w14:paraId="3871F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7.本报告的电子版可在“中国滕州网”（http://www.tengzhou.gov.cn/）网站查询和下载。</w:t>
      </w:r>
    </w:p>
    <w:p w14:paraId="38E4E3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如对本报告有任何疑问，请与滕州市荆河街道办事处</w:t>
      </w:r>
      <w:r>
        <w:rPr>
          <w:rFonts w:hint="eastAsia" w:ascii="仿宋_GB2312" w:hAnsi="仿宋_GB2312" w:eastAsia="仿宋_GB2312" w:cs="仿宋_GB2312"/>
          <w:sz w:val="32"/>
          <w:szCs w:val="32"/>
          <w:highlight w:val="none"/>
          <w:lang w:val="en-US" w:eastAsia="zh-CN"/>
        </w:rPr>
        <w:t>党政办</w:t>
      </w:r>
      <w:r>
        <w:rPr>
          <w:rFonts w:hint="eastAsia" w:ascii="仿宋_GB2312" w:hAnsi="仿宋_GB2312" w:eastAsia="仿宋_GB2312" w:cs="仿宋_GB2312"/>
          <w:sz w:val="32"/>
          <w:szCs w:val="32"/>
          <w:highlight w:val="none"/>
        </w:rPr>
        <w:t>联系。（地址：山东省滕州市恒源路北首，联系电话：0632—</w:t>
      </w:r>
      <w:r>
        <w:rPr>
          <w:rFonts w:hint="eastAsia" w:ascii="仿宋_GB2312" w:hAnsi="仿宋_GB2312" w:eastAsia="仿宋_GB2312" w:cs="仿宋_GB2312"/>
          <w:sz w:val="32"/>
          <w:szCs w:val="32"/>
          <w:highlight w:val="none"/>
          <w:lang w:val="en-US" w:eastAsia="zh-CN"/>
        </w:rPr>
        <w:t>5564101</w:t>
      </w:r>
      <w:r>
        <w:rPr>
          <w:rFonts w:hint="eastAsia" w:ascii="仿宋_GB2312" w:hAnsi="仿宋_GB2312" w:eastAsia="仿宋_GB2312" w:cs="仿宋_GB2312"/>
          <w:sz w:val="32"/>
          <w:szCs w:val="32"/>
          <w:highlight w:val="none"/>
        </w:rPr>
        <w:t>，电子邮箱：</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"mailto:jinghexxhglb@zz.shandong.cn）" </w:instrText>
      </w:r>
      <w:r>
        <w:rPr>
          <w:rFonts w:hint="eastAsia" w:ascii="仿宋_GB2312" w:hAnsi="仿宋_GB2312" w:eastAsia="仿宋_GB2312" w:cs="仿宋_GB2312"/>
          <w:sz w:val="32"/>
          <w:szCs w:val="32"/>
          <w:highlight w:val="none"/>
        </w:rPr>
        <w:fldChar w:fldCharType="separate"/>
      </w:r>
      <w:r>
        <w:rPr>
          <w:rStyle w:val="8"/>
          <w:rFonts w:hint="eastAsia" w:ascii="仿宋_GB2312" w:hAnsi="仿宋_GB2312" w:eastAsia="仿宋_GB2312" w:cs="仿宋_GB2312"/>
          <w:sz w:val="32"/>
          <w:szCs w:val="32"/>
          <w:highlight w:val="none"/>
        </w:rPr>
        <w:t>jinghexxhglb@zz.shandong.cn）</w:t>
      </w:r>
      <w:r>
        <w:rPr>
          <w:rFonts w:hint="eastAsia" w:ascii="仿宋_GB2312" w:hAnsi="仿宋_GB2312" w:eastAsia="仿宋_GB2312" w:cs="仿宋_GB2312"/>
          <w:sz w:val="32"/>
          <w:szCs w:val="32"/>
          <w:highlight w:val="none"/>
        </w:rPr>
        <w:fldChar w:fldCharType="end"/>
      </w:r>
    </w:p>
    <w:p w14:paraId="70906C2A">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yellow"/>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8C4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E90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0E90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839B1"/>
    <w:rsid w:val="0778613C"/>
    <w:rsid w:val="0A3D172D"/>
    <w:rsid w:val="0D2A3ABE"/>
    <w:rsid w:val="164C2CF7"/>
    <w:rsid w:val="25DD5AC7"/>
    <w:rsid w:val="33447833"/>
    <w:rsid w:val="36430D19"/>
    <w:rsid w:val="3F48400B"/>
    <w:rsid w:val="3F5336A4"/>
    <w:rsid w:val="4A0938F5"/>
    <w:rsid w:val="4B906C07"/>
    <w:rsid w:val="58C25EF8"/>
    <w:rsid w:val="5E257BFD"/>
    <w:rsid w:val="74B96DAE"/>
    <w:rsid w:val="78467DA2"/>
    <w:rsid w:val="CDF66B90"/>
    <w:rsid w:val="F7DE5BAA"/>
    <w:rsid w:val="FED7143E"/>
    <w:rsid w:val="FEED8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2851</Words>
  <Characters>3010</Characters>
  <Lines>0</Lines>
  <Paragraphs>0</Paragraphs>
  <TotalTime>40</TotalTime>
  <ScaleCrop>false</ScaleCrop>
  <LinksUpToDate>false</LinksUpToDate>
  <CharactersWithSpaces>3018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2026-01-12T15:09:00Z</dcterms:created>
  <dc:creator>LENOVO</dc:creator>
  <cp:lastModifiedBy>WPS_1601705987</cp:lastModifiedBy>
  <dcterms:modified xsi:type="dcterms:W3CDTF">2026-01-20T07:56:02Z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eyJoZGlkIjoiNDU2YzE5ZjNhN2E1ODVmNGNkNjk5NDE2NWEzM2EwZGEiLCJ1c2VySWQiOiIxMTI2OTc0MTEyIn0=</vt:lpwstr>
  </property>
  <property fmtid="{D5CDD505-2E9C-101B-9397-08002B2CF9AE}" pid="4" name="ICV">
    <vt:lpwstr>C83DC2BB77D6493F9E2B30B2728E82C2_12</vt:lpwstr>
  </property>
</Properties>
</file>