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7D2B60">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firstLine="635"/>
        <w:jc w:val="center"/>
        <w:textAlignment w:val="auto"/>
        <w:rPr>
          <w:rFonts w:hint="eastAsia" w:ascii="方正小标宋简体" w:hAnsi="方正小标宋简体" w:eastAsia="方正小标宋简体" w:cs="方正小标宋简体"/>
          <w:i w:val="0"/>
          <w:iCs w:val="0"/>
          <w:caps w:val="0"/>
          <w:color w:val="auto"/>
          <w:spacing w:val="0"/>
          <w:sz w:val="44"/>
          <w:szCs w:val="44"/>
        </w:rPr>
      </w:pPr>
      <w:r>
        <w:rPr>
          <w:rFonts w:hint="eastAsia" w:ascii="方正小标宋简体" w:hAnsi="方正小标宋简体" w:eastAsia="方正小标宋简体" w:cs="方正小标宋简体"/>
          <w:i w:val="0"/>
          <w:iCs w:val="0"/>
          <w:caps w:val="0"/>
          <w:color w:val="auto"/>
          <w:spacing w:val="0"/>
          <w:sz w:val="44"/>
          <w:szCs w:val="44"/>
        </w:rPr>
        <w:t>滕州市</w:t>
      </w:r>
      <w:r>
        <w:rPr>
          <w:rFonts w:hint="eastAsia" w:ascii="方正小标宋简体" w:hAnsi="方正小标宋简体" w:eastAsia="方正小标宋简体" w:cs="方正小标宋简体"/>
          <w:i w:val="0"/>
          <w:iCs w:val="0"/>
          <w:caps w:val="0"/>
          <w:color w:val="auto"/>
          <w:spacing w:val="0"/>
          <w:sz w:val="44"/>
          <w:szCs w:val="44"/>
          <w:lang w:val="en-US" w:eastAsia="zh-CN"/>
        </w:rPr>
        <w:t>医疗保障</w:t>
      </w:r>
      <w:r>
        <w:rPr>
          <w:rFonts w:hint="eastAsia" w:ascii="方正小标宋简体" w:hAnsi="方正小标宋简体" w:eastAsia="方正小标宋简体" w:cs="方正小标宋简体"/>
          <w:i w:val="0"/>
          <w:iCs w:val="0"/>
          <w:caps w:val="0"/>
          <w:color w:val="auto"/>
          <w:spacing w:val="0"/>
          <w:sz w:val="44"/>
          <w:szCs w:val="44"/>
        </w:rPr>
        <w:t>局</w:t>
      </w:r>
    </w:p>
    <w:p w14:paraId="03649B13">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firstLine="635"/>
        <w:jc w:val="center"/>
        <w:textAlignment w:val="auto"/>
        <w:rPr>
          <w:rFonts w:ascii="仿宋_GB2312" w:hAnsi="sans-serif" w:eastAsia="仿宋_GB2312" w:cs="仿宋_GB2312"/>
          <w:i w:val="0"/>
          <w:iCs w:val="0"/>
          <w:caps w:val="0"/>
          <w:color w:val="auto"/>
          <w:spacing w:val="0"/>
          <w:sz w:val="32"/>
          <w:szCs w:val="32"/>
        </w:rPr>
      </w:pPr>
      <w:r>
        <w:rPr>
          <w:rFonts w:hint="eastAsia" w:ascii="方正小标宋简体" w:hAnsi="方正小标宋简体" w:eastAsia="方正小标宋简体" w:cs="方正小标宋简体"/>
          <w:i w:val="0"/>
          <w:iCs w:val="0"/>
          <w:caps w:val="0"/>
          <w:color w:val="auto"/>
          <w:spacing w:val="0"/>
          <w:sz w:val="44"/>
          <w:szCs w:val="44"/>
        </w:rPr>
        <w:t>20</w:t>
      </w:r>
      <w:r>
        <w:rPr>
          <w:rFonts w:hint="eastAsia" w:ascii="方正小标宋简体" w:hAnsi="方正小标宋简体" w:eastAsia="方正小标宋简体" w:cs="方正小标宋简体"/>
          <w:i w:val="0"/>
          <w:iCs w:val="0"/>
          <w:caps w:val="0"/>
          <w:color w:val="auto"/>
          <w:spacing w:val="0"/>
          <w:sz w:val="44"/>
          <w:szCs w:val="44"/>
          <w:lang w:val="en-US" w:eastAsia="zh-CN"/>
        </w:rPr>
        <w:t>25</w:t>
      </w:r>
      <w:r>
        <w:rPr>
          <w:rFonts w:hint="eastAsia" w:ascii="方正小标宋简体" w:hAnsi="方正小标宋简体" w:eastAsia="方正小标宋简体" w:cs="方正小标宋简体"/>
          <w:i w:val="0"/>
          <w:iCs w:val="0"/>
          <w:caps w:val="0"/>
          <w:color w:val="auto"/>
          <w:spacing w:val="0"/>
          <w:sz w:val="44"/>
          <w:szCs w:val="44"/>
        </w:rPr>
        <w:t>年政府信息公开工作年度报告</w:t>
      </w:r>
    </w:p>
    <w:p w14:paraId="3F9E2E9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宋体" w:hAnsi="宋体" w:eastAsia="宋体" w:cs="宋体"/>
          <w:i w:val="0"/>
          <w:caps w:val="0"/>
          <w:color w:val="auto"/>
          <w:spacing w:val="0"/>
          <w:sz w:val="24"/>
          <w:szCs w:val="24"/>
        </w:rPr>
      </w:pPr>
    </w:p>
    <w:p w14:paraId="349D870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宋体" w:hAnsi="宋体" w:eastAsia="宋体" w:cs="宋体"/>
          <w:i w:val="0"/>
          <w:caps w:val="0"/>
          <w:color w:val="auto"/>
          <w:spacing w:val="0"/>
          <w:sz w:val="24"/>
          <w:szCs w:val="24"/>
        </w:rPr>
      </w:pPr>
      <w:r>
        <w:rPr>
          <w:rFonts w:hint="eastAsia" w:ascii="仿宋_GB2312" w:hAnsi="仿宋_GB2312" w:eastAsia="仿宋_GB2312" w:cs="仿宋_GB2312"/>
          <w:i w:val="0"/>
          <w:iCs w:val="0"/>
          <w:caps w:val="0"/>
          <w:color w:val="auto"/>
          <w:spacing w:val="0"/>
          <w:sz w:val="32"/>
          <w:szCs w:val="32"/>
        </w:rPr>
        <w:t>根据《中华人民共和国政府信息公开条例》和省政府办公厅、枣庄市政府办公室、滕州市政府办公室通知要求，结合滕州市医保局</w:t>
      </w:r>
      <w:r>
        <w:rPr>
          <w:rFonts w:hint="eastAsia" w:ascii="仿宋_GB2312" w:hAnsi="仿宋_GB2312" w:eastAsia="仿宋_GB2312" w:cs="仿宋_GB2312"/>
          <w:i w:val="0"/>
          <w:iCs w:val="0"/>
          <w:caps w:val="0"/>
          <w:color w:val="auto"/>
          <w:spacing w:val="0"/>
          <w:sz w:val="32"/>
          <w:szCs w:val="32"/>
          <w:lang w:val="en-US" w:eastAsia="zh-CN"/>
        </w:rPr>
        <w:t>2025</w:t>
      </w:r>
      <w:r>
        <w:rPr>
          <w:rFonts w:hint="eastAsia" w:ascii="仿宋_GB2312" w:hAnsi="仿宋_GB2312" w:eastAsia="仿宋_GB2312" w:cs="仿宋_GB2312"/>
          <w:i w:val="0"/>
          <w:iCs w:val="0"/>
          <w:caps w:val="0"/>
          <w:color w:val="auto"/>
          <w:spacing w:val="0"/>
          <w:sz w:val="32"/>
          <w:szCs w:val="32"/>
        </w:rPr>
        <w:t>年度信息公开工作实际，编制本报告并向社会公布。本报告中所列数据的统计期限自202</w:t>
      </w:r>
      <w:r>
        <w:rPr>
          <w:rFonts w:hint="eastAsia" w:ascii="仿宋_GB2312" w:hAnsi="仿宋_GB2312" w:eastAsia="仿宋_GB2312" w:cs="仿宋_GB2312"/>
          <w:i w:val="0"/>
          <w:iCs w:val="0"/>
          <w:caps w:val="0"/>
          <w:color w:val="auto"/>
          <w:spacing w:val="0"/>
          <w:sz w:val="32"/>
          <w:szCs w:val="32"/>
          <w:lang w:val="en-US" w:eastAsia="zh-CN"/>
        </w:rPr>
        <w:t>5</w:t>
      </w:r>
      <w:r>
        <w:rPr>
          <w:rFonts w:hint="eastAsia" w:ascii="仿宋_GB2312" w:hAnsi="仿宋_GB2312" w:eastAsia="仿宋_GB2312" w:cs="仿宋_GB2312"/>
          <w:i w:val="0"/>
          <w:iCs w:val="0"/>
          <w:caps w:val="0"/>
          <w:color w:val="auto"/>
          <w:spacing w:val="0"/>
          <w:sz w:val="32"/>
          <w:szCs w:val="32"/>
        </w:rPr>
        <w:t>年1月1日起至202</w:t>
      </w:r>
      <w:r>
        <w:rPr>
          <w:rFonts w:hint="eastAsia" w:ascii="仿宋_GB2312" w:hAnsi="仿宋_GB2312" w:eastAsia="仿宋_GB2312" w:cs="仿宋_GB2312"/>
          <w:i w:val="0"/>
          <w:iCs w:val="0"/>
          <w:caps w:val="0"/>
          <w:color w:val="auto"/>
          <w:spacing w:val="0"/>
          <w:sz w:val="32"/>
          <w:szCs w:val="32"/>
          <w:lang w:val="en-US" w:eastAsia="zh-CN"/>
        </w:rPr>
        <w:t>5</w:t>
      </w:r>
      <w:r>
        <w:rPr>
          <w:rFonts w:hint="eastAsia" w:ascii="仿宋_GB2312" w:hAnsi="仿宋_GB2312" w:eastAsia="仿宋_GB2312" w:cs="仿宋_GB2312"/>
          <w:i w:val="0"/>
          <w:iCs w:val="0"/>
          <w:caps w:val="0"/>
          <w:color w:val="auto"/>
          <w:spacing w:val="0"/>
          <w:sz w:val="32"/>
          <w:szCs w:val="32"/>
        </w:rPr>
        <w:t>年12月31日止。  </w:t>
      </w:r>
    </w:p>
    <w:p w14:paraId="7B8E1FA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黑体" w:hAnsi="黑体" w:eastAsia="黑体" w:cs="黑体"/>
          <w:b w:val="0"/>
          <w:bCs/>
          <w:i w:val="0"/>
          <w:caps w:val="0"/>
          <w:color w:val="auto"/>
          <w:spacing w:val="0"/>
          <w:sz w:val="32"/>
          <w:szCs w:val="32"/>
        </w:rPr>
      </w:pPr>
      <w:r>
        <w:rPr>
          <w:rFonts w:hint="eastAsia" w:ascii="黑体" w:hAnsi="黑体" w:eastAsia="黑体" w:cs="黑体"/>
          <w:b w:val="0"/>
          <w:bCs/>
          <w:i w:val="0"/>
          <w:caps w:val="0"/>
          <w:color w:val="auto"/>
          <w:spacing w:val="0"/>
          <w:sz w:val="32"/>
          <w:szCs w:val="32"/>
          <w:shd w:val="clear" w:color="auto" w:fill="FFFFFF"/>
        </w:rPr>
        <w:t>一、总体情况</w:t>
      </w:r>
    </w:p>
    <w:p w14:paraId="6BD87B46">
      <w:pPr>
        <w:pStyle w:val="4"/>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600" w:lineRule="exact"/>
        <w:ind w:left="0" w:firstLine="640" w:firstLineChars="200"/>
        <w:jc w:val="both"/>
        <w:textAlignment w:val="auto"/>
        <w:rPr>
          <w:rFonts w:hint="eastAsia" w:ascii="仿宋_GB2312" w:hAnsi="sans-serif" w:eastAsia="仿宋_GB2312" w:cs="仿宋_GB2312"/>
          <w:i w:val="0"/>
          <w:iCs w:val="0"/>
          <w:caps w:val="0"/>
          <w:color w:val="auto"/>
          <w:spacing w:val="0"/>
          <w:sz w:val="32"/>
          <w:szCs w:val="32"/>
        </w:rPr>
      </w:pPr>
      <w:r>
        <w:rPr>
          <w:rFonts w:hint="eastAsia" w:ascii="仿宋_GB2312" w:hAnsi="sans-serif" w:eastAsia="仿宋_GB2312" w:cs="仿宋_GB2312"/>
          <w:i w:val="0"/>
          <w:iCs w:val="0"/>
          <w:caps w:val="0"/>
          <w:color w:val="auto"/>
          <w:spacing w:val="0"/>
          <w:sz w:val="32"/>
          <w:szCs w:val="32"/>
          <w:lang w:val="en-US" w:eastAsia="zh-CN"/>
        </w:rPr>
        <w:t>2025</w:t>
      </w:r>
      <w:r>
        <w:rPr>
          <w:rFonts w:hint="eastAsia" w:ascii="仿宋_GB2312" w:hAnsi="sans-serif" w:eastAsia="仿宋_GB2312" w:cs="仿宋_GB2312"/>
          <w:i w:val="0"/>
          <w:iCs w:val="0"/>
          <w:caps w:val="0"/>
          <w:color w:val="auto"/>
          <w:spacing w:val="0"/>
          <w:sz w:val="32"/>
          <w:szCs w:val="32"/>
        </w:rPr>
        <w:t>年，滕州市医保局严格按照省市工作要求，认真贯彻落实《中华人民共和国政府信息公开条例》等有关规定，强化组织领导，细化责任分工，确保信息及时、准确、规范，积极、稳妥推进政府信息公开工作。</w:t>
      </w:r>
    </w:p>
    <w:p w14:paraId="4005900A">
      <w:pPr>
        <w:pStyle w:val="4"/>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600" w:lineRule="exact"/>
        <w:ind w:left="0" w:firstLine="640" w:firstLineChars="200"/>
        <w:jc w:val="both"/>
        <w:textAlignment w:val="auto"/>
        <w:rPr>
          <w:rFonts w:hint="default" w:ascii="sans-serif" w:hAnsi="sans-serif" w:eastAsia="sans-serif" w:cs="sans-serif"/>
          <w:i w:val="0"/>
          <w:iCs w:val="0"/>
          <w:caps w:val="0"/>
          <w:color w:val="auto"/>
          <w:spacing w:val="0"/>
          <w:sz w:val="32"/>
          <w:szCs w:val="32"/>
          <w:highlight w:val="none"/>
        </w:rPr>
      </w:pPr>
      <w:r>
        <w:rPr>
          <w:rFonts w:hint="eastAsia" w:ascii="楷体_GB2312" w:hAnsi="楷体_GB2312" w:eastAsia="楷体_GB2312" w:cs="楷体_GB2312"/>
          <w:i w:val="0"/>
          <w:iCs w:val="0"/>
          <w:caps w:val="0"/>
          <w:color w:val="auto"/>
          <w:spacing w:val="0"/>
          <w:sz w:val="32"/>
          <w:szCs w:val="32"/>
        </w:rPr>
        <w:t>（一）主动公开</w:t>
      </w:r>
      <w:r>
        <w:rPr>
          <w:rFonts w:hint="eastAsia" w:ascii="仿宋_GB2312" w:hAnsi="sans-serif" w:eastAsia="仿宋_GB2312" w:cs="仿宋_GB2312"/>
          <w:i w:val="0"/>
          <w:iCs w:val="0"/>
          <w:caps w:val="0"/>
          <w:color w:val="auto"/>
          <w:spacing w:val="0"/>
          <w:sz w:val="32"/>
          <w:szCs w:val="32"/>
        </w:rPr>
        <w:t>。针对群众关注的医保问题，积极规范做好政府信息主动公开工作，</w:t>
      </w:r>
      <w:r>
        <w:rPr>
          <w:rFonts w:hint="eastAsia" w:ascii="仿宋_GB2312" w:hAnsi="sans-serif" w:eastAsia="仿宋_GB2312" w:cs="仿宋_GB2312"/>
          <w:i w:val="0"/>
          <w:iCs w:val="0"/>
          <w:caps w:val="0"/>
          <w:color w:val="auto"/>
          <w:spacing w:val="0"/>
          <w:sz w:val="32"/>
          <w:szCs w:val="32"/>
          <w:highlight w:val="none"/>
        </w:rPr>
        <w:t>2</w:t>
      </w:r>
      <w:r>
        <w:rPr>
          <w:rFonts w:hint="eastAsia" w:ascii="仿宋_GB2312" w:hAnsi="sans-serif" w:eastAsia="仿宋_GB2312" w:cs="仿宋_GB2312"/>
          <w:i w:val="0"/>
          <w:iCs w:val="0"/>
          <w:caps w:val="0"/>
          <w:color w:val="auto"/>
          <w:spacing w:val="0"/>
          <w:sz w:val="32"/>
          <w:szCs w:val="32"/>
          <w:highlight w:val="none"/>
          <w:lang w:val="en-US" w:eastAsia="zh-CN"/>
        </w:rPr>
        <w:t>025</w:t>
      </w:r>
      <w:r>
        <w:rPr>
          <w:rFonts w:hint="eastAsia" w:ascii="仿宋_GB2312" w:hAnsi="sans-serif" w:eastAsia="仿宋_GB2312" w:cs="仿宋_GB2312"/>
          <w:i w:val="0"/>
          <w:iCs w:val="0"/>
          <w:caps w:val="0"/>
          <w:color w:val="auto"/>
          <w:spacing w:val="0"/>
          <w:sz w:val="32"/>
          <w:szCs w:val="32"/>
          <w:highlight w:val="none"/>
        </w:rPr>
        <w:t>年，</w:t>
      </w:r>
      <w:r>
        <w:rPr>
          <w:rFonts w:hint="eastAsia" w:ascii="仿宋_GB2312" w:hAnsi="sans-serif" w:eastAsia="仿宋_GB2312" w:cs="仿宋_GB2312"/>
          <w:i w:val="0"/>
          <w:iCs w:val="0"/>
          <w:caps w:val="0"/>
          <w:color w:val="auto"/>
          <w:spacing w:val="0"/>
          <w:sz w:val="32"/>
          <w:szCs w:val="32"/>
          <w:highlight w:val="none"/>
          <w:lang w:val="en-US" w:eastAsia="zh-CN"/>
        </w:rPr>
        <w:t>滕州市医疗保障局</w:t>
      </w:r>
      <w:r>
        <w:rPr>
          <w:rFonts w:hint="eastAsia" w:ascii="仿宋_GB2312" w:hAnsi="sans-serif" w:eastAsia="仿宋_GB2312" w:cs="仿宋_GB2312"/>
          <w:i w:val="0"/>
          <w:iCs w:val="0"/>
          <w:caps w:val="0"/>
          <w:color w:val="auto"/>
          <w:spacing w:val="0"/>
          <w:sz w:val="32"/>
          <w:szCs w:val="32"/>
          <w:highlight w:val="none"/>
        </w:rPr>
        <w:t>在滕州市政府信息公开网共发布信息</w:t>
      </w:r>
      <w:r>
        <w:rPr>
          <w:rFonts w:hint="eastAsia" w:ascii="仿宋_GB2312" w:hAnsi="sans-serif" w:eastAsia="仿宋_GB2312" w:cs="仿宋_GB2312"/>
          <w:i w:val="0"/>
          <w:iCs w:val="0"/>
          <w:caps w:val="0"/>
          <w:color w:val="auto"/>
          <w:spacing w:val="0"/>
          <w:sz w:val="32"/>
          <w:szCs w:val="32"/>
          <w:highlight w:val="none"/>
          <w:lang w:val="en-US" w:eastAsia="zh-CN"/>
        </w:rPr>
        <w:t>254</w:t>
      </w:r>
      <w:r>
        <w:rPr>
          <w:rFonts w:hint="eastAsia" w:ascii="仿宋_GB2312" w:hAnsi="sans-serif" w:eastAsia="仿宋_GB2312" w:cs="仿宋_GB2312"/>
          <w:i w:val="0"/>
          <w:iCs w:val="0"/>
          <w:caps w:val="0"/>
          <w:color w:val="auto"/>
          <w:spacing w:val="0"/>
          <w:sz w:val="32"/>
          <w:szCs w:val="32"/>
          <w:highlight w:val="none"/>
        </w:rPr>
        <w:t>余条。其中，通知公告</w:t>
      </w:r>
      <w:r>
        <w:rPr>
          <w:rFonts w:hint="eastAsia" w:ascii="仿宋_GB2312" w:hAnsi="sans-serif" w:eastAsia="仿宋_GB2312" w:cs="仿宋_GB2312"/>
          <w:i w:val="0"/>
          <w:iCs w:val="0"/>
          <w:caps w:val="0"/>
          <w:color w:val="auto"/>
          <w:spacing w:val="0"/>
          <w:sz w:val="32"/>
          <w:szCs w:val="32"/>
          <w:highlight w:val="none"/>
          <w:lang w:val="en-US" w:eastAsia="zh-CN"/>
        </w:rPr>
        <w:t>92</w:t>
      </w:r>
      <w:r>
        <w:rPr>
          <w:rFonts w:hint="eastAsia" w:ascii="仿宋_GB2312" w:hAnsi="sans-serif" w:eastAsia="仿宋_GB2312" w:cs="仿宋_GB2312"/>
          <w:i w:val="0"/>
          <w:iCs w:val="0"/>
          <w:caps w:val="0"/>
          <w:color w:val="auto"/>
          <w:spacing w:val="0"/>
          <w:sz w:val="32"/>
          <w:szCs w:val="32"/>
          <w:highlight w:val="none"/>
        </w:rPr>
        <w:t>条，政策</w:t>
      </w:r>
      <w:r>
        <w:rPr>
          <w:rFonts w:hint="eastAsia" w:ascii="仿宋_GB2312" w:hAnsi="sans-serif" w:eastAsia="仿宋_GB2312" w:cs="仿宋_GB2312"/>
          <w:i w:val="0"/>
          <w:iCs w:val="0"/>
          <w:caps w:val="0"/>
          <w:color w:val="auto"/>
          <w:spacing w:val="0"/>
          <w:sz w:val="32"/>
          <w:szCs w:val="32"/>
          <w:highlight w:val="none"/>
          <w:lang w:val="en-US" w:eastAsia="zh-CN"/>
        </w:rPr>
        <w:t>法规5</w:t>
      </w:r>
      <w:r>
        <w:rPr>
          <w:rFonts w:hint="eastAsia" w:ascii="仿宋_GB2312" w:hAnsi="sans-serif" w:eastAsia="仿宋_GB2312" w:cs="仿宋_GB2312"/>
          <w:i w:val="0"/>
          <w:iCs w:val="0"/>
          <w:caps w:val="0"/>
          <w:color w:val="auto"/>
          <w:spacing w:val="0"/>
          <w:sz w:val="32"/>
          <w:szCs w:val="32"/>
          <w:highlight w:val="none"/>
        </w:rPr>
        <w:t>条，公共查询</w:t>
      </w:r>
      <w:r>
        <w:rPr>
          <w:rFonts w:hint="eastAsia" w:ascii="仿宋_GB2312" w:hAnsi="sans-serif" w:eastAsia="仿宋_GB2312" w:cs="仿宋_GB2312"/>
          <w:i w:val="0"/>
          <w:iCs w:val="0"/>
          <w:caps w:val="0"/>
          <w:color w:val="auto"/>
          <w:spacing w:val="0"/>
          <w:sz w:val="32"/>
          <w:szCs w:val="32"/>
          <w:highlight w:val="none"/>
          <w:lang w:val="en-US" w:eastAsia="zh-CN"/>
        </w:rPr>
        <w:t>7</w:t>
      </w:r>
      <w:r>
        <w:rPr>
          <w:rFonts w:hint="eastAsia" w:ascii="仿宋_GB2312" w:hAnsi="sans-serif" w:eastAsia="仿宋_GB2312" w:cs="仿宋_GB2312"/>
          <w:i w:val="0"/>
          <w:iCs w:val="0"/>
          <w:caps w:val="0"/>
          <w:color w:val="auto"/>
          <w:spacing w:val="0"/>
          <w:sz w:val="32"/>
          <w:szCs w:val="32"/>
          <w:highlight w:val="none"/>
        </w:rPr>
        <w:t>条，工作动态</w:t>
      </w:r>
      <w:r>
        <w:rPr>
          <w:rFonts w:hint="eastAsia" w:ascii="仿宋_GB2312" w:hAnsi="sans-serif" w:eastAsia="仿宋_GB2312" w:cs="仿宋_GB2312"/>
          <w:i w:val="0"/>
          <w:iCs w:val="0"/>
          <w:caps w:val="0"/>
          <w:color w:val="auto"/>
          <w:spacing w:val="0"/>
          <w:sz w:val="32"/>
          <w:szCs w:val="32"/>
          <w:highlight w:val="none"/>
          <w:lang w:val="en-US" w:eastAsia="zh-CN"/>
        </w:rPr>
        <w:t>86</w:t>
      </w:r>
      <w:r>
        <w:rPr>
          <w:rFonts w:hint="eastAsia" w:ascii="仿宋_GB2312" w:hAnsi="sans-serif" w:eastAsia="仿宋_GB2312" w:cs="仿宋_GB2312"/>
          <w:i w:val="0"/>
          <w:iCs w:val="0"/>
          <w:caps w:val="0"/>
          <w:color w:val="auto"/>
          <w:spacing w:val="0"/>
          <w:sz w:val="32"/>
          <w:szCs w:val="32"/>
          <w:highlight w:val="none"/>
        </w:rPr>
        <w:t>条，</w:t>
      </w:r>
      <w:r>
        <w:rPr>
          <w:rFonts w:hint="eastAsia" w:ascii="仿宋_GB2312" w:hAnsi="sans-serif" w:eastAsia="仿宋_GB2312" w:cs="仿宋_GB2312"/>
          <w:i w:val="0"/>
          <w:iCs w:val="0"/>
          <w:caps w:val="0"/>
          <w:color w:val="auto"/>
          <w:spacing w:val="0"/>
          <w:sz w:val="32"/>
          <w:szCs w:val="32"/>
          <w:highlight w:val="none"/>
          <w:lang w:val="en-US" w:eastAsia="zh-CN"/>
        </w:rPr>
        <w:t>表格下载2条，档案查询1条，</w:t>
      </w:r>
      <w:r>
        <w:rPr>
          <w:rFonts w:hint="eastAsia" w:ascii="仿宋_GB2312" w:hAnsi="sans-serif" w:eastAsia="仿宋_GB2312" w:cs="仿宋_GB2312"/>
          <w:i w:val="0"/>
          <w:iCs w:val="0"/>
          <w:caps w:val="0"/>
          <w:color w:val="auto"/>
          <w:spacing w:val="0"/>
          <w:sz w:val="32"/>
          <w:szCs w:val="32"/>
          <w:highlight w:val="none"/>
        </w:rPr>
        <w:t>规划计划</w:t>
      </w:r>
      <w:r>
        <w:rPr>
          <w:rFonts w:hint="eastAsia" w:ascii="仿宋_GB2312" w:hAnsi="sans-serif" w:eastAsia="仿宋_GB2312" w:cs="仿宋_GB2312"/>
          <w:i w:val="0"/>
          <w:iCs w:val="0"/>
          <w:caps w:val="0"/>
          <w:color w:val="auto"/>
          <w:spacing w:val="0"/>
          <w:sz w:val="32"/>
          <w:szCs w:val="32"/>
          <w:highlight w:val="none"/>
          <w:lang w:val="en-US" w:eastAsia="zh-CN"/>
        </w:rPr>
        <w:t>1</w:t>
      </w:r>
      <w:r>
        <w:rPr>
          <w:rFonts w:hint="eastAsia" w:ascii="仿宋_GB2312" w:hAnsi="sans-serif" w:eastAsia="仿宋_GB2312" w:cs="仿宋_GB2312"/>
          <w:i w:val="0"/>
          <w:iCs w:val="0"/>
          <w:caps w:val="0"/>
          <w:color w:val="auto"/>
          <w:spacing w:val="0"/>
          <w:sz w:val="32"/>
          <w:szCs w:val="32"/>
          <w:highlight w:val="none"/>
        </w:rPr>
        <w:t>条，财政信息</w:t>
      </w:r>
      <w:r>
        <w:rPr>
          <w:rFonts w:hint="eastAsia" w:ascii="仿宋_GB2312" w:hAnsi="sans-serif" w:eastAsia="仿宋_GB2312" w:cs="仿宋_GB2312"/>
          <w:i w:val="0"/>
          <w:iCs w:val="0"/>
          <w:caps w:val="0"/>
          <w:color w:val="auto"/>
          <w:spacing w:val="0"/>
          <w:sz w:val="32"/>
          <w:szCs w:val="32"/>
          <w:highlight w:val="none"/>
          <w:lang w:val="en-US" w:eastAsia="zh-CN"/>
        </w:rPr>
        <w:t>4</w:t>
      </w:r>
      <w:r>
        <w:rPr>
          <w:rFonts w:hint="eastAsia" w:ascii="仿宋_GB2312" w:hAnsi="sans-serif" w:eastAsia="仿宋_GB2312" w:cs="仿宋_GB2312"/>
          <w:i w:val="0"/>
          <w:iCs w:val="0"/>
          <w:caps w:val="0"/>
          <w:color w:val="auto"/>
          <w:spacing w:val="0"/>
          <w:sz w:val="32"/>
          <w:szCs w:val="32"/>
          <w:highlight w:val="none"/>
        </w:rPr>
        <w:t>条，建议提案</w:t>
      </w:r>
      <w:r>
        <w:rPr>
          <w:rFonts w:hint="eastAsia" w:ascii="仿宋_GB2312" w:hAnsi="sans-serif" w:eastAsia="仿宋_GB2312" w:cs="仿宋_GB2312"/>
          <w:i w:val="0"/>
          <w:iCs w:val="0"/>
          <w:caps w:val="0"/>
          <w:color w:val="auto"/>
          <w:spacing w:val="0"/>
          <w:sz w:val="32"/>
          <w:szCs w:val="32"/>
          <w:highlight w:val="none"/>
          <w:lang w:val="en-US" w:eastAsia="zh-CN"/>
        </w:rPr>
        <w:t>9</w:t>
      </w:r>
      <w:r>
        <w:rPr>
          <w:rFonts w:hint="eastAsia" w:ascii="仿宋_GB2312" w:hAnsi="sans-serif" w:eastAsia="仿宋_GB2312" w:cs="仿宋_GB2312"/>
          <w:i w:val="0"/>
          <w:iCs w:val="0"/>
          <w:caps w:val="0"/>
          <w:color w:val="auto"/>
          <w:spacing w:val="0"/>
          <w:sz w:val="32"/>
          <w:szCs w:val="32"/>
          <w:highlight w:val="none"/>
        </w:rPr>
        <w:t>条，重点领域</w:t>
      </w:r>
      <w:r>
        <w:rPr>
          <w:rFonts w:hint="eastAsia" w:ascii="仿宋_GB2312" w:hAnsi="sans-serif" w:eastAsia="仿宋_GB2312" w:cs="仿宋_GB2312"/>
          <w:i w:val="0"/>
          <w:iCs w:val="0"/>
          <w:caps w:val="0"/>
          <w:color w:val="auto"/>
          <w:spacing w:val="0"/>
          <w:sz w:val="32"/>
          <w:szCs w:val="32"/>
          <w:highlight w:val="none"/>
          <w:lang w:val="en-US" w:eastAsia="zh-CN"/>
        </w:rPr>
        <w:t>32</w:t>
      </w:r>
      <w:r>
        <w:rPr>
          <w:rFonts w:hint="eastAsia" w:ascii="仿宋_GB2312" w:hAnsi="sans-serif" w:eastAsia="仿宋_GB2312" w:cs="仿宋_GB2312"/>
          <w:i w:val="0"/>
          <w:iCs w:val="0"/>
          <w:caps w:val="0"/>
          <w:color w:val="auto"/>
          <w:spacing w:val="0"/>
          <w:sz w:val="32"/>
          <w:szCs w:val="32"/>
          <w:highlight w:val="none"/>
        </w:rPr>
        <w:t>条（包括民生实事4条、行政执法公示</w:t>
      </w:r>
      <w:r>
        <w:rPr>
          <w:rFonts w:hint="eastAsia" w:ascii="仿宋_GB2312" w:hAnsi="sans-serif" w:eastAsia="仿宋_GB2312" w:cs="仿宋_GB2312"/>
          <w:i w:val="0"/>
          <w:iCs w:val="0"/>
          <w:caps w:val="0"/>
          <w:color w:val="auto"/>
          <w:spacing w:val="0"/>
          <w:sz w:val="32"/>
          <w:szCs w:val="32"/>
          <w:highlight w:val="none"/>
          <w:lang w:val="en-US" w:eastAsia="zh-CN"/>
        </w:rPr>
        <w:t>14</w:t>
      </w:r>
      <w:r>
        <w:rPr>
          <w:rFonts w:hint="eastAsia" w:ascii="仿宋_GB2312" w:hAnsi="sans-serif" w:eastAsia="仿宋_GB2312" w:cs="仿宋_GB2312"/>
          <w:i w:val="0"/>
          <w:iCs w:val="0"/>
          <w:caps w:val="0"/>
          <w:color w:val="auto"/>
          <w:spacing w:val="0"/>
          <w:sz w:val="32"/>
          <w:szCs w:val="32"/>
          <w:highlight w:val="none"/>
        </w:rPr>
        <w:t>条、医疗救助7条、社会医疗生育保险</w:t>
      </w:r>
      <w:r>
        <w:rPr>
          <w:rFonts w:hint="eastAsia" w:ascii="仿宋_GB2312" w:hAnsi="sans-serif" w:eastAsia="仿宋_GB2312" w:cs="仿宋_GB2312"/>
          <w:i w:val="0"/>
          <w:iCs w:val="0"/>
          <w:caps w:val="0"/>
          <w:color w:val="auto"/>
          <w:spacing w:val="0"/>
          <w:sz w:val="32"/>
          <w:szCs w:val="32"/>
          <w:highlight w:val="none"/>
          <w:lang w:val="en-US" w:eastAsia="zh-CN"/>
        </w:rPr>
        <w:t>7</w:t>
      </w:r>
      <w:r>
        <w:rPr>
          <w:rFonts w:hint="eastAsia" w:ascii="仿宋_GB2312" w:hAnsi="sans-serif" w:eastAsia="仿宋_GB2312" w:cs="仿宋_GB2312"/>
          <w:i w:val="0"/>
          <w:iCs w:val="0"/>
          <w:caps w:val="0"/>
          <w:color w:val="auto"/>
          <w:spacing w:val="0"/>
          <w:sz w:val="32"/>
          <w:szCs w:val="32"/>
          <w:highlight w:val="none"/>
        </w:rPr>
        <w:t>条），组织管理</w:t>
      </w:r>
      <w:r>
        <w:rPr>
          <w:rFonts w:hint="eastAsia" w:ascii="仿宋_GB2312" w:hAnsi="sans-serif" w:eastAsia="仿宋_GB2312" w:cs="仿宋_GB2312"/>
          <w:i w:val="0"/>
          <w:iCs w:val="0"/>
          <w:caps w:val="0"/>
          <w:color w:val="auto"/>
          <w:spacing w:val="0"/>
          <w:sz w:val="32"/>
          <w:szCs w:val="32"/>
          <w:highlight w:val="none"/>
          <w:lang w:val="en-US" w:eastAsia="zh-CN"/>
        </w:rPr>
        <w:t>9</w:t>
      </w:r>
      <w:r>
        <w:rPr>
          <w:rFonts w:hint="eastAsia" w:ascii="仿宋_GB2312" w:hAnsi="sans-serif" w:eastAsia="仿宋_GB2312" w:cs="仿宋_GB2312"/>
          <w:i w:val="0"/>
          <w:iCs w:val="0"/>
          <w:caps w:val="0"/>
          <w:color w:val="auto"/>
          <w:spacing w:val="0"/>
          <w:sz w:val="32"/>
          <w:szCs w:val="32"/>
          <w:highlight w:val="none"/>
        </w:rPr>
        <w:t>条，</w:t>
      </w:r>
      <w:r>
        <w:rPr>
          <w:rFonts w:hint="eastAsia" w:ascii="仿宋_GB2312" w:hAnsi="sans-serif" w:eastAsia="仿宋_GB2312" w:cs="仿宋_GB2312"/>
          <w:i w:val="0"/>
          <w:iCs w:val="0"/>
          <w:caps w:val="0"/>
          <w:color w:val="auto"/>
          <w:spacing w:val="0"/>
          <w:sz w:val="32"/>
          <w:szCs w:val="32"/>
          <w:highlight w:val="none"/>
          <w:lang w:val="en-US" w:eastAsia="zh-CN"/>
        </w:rPr>
        <w:t>政务公开工作推进5条，</w:t>
      </w:r>
      <w:r>
        <w:rPr>
          <w:rFonts w:hint="eastAsia" w:ascii="仿宋_GB2312" w:hAnsi="sans-serif" w:eastAsia="仿宋_GB2312" w:cs="仿宋_GB2312"/>
          <w:i w:val="0"/>
          <w:iCs w:val="0"/>
          <w:caps w:val="0"/>
          <w:color w:val="auto"/>
          <w:spacing w:val="0"/>
          <w:sz w:val="32"/>
          <w:szCs w:val="32"/>
          <w:highlight w:val="none"/>
        </w:rPr>
        <w:t>政务公开基本目录1条。同时，积极运用政务新媒体，推动政务公开和信息发布，“滕州市医保局”微信公众号全年共发布医疗保障相关信息</w:t>
      </w:r>
      <w:r>
        <w:rPr>
          <w:rFonts w:hint="eastAsia" w:ascii="仿宋_GB2312" w:hAnsi="sans-serif" w:eastAsia="仿宋_GB2312" w:cs="仿宋_GB2312"/>
          <w:i w:val="0"/>
          <w:iCs w:val="0"/>
          <w:caps w:val="0"/>
          <w:color w:val="auto"/>
          <w:spacing w:val="0"/>
          <w:sz w:val="32"/>
          <w:szCs w:val="32"/>
          <w:highlight w:val="none"/>
          <w:lang w:val="en-US" w:eastAsia="zh-CN"/>
        </w:rPr>
        <w:t>1065</w:t>
      </w:r>
      <w:r>
        <w:rPr>
          <w:rFonts w:hint="eastAsia" w:ascii="仿宋_GB2312" w:hAnsi="sans-serif" w:eastAsia="仿宋_GB2312" w:cs="仿宋_GB2312"/>
          <w:i w:val="0"/>
          <w:iCs w:val="0"/>
          <w:caps w:val="0"/>
          <w:color w:val="auto"/>
          <w:spacing w:val="0"/>
          <w:sz w:val="32"/>
          <w:szCs w:val="32"/>
          <w:highlight w:val="none"/>
        </w:rPr>
        <w:t>条，累计用户</w:t>
      </w:r>
      <w:r>
        <w:rPr>
          <w:rFonts w:hint="eastAsia" w:ascii="仿宋_GB2312" w:hAnsi="sans-serif" w:eastAsia="仿宋_GB2312" w:cs="仿宋_GB2312"/>
          <w:i w:val="0"/>
          <w:iCs w:val="0"/>
          <w:caps w:val="0"/>
          <w:color w:val="auto"/>
          <w:spacing w:val="0"/>
          <w:sz w:val="32"/>
          <w:szCs w:val="32"/>
          <w:highlight w:val="none"/>
          <w:lang w:val="en-US" w:eastAsia="zh-CN"/>
        </w:rPr>
        <w:t>35630</w:t>
      </w:r>
      <w:r>
        <w:rPr>
          <w:rFonts w:hint="eastAsia" w:ascii="仿宋_GB2312" w:hAnsi="sans-serif" w:eastAsia="仿宋_GB2312" w:cs="仿宋_GB2312"/>
          <w:i w:val="0"/>
          <w:iCs w:val="0"/>
          <w:caps w:val="0"/>
          <w:color w:val="auto"/>
          <w:spacing w:val="0"/>
          <w:sz w:val="32"/>
          <w:szCs w:val="32"/>
          <w:highlight w:val="none"/>
        </w:rPr>
        <w:t>人。“滕州医保”抖音号全年共发布视频</w:t>
      </w:r>
      <w:r>
        <w:rPr>
          <w:rFonts w:hint="eastAsia" w:ascii="仿宋_GB2312" w:hAnsi="sans-serif" w:eastAsia="仿宋_GB2312" w:cs="仿宋_GB2312"/>
          <w:i w:val="0"/>
          <w:iCs w:val="0"/>
          <w:caps w:val="0"/>
          <w:color w:val="auto"/>
          <w:spacing w:val="0"/>
          <w:sz w:val="32"/>
          <w:szCs w:val="32"/>
          <w:highlight w:val="none"/>
          <w:lang w:val="en-US" w:eastAsia="zh-CN"/>
        </w:rPr>
        <w:t>48</w:t>
      </w:r>
      <w:r>
        <w:rPr>
          <w:rFonts w:hint="eastAsia" w:ascii="仿宋_GB2312" w:hAnsi="sans-serif" w:eastAsia="仿宋_GB2312" w:cs="仿宋_GB2312"/>
          <w:i w:val="0"/>
          <w:iCs w:val="0"/>
          <w:caps w:val="0"/>
          <w:color w:val="auto"/>
          <w:spacing w:val="0"/>
          <w:sz w:val="32"/>
          <w:szCs w:val="32"/>
          <w:highlight w:val="none"/>
        </w:rPr>
        <w:t>条，累计关注</w:t>
      </w:r>
      <w:r>
        <w:rPr>
          <w:rFonts w:hint="eastAsia" w:ascii="仿宋_GB2312" w:hAnsi="sans-serif" w:eastAsia="仿宋_GB2312" w:cs="仿宋_GB2312"/>
          <w:i w:val="0"/>
          <w:iCs w:val="0"/>
          <w:caps w:val="0"/>
          <w:color w:val="auto"/>
          <w:spacing w:val="0"/>
          <w:sz w:val="32"/>
          <w:szCs w:val="32"/>
          <w:highlight w:val="none"/>
          <w:lang w:val="en-US" w:eastAsia="zh-CN"/>
        </w:rPr>
        <w:t>1728</w:t>
      </w:r>
      <w:r>
        <w:rPr>
          <w:rFonts w:hint="eastAsia" w:ascii="仿宋_GB2312" w:hAnsi="sans-serif" w:eastAsia="仿宋_GB2312" w:cs="仿宋_GB2312"/>
          <w:i w:val="0"/>
          <w:iCs w:val="0"/>
          <w:caps w:val="0"/>
          <w:color w:val="auto"/>
          <w:spacing w:val="0"/>
          <w:sz w:val="32"/>
          <w:szCs w:val="32"/>
          <w:highlight w:val="none"/>
        </w:rPr>
        <w:t>人。</w:t>
      </w:r>
    </w:p>
    <w:tbl>
      <w:tblPr>
        <w:tblStyle w:val="6"/>
        <w:tblpPr w:leftFromText="180" w:rightFromText="180" w:vertAnchor="text" w:horzAnchor="page" w:tblpX="527" w:tblpY="313"/>
        <w:tblOverlap w:val="never"/>
        <w:tblW w:w="107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605"/>
        <w:gridCol w:w="4154"/>
      </w:tblGrid>
      <w:tr w14:paraId="0D52A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82" w:hRule="atLeast"/>
        </w:trPr>
        <w:tc>
          <w:tcPr>
            <w:tcW w:w="6605" w:type="dxa"/>
          </w:tcPr>
          <w:p w14:paraId="5D9C553F">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both"/>
              <w:textAlignment w:val="auto"/>
              <w:rPr>
                <w:rFonts w:hint="eastAsia" w:ascii="仿宋_GB2312" w:hAnsi="sans-serif" w:eastAsia="仿宋_GB2312" w:cs="仿宋_GB2312"/>
                <w:i w:val="0"/>
                <w:iCs w:val="0"/>
                <w:caps w:val="0"/>
                <w:color w:val="auto"/>
                <w:spacing w:val="0"/>
                <w:sz w:val="32"/>
                <w:szCs w:val="32"/>
                <w:vertAlign w:val="baseline"/>
                <w:lang w:eastAsia="zh-CN"/>
              </w:rPr>
            </w:pPr>
            <w:r>
              <w:drawing>
                <wp:anchor distT="0" distB="0" distL="114300" distR="114300" simplePos="0" relativeHeight="251660288" behindDoc="0" locked="0" layoutInCell="1" allowOverlap="1">
                  <wp:simplePos x="0" y="0"/>
                  <wp:positionH relativeFrom="column">
                    <wp:posOffset>69215</wp:posOffset>
                  </wp:positionH>
                  <wp:positionV relativeFrom="paragraph">
                    <wp:posOffset>173355</wp:posOffset>
                  </wp:positionV>
                  <wp:extent cx="3825240" cy="3624580"/>
                  <wp:effectExtent l="0" t="0" r="3810" b="13970"/>
                  <wp:wrapTopAndBottom/>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3825240" cy="3624580"/>
                          </a:xfrm>
                          <a:prstGeom prst="rect">
                            <a:avLst/>
                          </a:prstGeom>
                          <a:noFill/>
                          <a:ln>
                            <a:noFill/>
                          </a:ln>
                        </pic:spPr>
                      </pic:pic>
                    </a:graphicData>
                  </a:graphic>
                </wp:anchor>
              </w:drawing>
            </w:r>
          </w:p>
        </w:tc>
        <w:tc>
          <w:tcPr>
            <w:tcW w:w="4154" w:type="dxa"/>
          </w:tcPr>
          <w:p w14:paraId="4DBD6F20">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both"/>
              <w:textAlignment w:val="auto"/>
              <w:rPr>
                <w:rFonts w:hint="eastAsia" w:ascii="仿宋_GB2312" w:hAnsi="sans-serif" w:eastAsia="仿宋_GB2312" w:cs="仿宋_GB2312"/>
                <w:i w:val="0"/>
                <w:iCs w:val="0"/>
                <w:caps w:val="0"/>
                <w:color w:val="auto"/>
                <w:spacing w:val="0"/>
                <w:sz w:val="32"/>
                <w:szCs w:val="32"/>
                <w:vertAlign w:val="baseline"/>
                <w:lang w:eastAsia="zh-CN"/>
              </w:rPr>
            </w:pPr>
            <w:r>
              <w:rPr>
                <w:rFonts w:hint="eastAsia" w:ascii="仿宋_GB2312" w:hAnsi="sans-serif" w:eastAsia="仿宋_GB2312" w:cs="仿宋_GB2312"/>
                <w:i w:val="0"/>
                <w:iCs w:val="0"/>
                <w:caps w:val="0"/>
                <w:color w:val="auto"/>
                <w:spacing w:val="0"/>
                <w:sz w:val="32"/>
                <w:szCs w:val="32"/>
                <w:vertAlign w:val="baseline"/>
                <w:lang w:eastAsia="zh-CN"/>
              </w:rPr>
              <w:drawing>
                <wp:anchor distT="0" distB="0" distL="114300" distR="114300" simplePos="0" relativeHeight="251661312" behindDoc="0" locked="0" layoutInCell="1" allowOverlap="1">
                  <wp:simplePos x="0" y="0"/>
                  <wp:positionH relativeFrom="column">
                    <wp:posOffset>147955</wp:posOffset>
                  </wp:positionH>
                  <wp:positionV relativeFrom="paragraph">
                    <wp:posOffset>121920</wp:posOffset>
                  </wp:positionV>
                  <wp:extent cx="2223135" cy="3778885"/>
                  <wp:effectExtent l="0" t="0" r="5715" b="12065"/>
                  <wp:wrapTopAndBottom/>
                  <wp:docPr id="3" name="图片 3" descr="微信图片_20260105161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60105161547"/>
                          <pic:cNvPicPr>
                            <a:picLocks noChangeAspect="1"/>
                          </pic:cNvPicPr>
                        </pic:nvPicPr>
                        <pic:blipFill>
                          <a:blip r:embed="rId6"/>
                          <a:stretch>
                            <a:fillRect/>
                          </a:stretch>
                        </pic:blipFill>
                        <pic:spPr>
                          <a:xfrm>
                            <a:off x="0" y="0"/>
                            <a:ext cx="2223135" cy="3778885"/>
                          </a:xfrm>
                          <a:prstGeom prst="rect">
                            <a:avLst/>
                          </a:prstGeom>
                        </pic:spPr>
                      </pic:pic>
                    </a:graphicData>
                  </a:graphic>
                </wp:anchor>
              </w:drawing>
            </w:r>
          </w:p>
        </w:tc>
      </w:tr>
    </w:tbl>
    <w:p w14:paraId="79561833">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both"/>
        <w:textAlignment w:val="auto"/>
        <w:rPr>
          <w:rFonts w:hint="eastAsia" w:ascii="仿宋_GB2312" w:hAnsi="sans-serif" w:eastAsia="仿宋_GB2312" w:cs="仿宋_GB2312"/>
          <w:i w:val="0"/>
          <w:iCs w:val="0"/>
          <w:caps w:val="0"/>
          <w:color w:val="auto"/>
          <w:spacing w:val="0"/>
          <w:sz w:val="32"/>
          <w:szCs w:val="32"/>
          <w:lang w:eastAsia="zh-CN"/>
        </w:rPr>
      </w:pPr>
    </w:p>
    <w:p w14:paraId="3FED77E3">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left="0" w:firstLine="640" w:firstLineChars="200"/>
        <w:jc w:val="left"/>
        <w:textAlignment w:val="auto"/>
        <w:rPr>
          <w:rFonts w:hint="eastAsia" w:ascii="仿宋_GB2312" w:hAnsi="sans-serif" w:eastAsia="仿宋_GB2312" w:cs="仿宋_GB2312"/>
          <w:i w:val="0"/>
          <w:iCs w:val="0"/>
          <w:caps w:val="0"/>
          <w:color w:val="auto"/>
          <w:spacing w:val="0"/>
          <w:sz w:val="32"/>
          <w:szCs w:val="32"/>
        </w:rPr>
      </w:pPr>
      <w:r>
        <w:rPr>
          <w:rFonts w:hint="eastAsia" w:ascii="楷体_GB2312" w:hAnsi="楷体_GB2312" w:eastAsia="楷体_GB2312" w:cs="楷体_GB2312"/>
          <w:i w:val="0"/>
          <w:iCs w:val="0"/>
          <w:caps w:val="0"/>
          <w:color w:val="auto"/>
          <w:spacing w:val="0"/>
          <w:sz w:val="32"/>
          <w:szCs w:val="32"/>
        </w:rPr>
        <w:t>（二）依申请公开。</w:t>
      </w:r>
      <w:r>
        <w:rPr>
          <w:rFonts w:hint="eastAsia" w:ascii="仿宋_GB2312" w:hAnsi="sans-serif" w:eastAsia="仿宋_GB2312" w:cs="仿宋_GB2312"/>
          <w:i w:val="0"/>
          <w:iCs w:val="0"/>
          <w:caps w:val="0"/>
          <w:color w:val="auto"/>
          <w:spacing w:val="0"/>
          <w:sz w:val="32"/>
          <w:szCs w:val="32"/>
          <w:highlight w:val="none"/>
        </w:rPr>
        <w:t>202</w:t>
      </w:r>
      <w:r>
        <w:rPr>
          <w:rFonts w:hint="eastAsia" w:ascii="仿宋_GB2312" w:hAnsi="sans-serif" w:eastAsia="仿宋_GB2312" w:cs="仿宋_GB2312"/>
          <w:i w:val="0"/>
          <w:iCs w:val="0"/>
          <w:caps w:val="0"/>
          <w:color w:val="auto"/>
          <w:spacing w:val="0"/>
          <w:sz w:val="32"/>
          <w:szCs w:val="32"/>
          <w:highlight w:val="none"/>
          <w:lang w:val="en-US" w:eastAsia="zh-CN"/>
        </w:rPr>
        <w:t>5</w:t>
      </w:r>
      <w:r>
        <w:rPr>
          <w:rFonts w:hint="eastAsia" w:ascii="仿宋_GB2312" w:hAnsi="sans-serif" w:eastAsia="仿宋_GB2312" w:cs="仿宋_GB2312"/>
          <w:i w:val="0"/>
          <w:iCs w:val="0"/>
          <w:caps w:val="0"/>
          <w:color w:val="auto"/>
          <w:spacing w:val="0"/>
          <w:sz w:val="32"/>
          <w:szCs w:val="32"/>
          <w:highlight w:val="none"/>
        </w:rPr>
        <w:t>年市医保局</w:t>
      </w:r>
      <w:r>
        <w:rPr>
          <w:rFonts w:hint="eastAsia" w:ascii="仿宋_GB2312" w:hAnsi="sans-serif" w:eastAsia="仿宋_GB2312" w:cs="仿宋_GB2312"/>
          <w:i w:val="0"/>
          <w:iCs w:val="0"/>
          <w:caps w:val="0"/>
          <w:color w:val="auto"/>
          <w:spacing w:val="0"/>
          <w:sz w:val="32"/>
          <w:szCs w:val="32"/>
          <w:highlight w:val="none"/>
          <w:lang w:val="en-US" w:eastAsia="zh-CN"/>
        </w:rPr>
        <w:t>收到信息</w:t>
      </w:r>
      <w:r>
        <w:rPr>
          <w:rFonts w:hint="eastAsia" w:ascii="仿宋_GB2312" w:hAnsi="sans-serif" w:eastAsia="仿宋_GB2312" w:cs="仿宋_GB2312"/>
          <w:i w:val="0"/>
          <w:iCs w:val="0"/>
          <w:caps w:val="0"/>
          <w:color w:val="auto"/>
          <w:spacing w:val="0"/>
          <w:sz w:val="32"/>
          <w:szCs w:val="32"/>
          <w:highlight w:val="none"/>
        </w:rPr>
        <w:t>公开</w:t>
      </w:r>
      <w:r>
        <w:rPr>
          <w:rFonts w:hint="eastAsia" w:ascii="仿宋_GB2312" w:hAnsi="sans-serif" w:eastAsia="仿宋_GB2312" w:cs="仿宋_GB2312"/>
          <w:i w:val="0"/>
          <w:iCs w:val="0"/>
          <w:caps w:val="0"/>
          <w:color w:val="auto"/>
          <w:spacing w:val="0"/>
          <w:sz w:val="32"/>
          <w:szCs w:val="32"/>
          <w:highlight w:val="none"/>
          <w:lang w:val="en-US" w:eastAsia="zh-CN"/>
        </w:rPr>
        <w:t>申请2件</w:t>
      </w:r>
      <w:r>
        <w:rPr>
          <w:rFonts w:hint="eastAsia" w:ascii="仿宋_GB2312" w:hAnsi="sans-serif" w:eastAsia="仿宋_GB2312" w:cs="仿宋_GB2312"/>
          <w:i w:val="0"/>
          <w:iCs w:val="0"/>
          <w:caps w:val="0"/>
          <w:color w:val="auto"/>
          <w:spacing w:val="0"/>
          <w:sz w:val="32"/>
          <w:szCs w:val="32"/>
          <w:highlight w:val="none"/>
        </w:rPr>
        <w:t>。</w:t>
      </w:r>
      <w:r>
        <w:rPr>
          <w:rFonts w:hint="eastAsia" w:ascii="仿宋_GB2312" w:hAnsi="宋体" w:eastAsia="仿宋_GB2312" w:cs="仿宋_GB2312"/>
          <w:i w:val="0"/>
          <w:iCs w:val="0"/>
          <w:caps w:val="0"/>
          <w:color w:val="auto"/>
          <w:spacing w:val="0"/>
          <w:sz w:val="31"/>
          <w:szCs w:val="31"/>
          <w:highlight w:val="none"/>
          <w:shd w:val="clear" w:fill="FFFFFF"/>
        </w:rPr>
        <w:t>与</w:t>
      </w:r>
      <w:r>
        <w:rPr>
          <w:rFonts w:hint="eastAsia" w:ascii="仿宋_GB2312" w:eastAsia="仿宋_GB2312" w:cs="仿宋_GB2312"/>
          <w:i w:val="0"/>
          <w:iCs w:val="0"/>
          <w:caps w:val="0"/>
          <w:color w:val="auto"/>
          <w:spacing w:val="0"/>
          <w:sz w:val="31"/>
          <w:szCs w:val="31"/>
          <w:highlight w:val="none"/>
          <w:shd w:val="clear" w:fill="FFFFFF"/>
          <w:lang w:val="en-US" w:eastAsia="zh-CN"/>
        </w:rPr>
        <w:t>2024</w:t>
      </w:r>
      <w:r>
        <w:rPr>
          <w:rFonts w:hint="eastAsia" w:ascii="仿宋_GB2312" w:hAnsi="宋体" w:eastAsia="仿宋_GB2312" w:cs="仿宋_GB2312"/>
          <w:i w:val="0"/>
          <w:iCs w:val="0"/>
          <w:caps w:val="0"/>
          <w:color w:val="auto"/>
          <w:spacing w:val="0"/>
          <w:sz w:val="31"/>
          <w:szCs w:val="31"/>
          <w:highlight w:val="none"/>
          <w:shd w:val="clear" w:fill="FFFFFF"/>
        </w:rPr>
        <w:t>年相比，</w:t>
      </w:r>
      <w:r>
        <w:rPr>
          <w:rFonts w:hint="eastAsia" w:ascii="仿宋_GB2312" w:eastAsia="仿宋_GB2312" w:cs="仿宋_GB2312"/>
          <w:i w:val="0"/>
          <w:iCs w:val="0"/>
          <w:caps w:val="0"/>
          <w:color w:val="auto"/>
          <w:spacing w:val="0"/>
          <w:sz w:val="31"/>
          <w:szCs w:val="31"/>
          <w:highlight w:val="none"/>
          <w:shd w:val="clear" w:fill="FFFFFF"/>
          <w:lang w:val="en-US" w:eastAsia="zh-CN"/>
        </w:rPr>
        <w:t>增加2</w:t>
      </w:r>
      <w:r>
        <w:rPr>
          <w:rFonts w:hint="eastAsia" w:ascii="仿宋_GB2312" w:hAnsi="宋体" w:eastAsia="仿宋_GB2312" w:cs="仿宋_GB2312"/>
          <w:i w:val="0"/>
          <w:iCs w:val="0"/>
          <w:caps w:val="0"/>
          <w:color w:val="auto"/>
          <w:spacing w:val="0"/>
          <w:sz w:val="31"/>
          <w:szCs w:val="31"/>
          <w:highlight w:val="none"/>
          <w:shd w:val="clear" w:fill="FFFFFF"/>
        </w:rPr>
        <w:t>件。本年度无因政府信息公开引起行政复议、行政诉讼的情况。</w:t>
      </w:r>
    </w:p>
    <w:p w14:paraId="261815E5">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left="0" w:firstLine="640" w:firstLineChars="200"/>
        <w:jc w:val="left"/>
        <w:textAlignment w:val="auto"/>
        <w:rPr>
          <w:rFonts w:hint="default" w:ascii="sans-serif" w:hAnsi="sans-serif" w:eastAsia="sans-serif" w:cs="sans-serif"/>
          <w:i w:val="0"/>
          <w:iCs w:val="0"/>
          <w:caps w:val="0"/>
          <w:color w:val="auto"/>
          <w:spacing w:val="0"/>
          <w:sz w:val="32"/>
          <w:szCs w:val="32"/>
        </w:rPr>
      </w:pPr>
      <w:r>
        <w:rPr>
          <w:rFonts w:hint="eastAsia" w:ascii="楷体_GB2312" w:hAnsi="楷体_GB2312" w:eastAsia="楷体_GB2312" w:cs="楷体_GB2312"/>
          <w:i w:val="0"/>
          <w:iCs w:val="0"/>
          <w:caps w:val="0"/>
          <w:color w:val="auto"/>
          <w:spacing w:val="0"/>
          <w:sz w:val="32"/>
          <w:szCs w:val="32"/>
        </w:rPr>
        <w:t>（三）政府信息管理。</w:t>
      </w:r>
      <w:r>
        <w:rPr>
          <w:rFonts w:hint="eastAsia" w:ascii="仿宋_GB2312" w:hAnsi="sans-serif" w:eastAsia="仿宋_GB2312" w:cs="仿宋_GB2312"/>
          <w:i w:val="0"/>
          <w:iCs w:val="0"/>
          <w:caps w:val="0"/>
          <w:color w:val="auto"/>
          <w:spacing w:val="0"/>
          <w:sz w:val="32"/>
          <w:szCs w:val="32"/>
        </w:rPr>
        <w:t>严格落实公文公开属性源头认定机制，明确标识主动公开、依申请公开、不予公开属性。另明确信息公开时限要求，确保信息上传及时、避免出现空白栏目，扎实做好信息上传维护工作。</w:t>
      </w:r>
    </w:p>
    <w:p w14:paraId="38A4B60C">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left="0" w:firstLine="640" w:firstLineChars="200"/>
        <w:jc w:val="left"/>
        <w:textAlignment w:val="auto"/>
        <w:rPr>
          <w:rFonts w:hint="default" w:ascii="sans-serif" w:hAnsi="sans-serif" w:eastAsia="sans-serif" w:cs="sans-serif"/>
          <w:i w:val="0"/>
          <w:iCs w:val="0"/>
          <w:caps w:val="0"/>
          <w:color w:val="auto"/>
          <w:spacing w:val="0"/>
          <w:sz w:val="32"/>
          <w:szCs w:val="32"/>
        </w:rPr>
      </w:pPr>
      <w:r>
        <w:rPr>
          <w:rFonts w:hint="eastAsia" w:ascii="楷体_GB2312" w:hAnsi="楷体_GB2312" w:eastAsia="楷体_GB2312" w:cs="楷体_GB2312"/>
          <w:i w:val="0"/>
          <w:iCs w:val="0"/>
          <w:caps w:val="0"/>
          <w:color w:val="auto"/>
          <w:spacing w:val="0"/>
          <w:sz w:val="32"/>
          <w:szCs w:val="32"/>
        </w:rPr>
        <w:t>（四）政府信息公开平台建设。</w:t>
      </w:r>
      <w:r>
        <w:rPr>
          <w:rFonts w:hint="eastAsia" w:ascii="仿宋_GB2312" w:hAnsi="sans-serif" w:eastAsia="仿宋_GB2312" w:cs="仿宋_GB2312"/>
          <w:i w:val="0"/>
          <w:iCs w:val="0"/>
          <w:caps w:val="0"/>
          <w:color w:val="auto"/>
          <w:spacing w:val="0"/>
          <w:sz w:val="32"/>
          <w:szCs w:val="32"/>
        </w:rPr>
        <w:t>加强本部门网站和政务新媒体的日常管理和栏目维护，不断完善政府信息公开网的公开内容。</w:t>
      </w:r>
    </w:p>
    <w:p w14:paraId="7B151421">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left="0" w:firstLine="640" w:firstLineChars="200"/>
        <w:jc w:val="left"/>
        <w:textAlignment w:val="auto"/>
        <w:rPr>
          <w:rFonts w:hint="default" w:ascii="仿宋_GB2312" w:hAnsi="sans-serif" w:eastAsia="仿宋_GB2312" w:cs="仿宋_GB2312"/>
          <w:i w:val="0"/>
          <w:iCs w:val="0"/>
          <w:caps w:val="0"/>
          <w:color w:val="auto"/>
          <w:spacing w:val="0"/>
          <w:sz w:val="32"/>
          <w:szCs w:val="32"/>
        </w:rPr>
      </w:pPr>
      <w:r>
        <w:rPr>
          <w:rFonts w:hint="eastAsia" w:ascii="楷体_GB2312" w:hAnsi="楷体_GB2312" w:eastAsia="楷体_GB2312" w:cs="楷体_GB2312"/>
          <w:i w:val="0"/>
          <w:iCs w:val="0"/>
          <w:caps w:val="0"/>
          <w:color w:val="auto"/>
          <w:spacing w:val="0"/>
          <w:sz w:val="32"/>
          <w:szCs w:val="32"/>
        </w:rPr>
        <w:t>（五）监督保障。</w:t>
      </w:r>
      <w:r>
        <w:rPr>
          <w:rFonts w:hint="eastAsia" w:ascii="仿宋_GB2312" w:hAnsi="sans-serif" w:eastAsia="仿宋_GB2312" w:cs="仿宋_GB2312"/>
          <w:i w:val="0"/>
          <w:iCs w:val="0"/>
          <w:caps w:val="0"/>
          <w:color w:val="auto"/>
          <w:spacing w:val="0"/>
          <w:sz w:val="32"/>
          <w:szCs w:val="32"/>
        </w:rPr>
        <w:t>加强对政务信息公开工作的组织领导，下设办公室</w:t>
      </w:r>
      <w:r>
        <w:rPr>
          <w:rFonts w:hint="eastAsia" w:ascii="仿宋_GB2312" w:hAnsi="sans-serif" w:eastAsia="仿宋_GB2312" w:cs="仿宋_GB2312"/>
          <w:i w:val="0"/>
          <w:iCs w:val="0"/>
          <w:caps w:val="0"/>
          <w:color w:val="auto"/>
          <w:spacing w:val="0"/>
          <w:sz w:val="32"/>
          <w:szCs w:val="32"/>
          <w:lang w:eastAsia="zh-CN"/>
        </w:rPr>
        <w:t>，</w:t>
      </w:r>
      <w:r>
        <w:rPr>
          <w:rFonts w:hint="eastAsia" w:ascii="仿宋_GB2312" w:hAnsi="sans-serif" w:eastAsia="仿宋_GB2312" w:cs="仿宋_GB2312"/>
          <w:i w:val="0"/>
          <w:iCs w:val="0"/>
          <w:caps w:val="0"/>
          <w:color w:val="auto"/>
          <w:spacing w:val="0"/>
          <w:sz w:val="32"/>
          <w:szCs w:val="32"/>
        </w:rPr>
        <w:t>结合工作安排，开展政务公开培训。</w:t>
      </w:r>
    </w:p>
    <w:p w14:paraId="6270184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sans-serif" w:eastAsia="仿宋_GB2312" w:cs="仿宋_GB2312"/>
          <w:i w:val="0"/>
          <w:iCs w:val="0"/>
          <w:caps w:val="0"/>
          <w:color w:val="auto"/>
          <w:spacing w:val="0"/>
          <w:sz w:val="32"/>
          <w:szCs w:val="32"/>
        </w:rPr>
      </w:pPr>
      <w:r>
        <w:rPr>
          <w:rFonts w:hint="eastAsia" w:ascii="仿宋_GB2312" w:hAnsi="sans-serif" w:eastAsia="仿宋_GB2312" w:cs="仿宋_GB2312"/>
          <w:i w:val="0"/>
          <w:iCs w:val="0"/>
          <w:caps w:val="0"/>
          <w:color w:val="auto"/>
          <w:spacing w:val="0"/>
          <w:sz w:val="32"/>
          <w:szCs w:val="32"/>
          <w:lang w:val="en-US" w:eastAsia="zh-CN"/>
        </w:rPr>
        <w:t>2025</w:t>
      </w:r>
      <w:r>
        <w:rPr>
          <w:rFonts w:hint="eastAsia" w:ascii="仿宋_GB2312" w:hAnsi="sans-serif" w:eastAsia="仿宋_GB2312" w:cs="仿宋_GB2312"/>
          <w:i w:val="0"/>
          <w:iCs w:val="0"/>
          <w:caps w:val="0"/>
          <w:color w:val="auto"/>
          <w:spacing w:val="0"/>
          <w:sz w:val="32"/>
          <w:szCs w:val="32"/>
        </w:rPr>
        <w:t>年，滕州市医疗保障局未发生因信息公开审查不当或保密审查机构未履行保密审查职责而引起的失泄密情况。202</w:t>
      </w:r>
      <w:r>
        <w:rPr>
          <w:rFonts w:hint="eastAsia" w:ascii="仿宋_GB2312" w:hAnsi="sans-serif" w:eastAsia="仿宋_GB2312" w:cs="仿宋_GB2312"/>
          <w:i w:val="0"/>
          <w:iCs w:val="0"/>
          <w:caps w:val="0"/>
          <w:color w:val="auto"/>
          <w:spacing w:val="0"/>
          <w:sz w:val="32"/>
          <w:szCs w:val="32"/>
          <w:lang w:val="en-US" w:eastAsia="zh-CN"/>
        </w:rPr>
        <w:t>5</w:t>
      </w:r>
      <w:r>
        <w:rPr>
          <w:rFonts w:hint="eastAsia" w:ascii="仿宋_GB2312" w:hAnsi="sans-serif" w:eastAsia="仿宋_GB2312" w:cs="仿宋_GB2312"/>
          <w:i w:val="0"/>
          <w:iCs w:val="0"/>
          <w:caps w:val="0"/>
          <w:color w:val="auto"/>
          <w:spacing w:val="0"/>
          <w:sz w:val="32"/>
          <w:szCs w:val="32"/>
        </w:rPr>
        <w:t>年度未进行社会评议，未发生责任追究情况。</w:t>
      </w:r>
    </w:p>
    <w:p w14:paraId="21DA2B6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eastAsia" w:ascii="黑体" w:hAnsi="黑体" w:eastAsia="黑体" w:cs="黑体"/>
          <w:b w:val="0"/>
          <w:bCs/>
          <w:i w:val="0"/>
          <w:caps w:val="0"/>
          <w:color w:val="auto"/>
          <w:spacing w:val="0"/>
          <w:sz w:val="32"/>
          <w:szCs w:val="32"/>
        </w:rPr>
      </w:pPr>
      <w:r>
        <w:rPr>
          <w:rFonts w:hint="eastAsia" w:ascii="黑体" w:hAnsi="黑体" w:eastAsia="黑体" w:cs="黑体"/>
          <w:b w:val="0"/>
          <w:bCs/>
          <w:i w:val="0"/>
          <w:caps w:val="0"/>
          <w:color w:val="auto"/>
          <w:spacing w:val="0"/>
          <w:sz w:val="32"/>
          <w:szCs w:val="32"/>
          <w:shd w:val="clear" w:color="auto" w:fill="FFFFFF"/>
        </w:rPr>
        <w:t>二、主动公开政府信息情况</w:t>
      </w:r>
    </w:p>
    <w:tbl>
      <w:tblPr>
        <w:tblStyle w:val="5"/>
        <w:tblW w:w="8824" w:type="dxa"/>
        <w:tblInd w:w="0" w:type="dxa"/>
        <w:tblLayout w:type="fixed"/>
        <w:tblCellMar>
          <w:top w:w="0" w:type="dxa"/>
          <w:left w:w="108" w:type="dxa"/>
          <w:bottom w:w="0" w:type="dxa"/>
          <w:right w:w="108" w:type="dxa"/>
        </w:tblCellMar>
      </w:tblPr>
      <w:tblGrid>
        <w:gridCol w:w="2206"/>
        <w:gridCol w:w="2206"/>
        <w:gridCol w:w="2206"/>
        <w:gridCol w:w="2206"/>
      </w:tblGrid>
      <w:tr w14:paraId="35CD825D">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2D7022E2">
            <w:pPr>
              <w:widowControl/>
              <w:jc w:val="center"/>
              <w:rPr>
                <w:rFonts w:ascii="黑体" w:hAnsi="黑体" w:eastAsia="黑体" w:cs="宋体"/>
                <w:color w:val="auto"/>
                <w:kern w:val="0"/>
                <w:szCs w:val="21"/>
              </w:rPr>
            </w:pPr>
            <w:r>
              <w:rPr>
                <w:rFonts w:hint="eastAsia" w:ascii="黑体" w:hAnsi="黑体" w:eastAsia="黑体" w:cs="宋体"/>
                <w:color w:val="auto"/>
                <w:kern w:val="0"/>
                <w:szCs w:val="21"/>
              </w:rPr>
              <w:t>第二十条第（一）项</w:t>
            </w:r>
          </w:p>
        </w:tc>
      </w:tr>
      <w:tr w14:paraId="4DB9AA10">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64AE8ADE">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信息内容</w:t>
            </w:r>
          </w:p>
        </w:tc>
        <w:tc>
          <w:tcPr>
            <w:tcW w:w="2206" w:type="dxa"/>
            <w:tcBorders>
              <w:top w:val="nil"/>
              <w:left w:val="nil"/>
              <w:bottom w:val="single" w:color="auto" w:sz="8" w:space="0"/>
              <w:right w:val="single" w:color="auto" w:sz="8" w:space="0"/>
            </w:tcBorders>
            <w:noWrap w:val="0"/>
            <w:vAlign w:val="center"/>
          </w:tcPr>
          <w:p w14:paraId="0875EAF0">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本年制发件数</w:t>
            </w:r>
          </w:p>
        </w:tc>
        <w:tc>
          <w:tcPr>
            <w:tcW w:w="2206" w:type="dxa"/>
            <w:tcBorders>
              <w:top w:val="nil"/>
              <w:left w:val="nil"/>
              <w:bottom w:val="single" w:color="auto" w:sz="8" w:space="0"/>
              <w:right w:val="single" w:color="auto" w:sz="8" w:space="0"/>
            </w:tcBorders>
            <w:noWrap w:val="0"/>
            <w:vAlign w:val="center"/>
          </w:tcPr>
          <w:p w14:paraId="7335E595">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本年废止件数</w:t>
            </w:r>
          </w:p>
        </w:tc>
        <w:tc>
          <w:tcPr>
            <w:tcW w:w="2206" w:type="dxa"/>
            <w:tcBorders>
              <w:top w:val="nil"/>
              <w:left w:val="nil"/>
              <w:bottom w:val="single" w:color="auto" w:sz="8" w:space="0"/>
              <w:right w:val="single" w:color="auto" w:sz="8" w:space="0"/>
            </w:tcBorders>
            <w:noWrap w:val="0"/>
            <w:vAlign w:val="center"/>
          </w:tcPr>
          <w:p w14:paraId="530045E8">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现行有效件数</w:t>
            </w:r>
          </w:p>
        </w:tc>
      </w:tr>
      <w:tr w14:paraId="01CE0F6C">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13819756">
            <w:pPr>
              <w:widowControl/>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规章</w:t>
            </w:r>
          </w:p>
        </w:tc>
        <w:tc>
          <w:tcPr>
            <w:tcW w:w="2206" w:type="dxa"/>
            <w:tcBorders>
              <w:top w:val="nil"/>
              <w:left w:val="nil"/>
              <w:bottom w:val="single" w:color="auto" w:sz="8" w:space="0"/>
              <w:right w:val="single" w:color="auto" w:sz="8" w:space="0"/>
            </w:tcBorders>
            <w:noWrap w:val="0"/>
            <w:vAlign w:val="center"/>
          </w:tcPr>
          <w:p w14:paraId="089CF25E">
            <w:pPr>
              <w:widowControl/>
              <w:jc w:val="center"/>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14:paraId="1A9FB8FD">
            <w:pPr>
              <w:widowControl/>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14:paraId="01F4B01F">
            <w:pPr>
              <w:widowControl/>
              <w:jc w:val="center"/>
              <w:rPr>
                <w:rFonts w:hint="eastAsia" w:ascii="仿宋_GB2312" w:hAnsi="Calibri" w:eastAsia="仿宋_GB2312" w:cs="Calibri"/>
                <w:color w:val="auto"/>
                <w:kern w:val="0"/>
                <w:szCs w:val="21"/>
                <w:lang w:val="en-US" w:eastAsia="zh-CN"/>
              </w:rPr>
            </w:pPr>
            <w:r>
              <w:rPr>
                <w:rFonts w:hint="eastAsia" w:ascii="仿宋_GB2312" w:hAnsi="Calibri" w:eastAsia="仿宋_GB2312" w:cs="Calibri"/>
                <w:color w:val="auto"/>
                <w:kern w:val="0"/>
                <w:szCs w:val="21"/>
                <w:lang w:val="en-US" w:eastAsia="zh-CN"/>
              </w:rPr>
              <w:t>0</w:t>
            </w:r>
          </w:p>
        </w:tc>
      </w:tr>
      <w:tr w14:paraId="3E4EC147">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40182DAF">
            <w:pPr>
              <w:widowControl/>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行政规范性文件</w:t>
            </w:r>
          </w:p>
        </w:tc>
        <w:tc>
          <w:tcPr>
            <w:tcW w:w="2206" w:type="dxa"/>
            <w:tcBorders>
              <w:top w:val="nil"/>
              <w:left w:val="nil"/>
              <w:bottom w:val="single" w:color="auto" w:sz="8" w:space="0"/>
              <w:right w:val="single" w:color="auto" w:sz="8" w:space="0"/>
            </w:tcBorders>
            <w:noWrap w:val="0"/>
            <w:vAlign w:val="center"/>
          </w:tcPr>
          <w:p w14:paraId="3012A10A">
            <w:pPr>
              <w:widowControl/>
              <w:jc w:val="center"/>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14:paraId="1C0D9061">
            <w:pPr>
              <w:widowControl/>
              <w:jc w:val="center"/>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14:paraId="6162C353">
            <w:pPr>
              <w:widowControl/>
              <w:jc w:val="center"/>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r>
      <w:tr w14:paraId="791F335A">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32FDA5A5">
            <w:pPr>
              <w:widowControl/>
              <w:jc w:val="center"/>
              <w:rPr>
                <w:rFonts w:ascii="黑体" w:hAnsi="黑体" w:eastAsia="黑体" w:cs="宋体"/>
                <w:color w:val="auto"/>
                <w:kern w:val="0"/>
                <w:szCs w:val="21"/>
              </w:rPr>
            </w:pPr>
            <w:r>
              <w:rPr>
                <w:rFonts w:hint="eastAsia" w:ascii="黑体" w:hAnsi="黑体" w:eastAsia="黑体" w:cs="宋体"/>
                <w:color w:val="auto"/>
                <w:kern w:val="0"/>
                <w:szCs w:val="21"/>
              </w:rPr>
              <w:t>第二十条第（五）项</w:t>
            </w:r>
          </w:p>
        </w:tc>
      </w:tr>
      <w:tr w14:paraId="08D048D5">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1E73625A">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14:paraId="59166661">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本年处理决定数量</w:t>
            </w:r>
          </w:p>
        </w:tc>
      </w:tr>
      <w:tr w14:paraId="01820CBC">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492301A9">
            <w:pPr>
              <w:widowControl/>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行政许可</w:t>
            </w:r>
          </w:p>
        </w:tc>
        <w:tc>
          <w:tcPr>
            <w:tcW w:w="6618" w:type="dxa"/>
            <w:gridSpan w:val="3"/>
            <w:tcBorders>
              <w:top w:val="single" w:color="auto" w:sz="8" w:space="0"/>
              <w:left w:val="nil"/>
              <w:bottom w:val="single" w:color="auto" w:sz="8" w:space="0"/>
              <w:right w:val="single" w:color="000000" w:sz="8" w:space="0"/>
            </w:tcBorders>
            <w:noWrap w:val="0"/>
            <w:vAlign w:val="center"/>
          </w:tcPr>
          <w:p w14:paraId="3B955617">
            <w:pPr>
              <w:widowControl/>
              <w:jc w:val="center"/>
              <w:rPr>
                <w:rFonts w:hint="eastAsia" w:ascii="仿宋_GB2312" w:hAnsi="Calibri" w:eastAsia="仿宋_GB2312" w:cs="Calibri"/>
                <w:color w:val="auto"/>
                <w:kern w:val="0"/>
                <w:szCs w:val="21"/>
                <w:lang w:val="en-US" w:eastAsia="zh-CN"/>
              </w:rPr>
            </w:pPr>
            <w:r>
              <w:rPr>
                <w:rFonts w:hint="eastAsia" w:ascii="仿宋_GB2312" w:hAnsi="Calibri" w:eastAsia="仿宋_GB2312" w:cs="Calibri"/>
                <w:color w:val="auto"/>
                <w:kern w:val="0"/>
                <w:szCs w:val="21"/>
                <w:lang w:val="en-US" w:eastAsia="zh-CN"/>
              </w:rPr>
              <w:t>0</w:t>
            </w:r>
          </w:p>
        </w:tc>
      </w:tr>
      <w:tr w14:paraId="03D17408">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561AB394">
            <w:pPr>
              <w:widowControl/>
              <w:jc w:val="center"/>
              <w:rPr>
                <w:rFonts w:ascii="黑体" w:hAnsi="黑体" w:eastAsia="黑体" w:cs="宋体"/>
                <w:color w:val="auto"/>
                <w:kern w:val="0"/>
                <w:szCs w:val="21"/>
              </w:rPr>
            </w:pPr>
            <w:r>
              <w:rPr>
                <w:rFonts w:hint="eastAsia" w:ascii="黑体" w:hAnsi="黑体" w:eastAsia="黑体" w:cs="宋体"/>
                <w:color w:val="auto"/>
                <w:kern w:val="0"/>
                <w:szCs w:val="21"/>
              </w:rPr>
              <w:t>第二十条第（六）项</w:t>
            </w:r>
          </w:p>
        </w:tc>
      </w:tr>
      <w:tr w14:paraId="49914E74">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57229FA0">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14:paraId="0E18C3A9">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本年处理决定数量</w:t>
            </w:r>
          </w:p>
        </w:tc>
      </w:tr>
      <w:tr w14:paraId="569672D4">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78D20D29">
            <w:pPr>
              <w:widowControl/>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行政处罚</w:t>
            </w:r>
          </w:p>
        </w:tc>
        <w:tc>
          <w:tcPr>
            <w:tcW w:w="6618" w:type="dxa"/>
            <w:gridSpan w:val="3"/>
            <w:tcBorders>
              <w:top w:val="single" w:color="auto" w:sz="8" w:space="0"/>
              <w:left w:val="nil"/>
              <w:bottom w:val="single" w:color="auto" w:sz="8" w:space="0"/>
              <w:right w:val="single" w:color="000000" w:sz="8" w:space="0"/>
            </w:tcBorders>
            <w:noWrap w:val="0"/>
            <w:vAlign w:val="center"/>
          </w:tcPr>
          <w:p w14:paraId="65C2D15D">
            <w:pPr>
              <w:widowControl/>
              <w:jc w:val="center"/>
              <w:rPr>
                <w:rFonts w:hint="default" w:ascii="仿宋_GB2312" w:hAnsi="Calibri" w:eastAsia="仿宋_GB2312" w:cs="Calibri"/>
                <w:color w:val="auto"/>
                <w:kern w:val="0"/>
                <w:szCs w:val="21"/>
                <w:lang w:val="en-US" w:eastAsia="zh-CN"/>
              </w:rPr>
            </w:pPr>
            <w:r>
              <w:rPr>
                <w:rFonts w:hint="eastAsia" w:ascii="仿宋_GB2312" w:hAnsi="Calibri" w:eastAsia="仿宋_GB2312" w:cs="Calibri"/>
                <w:color w:val="auto"/>
                <w:kern w:val="0"/>
                <w:szCs w:val="21"/>
                <w:lang w:val="en-US" w:eastAsia="zh-CN"/>
              </w:rPr>
              <w:t>10</w:t>
            </w:r>
          </w:p>
        </w:tc>
      </w:tr>
      <w:tr w14:paraId="75169DA8">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307AA811">
            <w:pPr>
              <w:widowControl/>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行政强制</w:t>
            </w:r>
          </w:p>
        </w:tc>
        <w:tc>
          <w:tcPr>
            <w:tcW w:w="6618" w:type="dxa"/>
            <w:gridSpan w:val="3"/>
            <w:tcBorders>
              <w:top w:val="single" w:color="auto" w:sz="8" w:space="0"/>
              <w:left w:val="nil"/>
              <w:bottom w:val="single" w:color="auto" w:sz="8" w:space="0"/>
              <w:right w:val="single" w:color="000000" w:sz="8" w:space="0"/>
            </w:tcBorders>
            <w:noWrap w:val="0"/>
            <w:vAlign w:val="center"/>
          </w:tcPr>
          <w:p w14:paraId="3A6AEC84">
            <w:pPr>
              <w:widowControl/>
              <w:jc w:val="center"/>
              <w:rPr>
                <w:rFonts w:hint="eastAsia" w:ascii="仿宋_GB2312" w:hAnsi="Calibri" w:eastAsia="仿宋_GB2312" w:cs="Calibri"/>
                <w:color w:val="auto"/>
                <w:kern w:val="0"/>
                <w:szCs w:val="21"/>
                <w:lang w:eastAsia="zh-CN"/>
              </w:rPr>
            </w:pPr>
            <w:r>
              <w:rPr>
                <w:rFonts w:hint="eastAsia" w:ascii="仿宋_GB2312" w:hAnsi="Calibri" w:eastAsia="仿宋_GB2312" w:cs="Calibri"/>
                <w:color w:val="auto"/>
                <w:kern w:val="0"/>
                <w:szCs w:val="21"/>
                <w:lang w:val="en-US" w:eastAsia="zh-CN"/>
              </w:rPr>
              <w:t>0</w:t>
            </w:r>
          </w:p>
        </w:tc>
      </w:tr>
      <w:tr w14:paraId="49BB8AD5">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1F7D1F2C">
            <w:pPr>
              <w:widowControl/>
              <w:jc w:val="center"/>
              <w:rPr>
                <w:rFonts w:ascii="黑体" w:hAnsi="黑体" w:eastAsia="黑体" w:cs="宋体"/>
                <w:color w:val="auto"/>
                <w:kern w:val="0"/>
                <w:szCs w:val="21"/>
              </w:rPr>
            </w:pPr>
            <w:r>
              <w:rPr>
                <w:rFonts w:hint="eastAsia" w:ascii="黑体" w:hAnsi="黑体" w:eastAsia="黑体" w:cs="宋体"/>
                <w:color w:val="auto"/>
                <w:kern w:val="0"/>
                <w:szCs w:val="21"/>
              </w:rPr>
              <w:t>第二十条第（八）项</w:t>
            </w:r>
          </w:p>
        </w:tc>
      </w:tr>
      <w:tr w14:paraId="7B6C23A1">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333A2EDD">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14:paraId="779A08E1">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本年收费金额（单位：万元）</w:t>
            </w:r>
          </w:p>
        </w:tc>
      </w:tr>
      <w:tr w14:paraId="71AEA279">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6AF536E6">
            <w:pPr>
              <w:widowControl/>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行政事业性收费</w:t>
            </w:r>
          </w:p>
        </w:tc>
        <w:tc>
          <w:tcPr>
            <w:tcW w:w="6618" w:type="dxa"/>
            <w:gridSpan w:val="3"/>
            <w:tcBorders>
              <w:top w:val="single" w:color="auto" w:sz="8" w:space="0"/>
              <w:left w:val="nil"/>
              <w:bottom w:val="single" w:color="auto" w:sz="8" w:space="0"/>
              <w:right w:val="single" w:color="000000" w:sz="8" w:space="0"/>
            </w:tcBorders>
            <w:noWrap w:val="0"/>
            <w:vAlign w:val="center"/>
          </w:tcPr>
          <w:p w14:paraId="69EA0D26">
            <w:pPr>
              <w:widowControl/>
              <w:jc w:val="center"/>
              <w:rPr>
                <w:rFonts w:hint="eastAsia" w:ascii="仿宋_GB2312" w:hAnsi="Calibri" w:eastAsia="仿宋_GB2312" w:cs="Calibri"/>
                <w:color w:val="auto"/>
                <w:kern w:val="0"/>
                <w:szCs w:val="21"/>
                <w:lang w:eastAsia="zh-CN"/>
              </w:rPr>
            </w:pPr>
            <w:r>
              <w:rPr>
                <w:rFonts w:hint="eastAsia" w:ascii="仿宋_GB2312" w:hAnsi="Calibri" w:eastAsia="仿宋_GB2312" w:cs="Calibri"/>
                <w:color w:val="auto"/>
                <w:kern w:val="0"/>
                <w:szCs w:val="21"/>
                <w:lang w:val="en-US" w:eastAsia="zh-CN"/>
              </w:rPr>
              <w:t>0</w:t>
            </w:r>
          </w:p>
        </w:tc>
      </w:tr>
    </w:tbl>
    <w:p w14:paraId="184CB74F">
      <w:pPr>
        <w:rPr>
          <w:rFonts w:hint="eastAsia" w:ascii="黑体" w:hAnsi="黑体" w:eastAsia="黑体" w:cs="黑体"/>
          <w:b w:val="0"/>
          <w:bCs/>
          <w:i w:val="0"/>
          <w:caps w:val="0"/>
          <w:color w:val="auto"/>
          <w:spacing w:val="0"/>
          <w:kern w:val="0"/>
          <w:sz w:val="32"/>
          <w:szCs w:val="32"/>
          <w:highlight w:val="none"/>
          <w:shd w:val="clear" w:color="auto" w:fill="FFFFFF"/>
          <w:lang w:val="en-US" w:eastAsia="zh-CN" w:bidi="ar"/>
        </w:rPr>
      </w:pPr>
      <w:r>
        <w:rPr>
          <w:rFonts w:hint="eastAsia" w:ascii="黑体" w:hAnsi="黑体" w:eastAsia="黑体" w:cs="黑体"/>
          <w:b w:val="0"/>
          <w:bCs/>
          <w:i w:val="0"/>
          <w:caps w:val="0"/>
          <w:color w:val="auto"/>
          <w:spacing w:val="0"/>
          <w:kern w:val="0"/>
          <w:sz w:val="32"/>
          <w:szCs w:val="32"/>
          <w:highlight w:val="none"/>
          <w:shd w:val="clear" w:color="auto" w:fill="FFFFFF"/>
          <w:lang w:val="en-US" w:eastAsia="zh-CN" w:bidi="ar"/>
        </w:rPr>
        <w:t>三、收到和处理政府信息公开申请情况</w:t>
      </w:r>
    </w:p>
    <w:tbl>
      <w:tblPr>
        <w:tblStyle w:val="5"/>
        <w:tblW w:w="954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747"/>
        <w:gridCol w:w="5"/>
        <w:gridCol w:w="535"/>
        <w:gridCol w:w="5"/>
        <w:gridCol w:w="535"/>
        <w:gridCol w:w="720"/>
        <w:gridCol w:w="675"/>
        <w:gridCol w:w="525"/>
        <w:gridCol w:w="1"/>
        <w:gridCol w:w="700"/>
      </w:tblGrid>
      <w:tr w14:paraId="20427D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noWrap w:val="0"/>
            <w:tcMar>
              <w:left w:w="108" w:type="dxa"/>
              <w:right w:w="108" w:type="dxa"/>
            </w:tcMar>
            <w:vAlign w:val="center"/>
          </w:tcPr>
          <w:p w14:paraId="3FC092C9">
            <w:pPr>
              <w:widowControl/>
              <w:jc w:val="center"/>
              <w:rPr>
                <w:rFonts w:ascii="楷体_GB2312" w:hAnsi="黑体" w:eastAsia="楷体_GB2312"/>
                <w:color w:val="auto"/>
                <w:kern w:val="0"/>
                <w:szCs w:val="21"/>
              </w:rPr>
            </w:pPr>
            <w:r>
              <w:rPr>
                <w:rFonts w:hint="eastAsia" w:ascii="楷体_GB2312" w:hAnsi="黑体" w:eastAsia="楷体_GB2312"/>
                <w:color w:val="auto"/>
                <w:kern w:val="0"/>
                <w:szCs w:val="21"/>
              </w:rPr>
              <w:t>（本列数据的勾稽关系为：第一项加第二项之和，</w:t>
            </w:r>
          </w:p>
          <w:p w14:paraId="71508F1E">
            <w:pPr>
              <w:widowControl/>
              <w:jc w:val="center"/>
              <w:rPr>
                <w:rFonts w:ascii="仿宋_GB2312" w:hAnsi="Times New Roman" w:eastAsia="仿宋_GB2312"/>
                <w:color w:val="auto"/>
                <w:szCs w:val="21"/>
              </w:rPr>
            </w:pPr>
            <w:r>
              <w:rPr>
                <w:rFonts w:hint="eastAsia" w:ascii="楷体_GB2312" w:hAnsi="黑体" w:eastAsia="楷体_GB2312"/>
                <w:color w:val="auto"/>
                <w:kern w:val="0"/>
                <w:szCs w:val="21"/>
              </w:rPr>
              <w:t>等于第三项加第四项之和）</w:t>
            </w:r>
          </w:p>
        </w:tc>
        <w:tc>
          <w:tcPr>
            <w:tcW w:w="4448" w:type="dxa"/>
            <w:gridSpan w:val="10"/>
            <w:noWrap w:val="0"/>
            <w:tcMar>
              <w:left w:w="108" w:type="dxa"/>
              <w:right w:w="108" w:type="dxa"/>
            </w:tcMar>
            <w:vAlign w:val="center"/>
          </w:tcPr>
          <w:p w14:paraId="5B27D5DD">
            <w:pPr>
              <w:widowControl/>
              <w:spacing w:line="320" w:lineRule="exact"/>
              <w:jc w:val="center"/>
              <w:rPr>
                <w:rFonts w:ascii="黑体" w:hAnsi="黑体" w:eastAsia="黑体"/>
                <w:color w:val="auto"/>
                <w:szCs w:val="21"/>
              </w:rPr>
            </w:pPr>
            <w:r>
              <w:rPr>
                <w:rFonts w:hint="eastAsia" w:ascii="黑体" w:hAnsi="黑体" w:eastAsia="黑体"/>
                <w:color w:val="auto"/>
                <w:kern w:val="0"/>
                <w:szCs w:val="21"/>
              </w:rPr>
              <w:t>申请人情况</w:t>
            </w:r>
          </w:p>
        </w:tc>
      </w:tr>
      <w:tr w14:paraId="62B80B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noWrap w:val="0"/>
            <w:tcMar>
              <w:left w:w="108" w:type="dxa"/>
              <w:right w:w="108" w:type="dxa"/>
            </w:tcMar>
            <w:vAlign w:val="center"/>
          </w:tcPr>
          <w:p w14:paraId="1B91A88C">
            <w:pPr>
              <w:jc w:val="center"/>
              <w:rPr>
                <w:rFonts w:ascii="仿宋_GB2312" w:hAnsi="Times New Roman" w:eastAsia="仿宋_GB2312"/>
                <w:color w:val="auto"/>
                <w:szCs w:val="21"/>
              </w:rPr>
            </w:pPr>
          </w:p>
        </w:tc>
        <w:tc>
          <w:tcPr>
            <w:tcW w:w="747" w:type="dxa"/>
            <w:vMerge w:val="restart"/>
            <w:noWrap w:val="0"/>
            <w:tcMar>
              <w:left w:w="108" w:type="dxa"/>
              <w:right w:w="108" w:type="dxa"/>
            </w:tcMar>
            <w:vAlign w:val="center"/>
          </w:tcPr>
          <w:p w14:paraId="7D12DA5D">
            <w:pPr>
              <w:widowControl/>
              <w:jc w:val="center"/>
              <w:rPr>
                <w:rFonts w:ascii="黑体" w:hAnsi="黑体" w:eastAsia="黑体"/>
                <w:color w:val="auto"/>
                <w:szCs w:val="21"/>
              </w:rPr>
            </w:pPr>
            <w:r>
              <w:rPr>
                <w:rFonts w:hint="eastAsia" w:ascii="黑体" w:hAnsi="黑体" w:eastAsia="黑体"/>
                <w:color w:val="auto"/>
                <w:kern w:val="0"/>
                <w:szCs w:val="21"/>
              </w:rPr>
              <w:t>自然人</w:t>
            </w:r>
          </w:p>
        </w:tc>
        <w:tc>
          <w:tcPr>
            <w:tcW w:w="3000" w:type="dxa"/>
            <w:gridSpan w:val="7"/>
            <w:noWrap w:val="0"/>
            <w:tcMar>
              <w:left w:w="108" w:type="dxa"/>
              <w:right w:w="108" w:type="dxa"/>
            </w:tcMar>
            <w:vAlign w:val="center"/>
          </w:tcPr>
          <w:p w14:paraId="3C20E7CE">
            <w:pPr>
              <w:widowControl/>
              <w:spacing w:line="320" w:lineRule="exact"/>
              <w:jc w:val="center"/>
              <w:rPr>
                <w:rFonts w:ascii="黑体" w:hAnsi="黑体" w:eastAsia="黑体"/>
                <w:color w:val="auto"/>
                <w:szCs w:val="21"/>
              </w:rPr>
            </w:pPr>
            <w:r>
              <w:rPr>
                <w:rFonts w:hint="eastAsia" w:ascii="黑体" w:hAnsi="黑体" w:eastAsia="黑体"/>
                <w:color w:val="auto"/>
                <w:kern w:val="0"/>
                <w:szCs w:val="21"/>
              </w:rPr>
              <w:t>法人或其他组织</w:t>
            </w:r>
          </w:p>
        </w:tc>
        <w:tc>
          <w:tcPr>
            <w:tcW w:w="701" w:type="dxa"/>
            <w:gridSpan w:val="2"/>
            <w:vMerge w:val="restart"/>
            <w:noWrap w:val="0"/>
            <w:tcMar>
              <w:left w:w="108" w:type="dxa"/>
              <w:right w:w="108" w:type="dxa"/>
            </w:tcMar>
            <w:vAlign w:val="center"/>
          </w:tcPr>
          <w:p w14:paraId="6CCBDF9B">
            <w:pPr>
              <w:widowControl/>
              <w:jc w:val="center"/>
              <w:rPr>
                <w:rFonts w:ascii="黑体" w:hAnsi="黑体" w:eastAsia="黑体"/>
                <w:color w:val="auto"/>
                <w:szCs w:val="21"/>
              </w:rPr>
            </w:pPr>
            <w:r>
              <w:rPr>
                <w:rFonts w:hint="eastAsia" w:ascii="黑体" w:hAnsi="黑体" w:eastAsia="黑体"/>
                <w:color w:val="auto"/>
                <w:kern w:val="0"/>
                <w:szCs w:val="21"/>
              </w:rPr>
              <w:t>总计</w:t>
            </w:r>
          </w:p>
        </w:tc>
      </w:tr>
      <w:tr w14:paraId="78884D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noWrap w:val="0"/>
            <w:tcMar>
              <w:left w:w="108" w:type="dxa"/>
              <w:right w:w="108" w:type="dxa"/>
            </w:tcMar>
            <w:vAlign w:val="center"/>
          </w:tcPr>
          <w:p w14:paraId="3107740F">
            <w:pPr>
              <w:jc w:val="center"/>
              <w:rPr>
                <w:rFonts w:ascii="仿宋_GB2312" w:hAnsi="Times New Roman" w:eastAsia="仿宋_GB2312"/>
                <w:color w:val="auto"/>
                <w:szCs w:val="21"/>
              </w:rPr>
            </w:pPr>
          </w:p>
        </w:tc>
        <w:tc>
          <w:tcPr>
            <w:tcW w:w="747" w:type="dxa"/>
            <w:vMerge w:val="continue"/>
            <w:noWrap w:val="0"/>
            <w:tcMar>
              <w:left w:w="108" w:type="dxa"/>
              <w:right w:w="108" w:type="dxa"/>
            </w:tcMar>
            <w:vAlign w:val="center"/>
          </w:tcPr>
          <w:p w14:paraId="19160E4D">
            <w:pPr>
              <w:jc w:val="center"/>
              <w:rPr>
                <w:rFonts w:ascii="黑体" w:hAnsi="黑体" w:eastAsia="黑体"/>
                <w:color w:val="auto"/>
                <w:szCs w:val="21"/>
              </w:rPr>
            </w:pPr>
          </w:p>
        </w:tc>
        <w:tc>
          <w:tcPr>
            <w:tcW w:w="540" w:type="dxa"/>
            <w:gridSpan w:val="2"/>
            <w:noWrap w:val="0"/>
            <w:tcMar>
              <w:left w:w="108" w:type="dxa"/>
              <w:right w:w="108" w:type="dxa"/>
            </w:tcMar>
            <w:vAlign w:val="center"/>
          </w:tcPr>
          <w:p w14:paraId="6AA17328">
            <w:pPr>
              <w:widowControl/>
              <w:spacing w:line="320" w:lineRule="exact"/>
              <w:ind w:left="-106" w:leftChars="-51" w:right="-107" w:rightChars="-51" w:hanging="1"/>
              <w:jc w:val="center"/>
              <w:rPr>
                <w:rFonts w:ascii="黑体" w:hAnsi="黑体" w:eastAsia="黑体"/>
                <w:color w:val="auto"/>
                <w:szCs w:val="21"/>
              </w:rPr>
            </w:pPr>
            <w:r>
              <w:rPr>
                <w:rFonts w:hint="eastAsia" w:ascii="黑体" w:hAnsi="黑体" w:eastAsia="黑体"/>
                <w:color w:val="auto"/>
                <w:kern w:val="0"/>
                <w:szCs w:val="21"/>
              </w:rPr>
              <w:t>商业企业</w:t>
            </w:r>
          </w:p>
        </w:tc>
        <w:tc>
          <w:tcPr>
            <w:tcW w:w="540" w:type="dxa"/>
            <w:gridSpan w:val="2"/>
            <w:noWrap w:val="0"/>
            <w:tcMar>
              <w:left w:w="108" w:type="dxa"/>
              <w:right w:w="108" w:type="dxa"/>
            </w:tcMar>
            <w:vAlign w:val="center"/>
          </w:tcPr>
          <w:p w14:paraId="33F70CE5">
            <w:pPr>
              <w:widowControl/>
              <w:spacing w:line="320" w:lineRule="exact"/>
              <w:ind w:left="-107" w:leftChars="-51" w:right="-107" w:rightChars="-51"/>
              <w:jc w:val="center"/>
              <w:rPr>
                <w:rFonts w:ascii="黑体" w:hAnsi="黑体" w:eastAsia="黑体"/>
                <w:color w:val="auto"/>
                <w:szCs w:val="21"/>
              </w:rPr>
            </w:pPr>
            <w:r>
              <w:rPr>
                <w:rFonts w:hint="eastAsia" w:ascii="黑体" w:hAnsi="黑体" w:eastAsia="黑体"/>
                <w:color w:val="auto"/>
                <w:kern w:val="0"/>
                <w:szCs w:val="21"/>
              </w:rPr>
              <w:t>科研机构</w:t>
            </w:r>
          </w:p>
        </w:tc>
        <w:tc>
          <w:tcPr>
            <w:tcW w:w="720" w:type="dxa"/>
            <w:noWrap w:val="0"/>
            <w:tcMar>
              <w:left w:w="108" w:type="dxa"/>
              <w:right w:w="108" w:type="dxa"/>
            </w:tcMar>
            <w:vAlign w:val="center"/>
          </w:tcPr>
          <w:p w14:paraId="2B669959">
            <w:pPr>
              <w:widowControl/>
              <w:spacing w:line="320" w:lineRule="exact"/>
              <w:ind w:left="-107" w:leftChars="-51" w:right="-107" w:rightChars="-51"/>
              <w:jc w:val="center"/>
              <w:rPr>
                <w:rFonts w:ascii="黑体" w:hAnsi="黑体" w:eastAsia="黑体"/>
                <w:color w:val="auto"/>
                <w:szCs w:val="21"/>
              </w:rPr>
            </w:pPr>
            <w:r>
              <w:rPr>
                <w:rFonts w:hint="eastAsia" w:ascii="黑体" w:hAnsi="黑体" w:eastAsia="黑体"/>
                <w:color w:val="auto"/>
                <w:kern w:val="0"/>
                <w:szCs w:val="21"/>
              </w:rPr>
              <w:t>社会公益组织</w:t>
            </w:r>
          </w:p>
        </w:tc>
        <w:tc>
          <w:tcPr>
            <w:tcW w:w="675" w:type="dxa"/>
            <w:noWrap w:val="0"/>
            <w:tcMar>
              <w:left w:w="108" w:type="dxa"/>
              <w:right w:w="108" w:type="dxa"/>
            </w:tcMar>
            <w:vAlign w:val="center"/>
          </w:tcPr>
          <w:p w14:paraId="29500DD2">
            <w:pPr>
              <w:widowControl/>
              <w:spacing w:line="320" w:lineRule="exact"/>
              <w:ind w:left="-106" w:leftChars="-51" w:right="-107" w:rightChars="-51" w:hanging="1"/>
              <w:jc w:val="center"/>
              <w:rPr>
                <w:rFonts w:ascii="黑体" w:hAnsi="黑体" w:eastAsia="黑体"/>
                <w:color w:val="auto"/>
                <w:szCs w:val="21"/>
              </w:rPr>
            </w:pPr>
            <w:r>
              <w:rPr>
                <w:rFonts w:hint="eastAsia" w:ascii="黑体" w:hAnsi="黑体" w:eastAsia="黑体"/>
                <w:color w:val="auto"/>
                <w:kern w:val="0"/>
                <w:szCs w:val="21"/>
              </w:rPr>
              <w:t>法律服务机构</w:t>
            </w:r>
          </w:p>
        </w:tc>
        <w:tc>
          <w:tcPr>
            <w:tcW w:w="525" w:type="dxa"/>
            <w:noWrap w:val="0"/>
            <w:tcMar>
              <w:left w:w="108" w:type="dxa"/>
              <w:right w:w="108" w:type="dxa"/>
            </w:tcMar>
            <w:vAlign w:val="center"/>
          </w:tcPr>
          <w:p w14:paraId="17895978">
            <w:pPr>
              <w:widowControl/>
              <w:spacing w:line="360" w:lineRule="exact"/>
              <w:ind w:left="-63" w:leftChars="-30" w:right="-134" w:rightChars="-64"/>
              <w:jc w:val="center"/>
              <w:rPr>
                <w:rFonts w:ascii="黑体" w:hAnsi="黑体" w:eastAsia="黑体"/>
                <w:color w:val="auto"/>
                <w:szCs w:val="21"/>
              </w:rPr>
            </w:pPr>
            <w:r>
              <w:rPr>
                <w:rFonts w:hint="eastAsia" w:ascii="黑体" w:hAnsi="黑体" w:eastAsia="黑体"/>
                <w:color w:val="auto"/>
                <w:kern w:val="0"/>
                <w:szCs w:val="21"/>
              </w:rPr>
              <w:t>其他</w:t>
            </w:r>
          </w:p>
        </w:tc>
        <w:tc>
          <w:tcPr>
            <w:tcW w:w="701" w:type="dxa"/>
            <w:gridSpan w:val="2"/>
            <w:vMerge w:val="continue"/>
            <w:noWrap w:val="0"/>
            <w:tcMar>
              <w:left w:w="108" w:type="dxa"/>
              <w:right w:w="108" w:type="dxa"/>
            </w:tcMar>
            <w:vAlign w:val="center"/>
          </w:tcPr>
          <w:p w14:paraId="094567C1">
            <w:pPr>
              <w:jc w:val="center"/>
              <w:rPr>
                <w:rFonts w:ascii="仿宋_GB2312" w:hAnsi="Times New Roman" w:eastAsia="仿宋_GB2312"/>
                <w:color w:val="auto"/>
                <w:szCs w:val="21"/>
              </w:rPr>
            </w:pPr>
          </w:p>
        </w:tc>
      </w:tr>
      <w:tr w14:paraId="4D2B67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14:paraId="1442D962">
            <w:pPr>
              <w:widowControl/>
              <w:rPr>
                <w:rFonts w:ascii="黑体" w:hAnsi="黑体" w:eastAsia="黑体"/>
                <w:color w:val="auto"/>
                <w:szCs w:val="21"/>
              </w:rPr>
            </w:pPr>
            <w:r>
              <w:rPr>
                <w:rFonts w:hint="eastAsia" w:ascii="黑体" w:hAnsi="黑体" w:eastAsia="黑体"/>
                <w:color w:val="auto"/>
                <w:kern w:val="0"/>
                <w:szCs w:val="21"/>
              </w:rPr>
              <w:t>一、</w:t>
            </w:r>
            <w:bookmarkStart w:id="0" w:name="_Hlk66973412"/>
            <w:r>
              <w:rPr>
                <w:rFonts w:hint="eastAsia" w:ascii="黑体" w:hAnsi="黑体" w:eastAsia="黑体"/>
                <w:color w:val="auto"/>
                <w:kern w:val="0"/>
                <w:szCs w:val="21"/>
              </w:rPr>
              <w:t>本年新收政府信息公开申请数量</w:t>
            </w:r>
            <w:bookmarkEnd w:id="0"/>
          </w:p>
        </w:tc>
        <w:tc>
          <w:tcPr>
            <w:tcW w:w="747" w:type="dxa"/>
            <w:noWrap w:val="0"/>
            <w:tcMar>
              <w:left w:w="108" w:type="dxa"/>
              <w:right w:w="108" w:type="dxa"/>
            </w:tcMar>
            <w:vAlign w:val="center"/>
          </w:tcPr>
          <w:p w14:paraId="085BDBE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auto"/>
                <w:szCs w:val="21"/>
                <w:lang w:val="en-US" w:eastAsia="zh-CN"/>
              </w:rPr>
            </w:pPr>
            <w:r>
              <w:rPr>
                <w:rFonts w:hint="eastAsia" w:ascii="仿宋_GB2312" w:eastAsia="仿宋_GB2312"/>
                <w:color w:val="auto"/>
                <w:szCs w:val="21"/>
                <w:lang w:val="en-US" w:eastAsia="zh-CN"/>
              </w:rPr>
              <w:t>2</w:t>
            </w:r>
          </w:p>
        </w:tc>
        <w:tc>
          <w:tcPr>
            <w:tcW w:w="540" w:type="dxa"/>
            <w:gridSpan w:val="2"/>
            <w:noWrap w:val="0"/>
            <w:tcMar>
              <w:left w:w="108" w:type="dxa"/>
              <w:right w:w="108" w:type="dxa"/>
            </w:tcMar>
            <w:vAlign w:val="center"/>
          </w:tcPr>
          <w:p w14:paraId="5E70247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auto"/>
                <w:szCs w:val="21"/>
                <w:lang w:val="en-US" w:eastAsia="zh-CN"/>
              </w:rPr>
            </w:pPr>
            <w:r>
              <w:rPr>
                <w:rFonts w:hint="eastAsia" w:ascii="仿宋_GB2312" w:eastAsia="仿宋_GB2312"/>
                <w:color w:val="auto"/>
                <w:szCs w:val="21"/>
                <w:lang w:val="en-US" w:eastAsia="zh-CN"/>
              </w:rPr>
              <w:t>0</w:t>
            </w:r>
          </w:p>
        </w:tc>
        <w:tc>
          <w:tcPr>
            <w:tcW w:w="540" w:type="dxa"/>
            <w:gridSpan w:val="2"/>
            <w:noWrap w:val="0"/>
            <w:tcMar>
              <w:left w:w="108" w:type="dxa"/>
              <w:right w:w="108" w:type="dxa"/>
            </w:tcMar>
            <w:vAlign w:val="center"/>
          </w:tcPr>
          <w:p w14:paraId="0102671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auto"/>
                <w:szCs w:val="21"/>
                <w:lang w:val="en-US" w:eastAsia="zh-CN"/>
              </w:rPr>
            </w:pPr>
            <w:r>
              <w:rPr>
                <w:rFonts w:hint="eastAsia" w:ascii="仿宋_GB2312" w:eastAsia="仿宋_GB2312"/>
                <w:color w:val="auto"/>
                <w:szCs w:val="21"/>
                <w:lang w:val="en-US" w:eastAsia="zh-CN"/>
              </w:rPr>
              <w:t>0</w:t>
            </w:r>
          </w:p>
        </w:tc>
        <w:tc>
          <w:tcPr>
            <w:tcW w:w="720" w:type="dxa"/>
            <w:noWrap w:val="0"/>
            <w:tcMar>
              <w:left w:w="108" w:type="dxa"/>
              <w:right w:w="108" w:type="dxa"/>
            </w:tcMar>
            <w:vAlign w:val="center"/>
          </w:tcPr>
          <w:p w14:paraId="3BFB8B1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auto"/>
                <w:szCs w:val="21"/>
                <w:lang w:val="en-US" w:eastAsia="zh-CN"/>
              </w:rPr>
            </w:pPr>
            <w:r>
              <w:rPr>
                <w:rFonts w:hint="eastAsia" w:ascii="仿宋_GB2312" w:eastAsia="仿宋_GB2312"/>
                <w:color w:val="auto"/>
                <w:szCs w:val="21"/>
                <w:lang w:val="en-US" w:eastAsia="zh-CN"/>
              </w:rPr>
              <w:t>0</w:t>
            </w:r>
          </w:p>
        </w:tc>
        <w:tc>
          <w:tcPr>
            <w:tcW w:w="675" w:type="dxa"/>
            <w:noWrap w:val="0"/>
            <w:tcMar>
              <w:left w:w="108" w:type="dxa"/>
              <w:right w:w="108" w:type="dxa"/>
            </w:tcMar>
            <w:vAlign w:val="center"/>
          </w:tcPr>
          <w:p w14:paraId="4CF9D07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auto"/>
                <w:szCs w:val="21"/>
                <w:lang w:val="en-US" w:eastAsia="zh-CN"/>
              </w:rPr>
            </w:pPr>
            <w:r>
              <w:rPr>
                <w:rFonts w:hint="eastAsia" w:ascii="仿宋_GB2312" w:eastAsia="仿宋_GB2312"/>
                <w:color w:val="auto"/>
                <w:szCs w:val="21"/>
                <w:lang w:val="en-US" w:eastAsia="zh-CN"/>
              </w:rPr>
              <w:t>0</w:t>
            </w:r>
          </w:p>
        </w:tc>
        <w:tc>
          <w:tcPr>
            <w:tcW w:w="525" w:type="dxa"/>
            <w:noWrap w:val="0"/>
            <w:tcMar>
              <w:left w:w="108" w:type="dxa"/>
              <w:right w:w="108" w:type="dxa"/>
            </w:tcMar>
            <w:vAlign w:val="center"/>
          </w:tcPr>
          <w:p w14:paraId="4541E6E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auto"/>
                <w:szCs w:val="21"/>
                <w:lang w:val="en-US" w:eastAsia="zh-CN"/>
              </w:rPr>
            </w:pPr>
            <w:r>
              <w:rPr>
                <w:rFonts w:hint="eastAsia" w:ascii="仿宋_GB2312" w:eastAsia="仿宋_GB2312"/>
                <w:color w:val="auto"/>
                <w:szCs w:val="21"/>
                <w:lang w:val="en-US" w:eastAsia="zh-CN"/>
              </w:rPr>
              <w:t>0</w:t>
            </w:r>
          </w:p>
        </w:tc>
        <w:tc>
          <w:tcPr>
            <w:tcW w:w="701" w:type="dxa"/>
            <w:gridSpan w:val="2"/>
            <w:noWrap w:val="0"/>
            <w:tcMar>
              <w:left w:w="108" w:type="dxa"/>
              <w:right w:w="108" w:type="dxa"/>
            </w:tcMar>
            <w:vAlign w:val="center"/>
          </w:tcPr>
          <w:p w14:paraId="5CBC454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auto"/>
                <w:szCs w:val="21"/>
                <w:lang w:val="en-US" w:eastAsia="zh-CN"/>
              </w:rPr>
            </w:pPr>
            <w:r>
              <w:rPr>
                <w:rFonts w:hint="eastAsia" w:ascii="仿宋_GB2312" w:eastAsia="仿宋_GB2312"/>
                <w:color w:val="auto"/>
                <w:szCs w:val="21"/>
                <w:lang w:val="en-US" w:eastAsia="zh-CN"/>
              </w:rPr>
              <w:t>2</w:t>
            </w:r>
          </w:p>
        </w:tc>
      </w:tr>
      <w:tr w14:paraId="1F5233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14:paraId="2339534A">
            <w:pPr>
              <w:widowControl/>
              <w:rPr>
                <w:rFonts w:ascii="黑体" w:hAnsi="黑体" w:eastAsia="黑体"/>
                <w:color w:val="auto"/>
                <w:szCs w:val="21"/>
              </w:rPr>
            </w:pPr>
            <w:r>
              <w:rPr>
                <w:rFonts w:hint="eastAsia" w:ascii="黑体" w:hAnsi="黑体" w:eastAsia="黑体"/>
                <w:color w:val="auto"/>
                <w:kern w:val="0"/>
                <w:szCs w:val="21"/>
              </w:rPr>
              <w:t>二、上年结转政府信息公开申请数量</w:t>
            </w:r>
          </w:p>
        </w:tc>
        <w:tc>
          <w:tcPr>
            <w:tcW w:w="747" w:type="dxa"/>
            <w:noWrap w:val="0"/>
            <w:tcMar>
              <w:left w:w="108" w:type="dxa"/>
              <w:right w:w="108" w:type="dxa"/>
            </w:tcMar>
            <w:vAlign w:val="center"/>
          </w:tcPr>
          <w:p w14:paraId="6427205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eastAsia="仿宋_GB2312"/>
                <w:color w:val="auto"/>
                <w:szCs w:val="21"/>
                <w:lang w:val="en-US" w:eastAsia="zh-CN"/>
              </w:rPr>
              <w:t>0</w:t>
            </w:r>
          </w:p>
        </w:tc>
        <w:tc>
          <w:tcPr>
            <w:tcW w:w="540" w:type="dxa"/>
            <w:gridSpan w:val="2"/>
            <w:noWrap w:val="0"/>
            <w:tcMar>
              <w:left w:w="108" w:type="dxa"/>
              <w:right w:w="108" w:type="dxa"/>
            </w:tcMar>
            <w:vAlign w:val="center"/>
          </w:tcPr>
          <w:p w14:paraId="33A2336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eastAsia="仿宋_GB2312"/>
                <w:color w:val="auto"/>
                <w:szCs w:val="21"/>
                <w:lang w:val="en-US" w:eastAsia="zh-CN"/>
              </w:rPr>
              <w:t>0</w:t>
            </w:r>
          </w:p>
        </w:tc>
        <w:tc>
          <w:tcPr>
            <w:tcW w:w="540" w:type="dxa"/>
            <w:gridSpan w:val="2"/>
            <w:noWrap w:val="0"/>
            <w:tcMar>
              <w:left w:w="108" w:type="dxa"/>
              <w:right w:w="108" w:type="dxa"/>
            </w:tcMar>
            <w:vAlign w:val="center"/>
          </w:tcPr>
          <w:p w14:paraId="10D05F5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eastAsia="仿宋_GB2312"/>
                <w:color w:val="auto"/>
                <w:szCs w:val="21"/>
                <w:lang w:val="en-US" w:eastAsia="zh-CN"/>
              </w:rPr>
              <w:t>0</w:t>
            </w:r>
          </w:p>
        </w:tc>
        <w:tc>
          <w:tcPr>
            <w:tcW w:w="720" w:type="dxa"/>
            <w:noWrap w:val="0"/>
            <w:tcMar>
              <w:left w:w="108" w:type="dxa"/>
              <w:right w:w="108" w:type="dxa"/>
            </w:tcMar>
            <w:vAlign w:val="center"/>
          </w:tcPr>
          <w:p w14:paraId="1F901A2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eastAsia="仿宋_GB2312"/>
                <w:color w:val="auto"/>
                <w:szCs w:val="21"/>
                <w:lang w:val="en-US" w:eastAsia="zh-CN"/>
              </w:rPr>
              <w:t>0</w:t>
            </w:r>
          </w:p>
        </w:tc>
        <w:tc>
          <w:tcPr>
            <w:tcW w:w="675" w:type="dxa"/>
            <w:noWrap w:val="0"/>
            <w:tcMar>
              <w:left w:w="108" w:type="dxa"/>
              <w:right w:w="108" w:type="dxa"/>
            </w:tcMar>
            <w:vAlign w:val="center"/>
          </w:tcPr>
          <w:p w14:paraId="5FAE5E2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eastAsia="仿宋_GB2312"/>
                <w:color w:val="auto"/>
                <w:szCs w:val="21"/>
                <w:lang w:val="en-US" w:eastAsia="zh-CN"/>
              </w:rPr>
              <w:t>0</w:t>
            </w:r>
          </w:p>
        </w:tc>
        <w:tc>
          <w:tcPr>
            <w:tcW w:w="525" w:type="dxa"/>
            <w:noWrap w:val="0"/>
            <w:tcMar>
              <w:left w:w="108" w:type="dxa"/>
              <w:right w:w="108" w:type="dxa"/>
            </w:tcMar>
            <w:vAlign w:val="center"/>
          </w:tcPr>
          <w:p w14:paraId="764BB2B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eastAsia="仿宋_GB2312"/>
                <w:color w:val="auto"/>
                <w:szCs w:val="21"/>
                <w:lang w:val="en-US" w:eastAsia="zh-CN"/>
              </w:rPr>
              <w:t>0</w:t>
            </w:r>
          </w:p>
        </w:tc>
        <w:tc>
          <w:tcPr>
            <w:tcW w:w="701" w:type="dxa"/>
            <w:gridSpan w:val="2"/>
            <w:noWrap w:val="0"/>
            <w:tcMar>
              <w:left w:w="108" w:type="dxa"/>
              <w:right w:w="108" w:type="dxa"/>
            </w:tcMar>
            <w:vAlign w:val="center"/>
          </w:tcPr>
          <w:p w14:paraId="5093852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eastAsia="仿宋_GB2312"/>
                <w:color w:val="auto"/>
                <w:szCs w:val="21"/>
                <w:lang w:val="en-US" w:eastAsia="zh-CN"/>
              </w:rPr>
              <w:t>0</w:t>
            </w:r>
          </w:p>
        </w:tc>
      </w:tr>
      <w:tr w14:paraId="1901C0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noWrap w:val="0"/>
            <w:tcMar>
              <w:left w:w="108" w:type="dxa"/>
              <w:right w:w="108" w:type="dxa"/>
            </w:tcMar>
            <w:vAlign w:val="center"/>
          </w:tcPr>
          <w:p w14:paraId="5A6A8D4C">
            <w:pPr>
              <w:widowControl/>
              <w:spacing w:after="180"/>
              <w:rPr>
                <w:rFonts w:ascii="黑体" w:hAnsi="黑体" w:eastAsia="黑体"/>
                <w:color w:val="auto"/>
                <w:szCs w:val="21"/>
              </w:rPr>
            </w:pPr>
            <w:r>
              <w:rPr>
                <w:rFonts w:hint="eastAsia" w:ascii="黑体" w:hAnsi="黑体" w:eastAsia="黑体"/>
                <w:color w:val="auto"/>
                <w:kern w:val="0"/>
                <w:szCs w:val="21"/>
              </w:rPr>
              <w:t>三、本年度办理结果</w:t>
            </w:r>
          </w:p>
        </w:tc>
        <w:tc>
          <w:tcPr>
            <w:tcW w:w="4677" w:type="dxa"/>
            <w:gridSpan w:val="2"/>
            <w:noWrap w:val="0"/>
            <w:tcMar>
              <w:left w:w="108" w:type="dxa"/>
              <w:right w:w="108" w:type="dxa"/>
            </w:tcMar>
            <w:vAlign w:val="center"/>
          </w:tcPr>
          <w:p w14:paraId="6DE6A5B5">
            <w:pPr>
              <w:widowControl/>
              <w:rPr>
                <w:rFonts w:ascii="黑体" w:hAnsi="黑体" w:eastAsia="黑体"/>
                <w:color w:val="auto"/>
                <w:szCs w:val="21"/>
              </w:rPr>
            </w:pPr>
            <w:r>
              <w:rPr>
                <w:rFonts w:hint="eastAsia" w:ascii="黑体" w:hAnsi="黑体" w:eastAsia="黑体"/>
                <w:color w:val="auto"/>
                <w:kern w:val="0"/>
                <w:szCs w:val="21"/>
              </w:rPr>
              <w:t>（一）予以公开</w:t>
            </w:r>
          </w:p>
        </w:tc>
        <w:tc>
          <w:tcPr>
            <w:tcW w:w="752" w:type="dxa"/>
            <w:gridSpan w:val="2"/>
            <w:noWrap w:val="0"/>
            <w:tcMar>
              <w:left w:w="108" w:type="dxa"/>
              <w:right w:w="108" w:type="dxa"/>
            </w:tcMar>
            <w:vAlign w:val="center"/>
          </w:tcPr>
          <w:p w14:paraId="1E753CE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eastAsia="仿宋_GB2312"/>
                <w:color w:val="auto"/>
                <w:szCs w:val="21"/>
                <w:lang w:val="en-US" w:eastAsia="zh-CN"/>
              </w:rPr>
              <w:t>2</w:t>
            </w:r>
          </w:p>
        </w:tc>
        <w:tc>
          <w:tcPr>
            <w:tcW w:w="540" w:type="dxa"/>
            <w:gridSpan w:val="2"/>
            <w:noWrap w:val="0"/>
            <w:tcMar>
              <w:left w:w="108" w:type="dxa"/>
              <w:right w:w="108" w:type="dxa"/>
            </w:tcMar>
            <w:vAlign w:val="center"/>
          </w:tcPr>
          <w:p w14:paraId="5708214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eastAsia="仿宋_GB2312"/>
                <w:color w:val="auto"/>
                <w:szCs w:val="21"/>
                <w:lang w:val="en-US" w:eastAsia="zh-CN"/>
              </w:rPr>
              <w:t>0</w:t>
            </w:r>
          </w:p>
        </w:tc>
        <w:tc>
          <w:tcPr>
            <w:tcW w:w="535" w:type="dxa"/>
            <w:noWrap w:val="0"/>
            <w:tcMar>
              <w:left w:w="108" w:type="dxa"/>
              <w:right w:w="108" w:type="dxa"/>
            </w:tcMar>
            <w:vAlign w:val="center"/>
          </w:tcPr>
          <w:p w14:paraId="55FAC21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eastAsia="仿宋_GB2312"/>
                <w:color w:val="auto"/>
                <w:szCs w:val="21"/>
                <w:lang w:val="en-US" w:eastAsia="zh-CN"/>
              </w:rPr>
              <w:t>0</w:t>
            </w:r>
          </w:p>
        </w:tc>
        <w:tc>
          <w:tcPr>
            <w:tcW w:w="720" w:type="dxa"/>
            <w:noWrap w:val="0"/>
            <w:tcMar>
              <w:left w:w="108" w:type="dxa"/>
              <w:right w:w="108" w:type="dxa"/>
            </w:tcMar>
            <w:vAlign w:val="center"/>
          </w:tcPr>
          <w:p w14:paraId="271E20A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eastAsia="仿宋_GB2312"/>
                <w:color w:val="auto"/>
                <w:szCs w:val="21"/>
                <w:lang w:val="en-US" w:eastAsia="zh-CN"/>
              </w:rPr>
              <w:t>0</w:t>
            </w:r>
          </w:p>
        </w:tc>
        <w:tc>
          <w:tcPr>
            <w:tcW w:w="675" w:type="dxa"/>
            <w:noWrap w:val="0"/>
            <w:tcMar>
              <w:left w:w="108" w:type="dxa"/>
              <w:right w:w="108" w:type="dxa"/>
            </w:tcMar>
            <w:vAlign w:val="center"/>
          </w:tcPr>
          <w:p w14:paraId="1724B98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eastAsia="仿宋_GB2312"/>
                <w:color w:val="auto"/>
                <w:szCs w:val="21"/>
                <w:lang w:val="en-US" w:eastAsia="zh-CN"/>
              </w:rPr>
              <w:t>0</w:t>
            </w:r>
          </w:p>
        </w:tc>
        <w:tc>
          <w:tcPr>
            <w:tcW w:w="526" w:type="dxa"/>
            <w:gridSpan w:val="2"/>
            <w:noWrap w:val="0"/>
            <w:tcMar>
              <w:left w:w="108" w:type="dxa"/>
              <w:right w:w="108" w:type="dxa"/>
            </w:tcMar>
            <w:vAlign w:val="center"/>
          </w:tcPr>
          <w:p w14:paraId="62DB782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eastAsia="仿宋_GB2312"/>
                <w:color w:val="auto"/>
                <w:szCs w:val="21"/>
                <w:lang w:val="en-US" w:eastAsia="zh-CN"/>
              </w:rPr>
              <w:t>0</w:t>
            </w:r>
          </w:p>
        </w:tc>
        <w:tc>
          <w:tcPr>
            <w:tcW w:w="700" w:type="dxa"/>
            <w:noWrap w:val="0"/>
            <w:tcMar>
              <w:left w:w="108" w:type="dxa"/>
              <w:right w:w="108" w:type="dxa"/>
            </w:tcMar>
            <w:vAlign w:val="center"/>
          </w:tcPr>
          <w:p w14:paraId="28CE416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eastAsia="仿宋_GB2312"/>
                <w:color w:val="auto"/>
                <w:szCs w:val="21"/>
                <w:lang w:val="en-US" w:eastAsia="zh-CN"/>
              </w:rPr>
              <w:t>2</w:t>
            </w:r>
          </w:p>
        </w:tc>
      </w:tr>
      <w:tr w14:paraId="534BA9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25CBA745">
            <w:pPr>
              <w:rPr>
                <w:rFonts w:ascii="黑体" w:hAnsi="黑体" w:eastAsia="黑体"/>
                <w:color w:val="auto"/>
                <w:szCs w:val="21"/>
              </w:rPr>
            </w:pPr>
          </w:p>
        </w:tc>
        <w:tc>
          <w:tcPr>
            <w:tcW w:w="4677" w:type="dxa"/>
            <w:gridSpan w:val="2"/>
            <w:noWrap w:val="0"/>
            <w:tcMar>
              <w:left w:w="108" w:type="dxa"/>
              <w:right w:w="108" w:type="dxa"/>
            </w:tcMar>
            <w:vAlign w:val="center"/>
          </w:tcPr>
          <w:p w14:paraId="5DBDD2C3">
            <w:pPr>
              <w:widowControl/>
              <w:rPr>
                <w:rFonts w:ascii="黑体" w:hAnsi="黑体" w:eastAsia="黑体"/>
                <w:color w:val="auto"/>
                <w:szCs w:val="21"/>
              </w:rPr>
            </w:pPr>
            <w:r>
              <w:rPr>
                <w:rFonts w:hint="eastAsia" w:ascii="黑体" w:hAnsi="黑体" w:eastAsia="黑体"/>
                <w:color w:val="auto"/>
                <w:kern w:val="0"/>
                <w:szCs w:val="21"/>
              </w:rPr>
              <w:t>（二）部分公开（</w:t>
            </w:r>
            <w:bookmarkStart w:id="1" w:name="_Hlk66973981"/>
            <w:r>
              <w:rPr>
                <w:rFonts w:hint="eastAsia" w:ascii="黑体" w:hAnsi="黑体" w:eastAsia="黑体"/>
                <w:color w:val="auto"/>
                <w:kern w:val="0"/>
                <w:szCs w:val="21"/>
              </w:rPr>
              <w:t>区分处理的，只计这一情形，不计其他情形</w:t>
            </w:r>
            <w:bookmarkEnd w:id="1"/>
            <w:r>
              <w:rPr>
                <w:rFonts w:hint="eastAsia" w:ascii="黑体" w:hAnsi="黑体" w:eastAsia="黑体"/>
                <w:color w:val="auto"/>
                <w:kern w:val="0"/>
                <w:szCs w:val="21"/>
              </w:rPr>
              <w:t>）</w:t>
            </w:r>
          </w:p>
        </w:tc>
        <w:tc>
          <w:tcPr>
            <w:tcW w:w="752" w:type="dxa"/>
            <w:gridSpan w:val="2"/>
            <w:noWrap w:val="0"/>
            <w:tcMar>
              <w:left w:w="108" w:type="dxa"/>
              <w:right w:w="108" w:type="dxa"/>
            </w:tcMar>
            <w:vAlign w:val="center"/>
          </w:tcPr>
          <w:p w14:paraId="0CC04D0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eastAsia="仿宋_GB2312"/>
                <w:color w:val="auto"/>
                <w:szCs w:val="21"/>
                <w:lang w:val="en-US" w:eastAsia="zh-CN"/>
              </w:rPr>
              <w:t>0</w:t>
            </w:r>
          </w:p>
        </w:tc>
        <w:tc>
          <w:tcPr>
            <w:tcW w:w="540" w:type="dxa"/>
            <w:gridSpan w:val="2"/>
            <w:noWrap w:val="0"/>
            <w:tcMar>
              <w:left w:w="108" w:type="dxa"/>
              <w:right w:w="108" w:type="dxa"/>
            </w:tcMar>
            <w:vAlign w:val="center"/>
          </w:tcPr>
          <w:p w14:paraId="4FF3E94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eastAsia="仿宋_GB2312"/>
                <w:color w:val="auto"/>
                <w:szCs w:val="21"/>
                <w:lang w:val="en-US" w:eastAsia="zh-CN"/>
              </w:rPr>
              <w:t>0</w:t>
            </w:r>
          </w:p>
        </w:tc>
        <w:tc>
          <w:tcPr>
            <w:tcW w:w="535" w:type="dxa"/>
            <w:noWrap w:val="0"/>
            <w:tcMar>
              <w:left w:w="108" w:type="dxa"/>
              <w:right w:w="108" w:type="dxa"/>
            </w:tcMar>
            <w:vAlign w:val="center"/>
          </w:tcPr>
          <w:p w14:paraId="7E21F30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eastAsia="仿宋_GB2312"/>
                <w:color w:val="auto"/>
                <w:szCs w:val="21"/>
                <w:lang w:val="en-US" w:eastAsia="zh-CN"/>
              </w:rPr>
              <w:t>0</w:t>
            </w:r>
          </w:p>
        </w:tc>
        <w:tc>
          <w:tcPr>
            <w:tcW w:w="720" w:type="dxa"/>
            <w:noWrap w:val="0"/>
            <w:tcMar>
              <w:left w:w="108" w:type="dxa"/>
              <w:right w:w="108" w:type="dxa"/>
            </w:tcMar>
            <w:vAlign w:val="center"/>
          </w:tcPr>
          <w:p w14:paraId="5293536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eastAsia="仿宋_GB2312"/>
                <w:color w:val="auto"/>
                <w:szCs w:val="21"/>
                <w:lang w:val="en-US" w:eastAsia="zh-CN"/>
              </w:rPr>
              <w:t>0</w:t>
            </w:r>
          </w:p>
        </w:tc>
        <w:tc>
          <w:tcPr>
            <w:tcW w:w="675" w:type="dxa"/>
            <w:noWrap w:val="0"/>
            <w:tcMar>
              <w:left w:w="108" w:type="dxa"/>
              <w:right w:w="108" w:type="dxa"/>
            </w:tcMar>
            <w:vAlign w:val="center"/>
          </w:tcPr>
          <w:p w14:paraId="16025FF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eastAsia="仿宋_GB2312"/>
                <w:color w:val="auto"/>
                <w:szCs w:val="21"/>
                <w:lang w:val="en-US" w:eastAsia="zh-CN"/>
              </w:rPr>
              <w:t>0</w:t>
            </w:r>
          </w:p>
        </w:tc>
        <w:tc>
          <w:tcPr>
            <w:tcW w:w="526" w:type="dxa"/>
            <w:gridSpan w:val="2"/>
            <w:noWrap w:val="0"/>
            <w:tcMar>
              <w:left w:w="108" w:type="dxa"/>
              <w:right w:w="108" w:type="dxa"/>
            </w:tcMar>
            <w:vAlign w:val="center"/>
          </w:tcPr>
          <w:p w14:paraId="02BE416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eastAsia="仿宋_GB2312"/>
                <w:color w:val="auto"/>
                <w:szCs w:val="21"/>
                <w:lang w:val="en-US" w:eastAsia="zh-CN"/>
              </w:rPr>
              <w:t>0</w:t>
            </w:r>
          </w:p>
        </w:tc>
        <w:tc>
          <w:tcPr>
            <w:tcW w:w="700" w:type="dxa"/>
            <w:noWrap w:val="0"/>
            <w:tcMar>
              <w:left w:w="108" w:type="dxa"/>
              <w:right w:w="108" w:type="dxa"/>
            </w:tcMar>
            <w:vAlign w:val="center"/>
          </w:tcPr>
          <w:p w14:paraId="47A0206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eastAsia="仿宋_GB2312"/>
                <w:color w:val="auto"/>
                <w:szCs w:val="21"/>
                <w:lang w:val="en-US" w:eastAsia="zh-CN"/>
              </w:rPr>
              <w:t>0</w:t>
            </w:r>
          </w:p>
        </w:tc>
      </w:tr>
      <w:tr w14:paraId="025E69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179BBFAF">
            <w:pPr>
              <w:rPr>
                <w:rFonts w:ascii="黑体" w:hAnsi="黑体" w:eastAsia="黑体"/>
                <w:color w:val="auto"/>
                <w:szCs w:val="21"/>
              </w:rPr>
            </w:pPr>
          </w:p>
        </w:tc>
        <w:tc>
          <w:tcPr>
            <w:tcW w:w="1701" w:type="dxa"/>
            <w:vMerge w:val="restart"/>
            <w:noWrap w:val="0"/>
            <w:tcMar>
              <w:left w:w="108" w:type="dxa"/>
              <w:right w:w="108" w:type="dxa"/>
            </w:tcMar>
            <w:vAlign w:val="center"/>
          </w:tcPr>
          <w:p w14:paraId="02088AA3">
            <w:pPr>
              <w:widowControl/>
              <w:spacing w:line="200" w:lineRule="exact"/>
              <w:ind w:left="-107" w:leftChars="-51"/>
              <w:rPr>
                <w:rFonts w:ascii="黑体" w:hAnsi="黑体" w:eastAsia="黑体"/>
                <w:color w:val="auto"/>
                <w:szCs w:val="21"/>
              </w:rPr>
            </w:pPr>
            <w:r>
              <w:rPr>
                <w:rFonts w:hint="eastAsia" w:ascii="黑体" w:hAnsi="黑体" w:eastAsia="黑体"/>
                <w:color w:val="auto"/>
                <w:kern w:val="0"/>
                <w:szCs w:val="21"/>
              </w:rPr>
              <w:t>（三）不予公开</w:t>
            </w:r>
          </w:p>
        </w:tc>
        <w:tc>
          <w:tcPr>
            <w:tcW w:w="2976" w:type="dxa"/>
            <w:noWrap w:val="0"/>
            <w:tcMar>
              <w:left w:w="108" w:type="dxa"/>
              <w:right w:w="108" w:type="dxa"/>
            </w:tcMar>
            <w:vAlign w:val="center"/>
          </w:tcPr>
          <w:p w14:paraId="33602CAD">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1.属于国家秘密</w:t>
            </w:r>
          </w:p>
        </w:tc>
        <w:tc>
          <w:tcPr>
            <w:tcW w:w="747" w:type="dxa"/>
            <w:noWrap w:val="0"/>
            <w:tcMar>
              <w:left w:w="108" w:type="dxa"/>
              <w:right w:w="108" w:type="dxa"/>
            </w:tcMar>
            <w:vAlign w:val="center"/>
          </w:tcPr>
          <w:p w14:paraId="69779A0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0F6F651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13D51D1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noWrap w:val="0"/>
            <w:tcMar>
              <w:left w:w="108" w:type="dxa"/>
              <w:right w:w="108" w:type="dxa"/>
            </w:tcMar>
            <w:vAlign w:val="center"/>
          </w:tcPr>
          <w:p w14:paraId="05EDA39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noWrap w:val="0"/>
            <w:tcMar>
              <w:left w:w="108" w:type="dxa"/>
              <w:right w:w="108" w:type="dxa"/>
            </w:tcMar>
            <w:vAlign w:val="center"/>
          </w:tcPr>
          <w:p w14:paraId="700B44B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noWrap w:val="0"/>
            <w:tcMar>
              <w:left w:w="108" w:type="dxa"/>
              <w:right w:w="108" w:type="dxa"/>
            </w:tcMar>
            <w:vAlign w:val="center"/>
          </w:tcPr>
          <w:p w14:paraId="66401FB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noWrap w:val="0"/>
            <w:tcMar>
              <w:left w:w="108" w:type="dxa"/>
              <w:right w:w="108" w:type="dxa"/>
            </w:tcMar>
            <w:vAlign w:val="center"/>
          </w:tcPr>
          <w:p w14:paraId="2762D4D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14:paraId="3F1807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312514EF">
            <w:pPr>
              <w:rPr>
                <w:rFonts w:ascii="黑体" w:hAnsi="黑体" w:eastAsia="黑体"/>
                <w:color w:val="auto"/>
                <w:szCs w:val="21"/>
              </w:rPr>
            </w:pPr>
          </w:p>
        </w:tc>
        <w:tc>
          <w:tcPr>
            <w:tcW w:w="1701" w:type="dxa"/>
            <w:vMerge w:val="continue"/>
            <w:noWrap w:val="0"/>
            <w:tcMar>
              <w:left w:w="108" w:type="dxa"/>
              <w:right w:w="108" w:type="dxa"/>
            </w:tcMar>
            <w:vAlign w:val="center"/>
          </w:tcPr>
          <w:p w14:paraId="26CB7F42">
            <w:pPr>
              <w:spacing w:line="200" w:lineRule="exact"/>
              <w:rPr>
                <w:rFonts w:ascii="黑体" w:hAnsi="黑体" w:eastAsia="黑体"/>
                <w:color w:val="auto"/>
                <w:szCs w:val="21"/>
              </w:rPr>
            </w:pPr>
          </w:p>
        </w:tc>
        <w:tc>
          <w:tcPr>
            <w:tcW w:w="2976" w:type="dxa"/>
            <w:noWrap w:val="0"/>
            <w:tcMar>
              <w:left w:w="108" w:type="dxa"/>
              <w:right w:w="108" w:type="dxa"/>
            </w:tcMar>
            <w:vAlign w:val="center"/>
          </w:tcPr>
          <w:p w14:paraId="449FEFA7">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2.</w:t>
            </w:r>
            <w:bookmarkStart w:id="2" w:name="_Hlk66974104"/>
            <w:r>
              <w:rPr>
                <w:rFonts w:hint="eastAsia" w:ascii="仿宋_GB2312" w:hAnsi="黑体" w:eastAsia="仿宋_GB2312"/>
                <w:color w:val="auto"/>
                <w:kern w:val="0"/>
                <w:szCs w:val="21"/>
              </w:rPr>
              <w:t>其他法律行政法规禁止公开</w:t>
            </w:r>
            <w:bookmarkEnd w:id="2"/>
          </w:p>
        </w:tc>
        <w:tc>
          <w:tcPr>
            <w:tcW w:w="747" w:type="dxa"/>
            <w:noWrap w:val="0"/>
            <w:tcMar>
              <w:left w:w="108" w:type="dxa"/>
              <w:right w:w="108" w:type="dxa"/>
            </w:tcMar>
            <w:vAlign w:val="center"/>
          </w:tcPr>
          <w:p w14:paraId="5563282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43BE913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128300D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noWrap w:val="0"/>
            <w:tcMar>
              <w:left w:w="108" w:type="dxa"/>
              <w:right w:w="108" w:type="dxa"/>
            </w:tcMar>
            <w:vAlign w:val="center"/>
          </w:tcPr>
          <w:p w14:paraId="3C890B1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noWrap w:val="0"/>
            <w:tcMar>
              <w:left w:w="108" w:type="dxa"/>
              <w:right w:w="108" w:type="dxa"/>
            </w:tcMar>
            <w:vAlign w:val="center"/>
          </w:tcPr>
          <w:p w14:paraId="2008EAC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noWrap w:val="0"/>
            <w:tcMar>
              <w:left w:w="108" w:type="dxa"/>
              <w:right w:w="108" w:type="dxa"/>
            </w:tcMar>
            <w:vAlign w:val="center"/>
          </w:tcPr>
          <w:p w14:paraId="74382F9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noWrap w:val="0"/>
            <w:tcMar>
              <w:left w:w="108" w:type="dxa"/>
              <w:right w:w="108" w:type="dxa"/>
            </w:tcMar>
            <w:vAlign w:val="center"/>
          </w:tcPr>
          <w:p w14:paraId="3D28351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14:paraId="09D600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199775FE">
            <w:pPr>
              <w:rPr>
                <w:rFonts w:ascii="黑体" w:hAnsi="黑体" w:eastAsia="黑体"/>
                <w:color w:val="auto"/>
                <w:szCs w:val="21"/>
              </w:rPr>
            </w:pPr>
          </w:p>
        </w:tc>
        <w:tc>
          <w:tcPr>
            <w:tcW w:w="1701" w:type="dxa"/>
            <w:vMerge w:val="continue"/>
            <w:noWrap w:val="0"/>
            <w:tcMar>
              <w:left w:w="108" w:type="dxa"/>
              <w:right w:w="108" w:type="dxa"/>
            </w:tcMar>
            <w:vAlign w:val="center"/>
          </w:tcPr>
          <w:p w14:paraId="00DFAA40">
            <w:pPr>
              <w:spacing w:line="200" w:lineRule="exact"/>
              <w:rPr>
                <w:rFonts w:ascii="黑体" w:hAnsi="黑体" w:eastAsia="黑体"/>
                <w:color w:val="auto"/>
                <w:szCs w:val="21"/>
              </w:rPr>
            </w:pPr>
          </w:p>
        </w:tc>
        <w:tc>
          <w:tcPr>
            <w:tcW w:w="2976" w:type="dxa"/>
            <w:noWrap w:val="0"/>
            <w:tcMar>
              <w:left w:w="108" w:type="dxa"/>
              <w:right w:w="108" w:type="dxa"/>
            </w:tcMar>
            <w:vAlign w:val="center"/>
          </w:tcPr>
          <w:p w14:paraId="08BB7BDD">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3.危及“三安全一稳定”</w:t>
            </w:r>
          </w:p>
        </w:tc>
        <w:tc>
          <w:tcPr>
            <w:tcW w:w="747" w:type="dxa"/>
            <w:noWrap w:val="0"/>
            <w:tcMar>
              <w:left w:w="108" w:type="dxa"/>
              <w:right w:w="108" w:type="dxa"/>
            </w:tcMar>
            <w:vAlign w:val="center"/>
          </w:tcPr>
          <w:p w14:paraId="12E740F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45674C9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3A30197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noWrap w:val="0"/>
            <w:tcMar>
              <w:left w:w="108" w:type="dxa"/>
              <w:right w:w="108" w:type="dxa"/>
            </w:tcMar>
            <w:vAlign w:val="center"/>
          </w:tcPr>
          <w:p w14:paraId="6DE0029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noWrap w:val="0"/>
            <w:tcMar>
              <w:left w:w="108" w:type="dxa"/>
              <w:right w:w="108" w:type="dxa"/>
            </w:tcMar>
            <w:vAlign w:val="center"/>
          </w:tcPr>
          <w:p w14:paraId="11FCAE2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noWrap w:val="0"/>
            <w:tcMar>
              <w:left w:w="108" w:type="dxa"/>
              <w:right w:w="108" w:type="dxa"/>
            </w:tcMar>
            <w:vAlign w:val="center"/>
          </w:tcPr>
          <w:p w14:paraId="722BA9B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noWrap w:val="0"/>
            <w:tcMar>
              <w:left w:w="108" w:type="dxa"/>
              <w:right w:w="108" w:type="dxa"/>
            </w:tcMar>
            <w:vAlign w:val="center"/>
          </w:tcPr>
          <w:p w14:paraId="55E0F65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14:paraId="6BD6BB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5181D923">
            <w:pPr>
              <w:rPr>
                <w:rFonts w:ascii="黑体" w:hAnsi="黑体" w:eastAsia="黑体"/>
                <w:color w:val="auto"/>
                <w:szCs w:val="21"/>
              </w:rPr>
            </w:pPr>
          </w:p>
        </w:tc>
        <w:tc>
          <w:tcPr>
            <w:tcW w:w="1701" w:type="dxa"/>
            <w:vMerge w:val="continue"/>
            <w:noWrap w:val="0"/>
            <w:tcMar>
              <w:left w:w="108" w:type="dxa"/>
              <w:right w:w="108" w:type="dxa"/>
            </w:tcMar>
            <w:vAlign w:val="center"/>
          </w:tcPr>
          <w:p w14:paraId="58A01D57">
            <w:pPr>
              <w:spacing w:line="200" w:lineRule="exact"/>
              <w:rPr>
                <w:rFonts w:ascii="黑体" w:hAnsi="黑体" w:eastAsia="黑体"/>
                <w:color w:val="auto"/>
                <w:szCs w:val="21"/>
              </w:rPr>
            </w:pPr>
          </w:p>
        </w:tc>
        <w:tc>
          <w:tcPr>
            <w:tcW w:w="2976" w:type="dxa"/>
            <w:noWrap w:val="0"/>
            <w:tcMar>
              <w:left w:w="108" w:type="dxa"/>
              <w:right w:w="108" w:type="dxa"/>
            </w:tcMar>
            <w:vAlign w:val="center"/>
          </w:tcPr>
          <w:p w14:paraId="20709544">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4.</w:t>
            </w:r>
            <w:bookmarkStart w:id="3" w:name="_Hlk66974290"/>
            <w:r>
              <w:rPr>
                <w:rFonts w:hint="eastAsia" w:ascii="仿宋_GB2312" w:hAnsi="黑体" w:eastAsia="仿宋_GB2312"/>
                <w:color w:val="auto"/>
                <w:kern w:val="0"/>
                <w:szCs w:val="21"/>
              </w:rPr>
              <w:t>保护第三方合法权益</w:t>
            </w:r>
            <w:bookmarkEnd w:id="3"/>
          </w:p>
        </w:tc>
        <w:tc>
          <w:tcPr>
            <w:tcW w:w="747" w:type="dxa"/>
            <w:noWrap w:val="0"/>
            <w:tcMar>
              <w:left w:w="108" w:type="dxa"/>
              <w:right w:w="108" w:type="dxa"/>
            </w:tcMar>
            <w:vAlign w:val="center"/>
          </w:tcPr>
          <w:p w14:paraId="1304910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44A7A6B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5735154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noWrap w:val="0"/>
            <w:tcMar>
              <w:left w:w="108" w:type="dxa"/>
              <w:right w:w="108" w:type="dxa"/>
            </w:tcMar>
            <w:vAlign w:val="center"/>
          </w:tcPr>
          <w:p w14:paraId="5998F3C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noWrap w:val="0"/>
            <w:tcMar>
              <w:left w:w="108" w:type="dxa"/>
              <w:right w:w="108" w:type="dxa"/>
            </w:tcMar>
            <w:vAlign w:val="center"/>
          </w:tcPr>
          <w:p w14:paraId="0575642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noWrap w:val="0"/>
            <w:tcMar>
              <w:left w:w="108" w:type="dxa"/>
              <w:right w:w="108" w:type="dxa"/>
            </w:tcMar>
            <w:vAlign w:val="center"/>
          </w:tcPr>
          <w:p w14:paraId="75B4AD9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noWrap w:val="0"/>
            <w:tcMar>
              <w:left w:w="108" w:type="dxa"/>
              <w:right w:w="108" w:type="dxa"/>
            </w:tcMar>
            <w:vAlign w:val="center"/>
          </w:tcPr>
          <w:p w14:paraId="4D15005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14:paraId="6F0F3C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695F76DB">
            <w:pPr>
              <w:rPr>
                <w:rFonts w:ascii="黑体" w:hAnsi="黑体" w:eastAsia="黑体"/>
                <w:color w:val="auto"/>
                <w:szCs w:val="21"/>
              </w:rPr>
            </w:pPr>
          </w:p>
        </w:tc>
        <w:tc>
          <w:tcPr>
            <w:tcW w:w="1701" w:type="dxa"/>
            <w:vMerge w:val="continue"/>
            <w:noWrap w:val="0"/>
            <w:tcMar>
              <w:left w:w="108" w:type="dxa"/>
              <w:right w:w="108" w:type="dxa"/>
            </w:tcMar>
            <w:vAlign w:val="center"/>
          </w:tcPr>
          <w:p w14:paraId="46215814">
            <w:pPr>
              <w:spacing w:line="200" w:lineRule="exact"/>
              <w:rPr>
                <w:rFonts w:ascii="黑体" w:hAnsi="黑体" w:eastAsia="黑体"/>
                <w:color w:val="auto"/>
                <w:szCs w:val="21"/>
              </w:rPr>
            </w:pPr>
          </w:p>
        </w:tc>
        <w:tc>
          <w:tcPr>
            <w:tcW w:w="2976" w:type="dxa"/>
            <w:noWrap w:val="0"/>
            <w:tcMar>
              <w:left w:w="108" w:type="dxa"/>
              <w:right w:w="108" w:type="dxa"/>
            </w:tcMar>
            <w:vAlign w:val="center"/>
          </w:tcPr>
          <w:p w14:paraId="02A46019">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5.属于三类内部事务信息</w:t>
            </w:r>
          </w:p>
        </w:tc>
        <w:tc>
          <w:tcPr>
            <w:tcW w:w="747" w:type="dxa"/>
            <w:noWrap w:val="0"/>
            <w:tcMar>
              <w:left w:w="108" w:type="dxa"/>
              <w:right w:w="108" w:type="dxa"/>
            </w:tcMar>
            <w:vAlign w:val="center"/>
          </w:tcPr>
          <w:p w14:paraId="35C2631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449172B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386667C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noWrap w:val="0"/>
            <w:tcMar>
              <w:left w:w="108" w:type="dxa"/>
              <w:right w:w="108" w:type="dxa"/>
            </w:tcMar>
            <w:vAlign w:val="center"/>
          </w:tcPr>
          <w:p w14:paraId="2FC3C75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noWrap w:val="0"/>
            <w:tcMar>
              <w:left w:w="108" w:type="dxa"/>
              <w:right w:w="108" w:type="dxa"/>
            </w:tcMar>
            <w:vAlign w:val="center"/>
          </w:tcPr>
          <w:p w14:paraId="1B3D53F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noWrap w:val="0"/>
            <w:tcMar>
              <w:left w:w="108" w:type="dxa"/>
              <w:right w:w="108" w:type="dxa"/>
            </w:tcMar>
            <w:vAlign w:val="center"/>
          </w:tcPr>
          <w:p w14:paraId="25BEC5A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noWrap w:val="0"/>
            <w:tcMar>
              <w:left w:w="108" w:type="dxa"/>
              <w:right w:w="108" w:type="dxa"/>
            </w:tcMar>
            <w:vAlign w:val="center"/>
          </w:tcPr>
          <w:p w14:paraId="45A76C7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14:paraId="6349C2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6299FCBC">
            <w:pPr>
              <w:rPr>
                <w:rFonts w:ascii="黑体" w:hAnsi="黑体" w:eastAsia="黑体"/>
                <w:color w:val="auto"/>
                <w:szCs w:val="21"/>
              </w:rPr>
            </w:pPr>
          </w:p>
        </w:tc>
        <w:tc>
          <w:tcPr>
            <w:tcW w:w="1701" w:type="dxa"/>
            <w:vMerge w:val="continue"/>
            <w:noWrap w:val="0"/>
            <w:tcMar>
              <w:left w:w="108" w:type="dxa"/>
              <w:right w:w="108" w:type="dxa"/>
            </w:tcMar>
            <w:vAlign w:val="center"/>
          </w:tcPr>
          <w:p w14:paraId="4740B303">
            <w:pPr>
              <w:spacing w:line="200" w:lineRule="exact"/>
              <w:rPr>
                <w:rFonts w:ascii="黑体" w:hAnsi="黑体" w:eastAsia="黑体"/>
                <w:color w:val="auto"/>
                <w:szCs w:val="21"/>
              </w:rPr>
            </w:pPr>
          </w:p>
        </w:tc>
        <w:tc>
          <w:tcPr>
            <w:tcW w:w="2976" w:type="dxa"/>
            <w:noWrap w:val="0"/>
            <w:tcMar>
              <w:left w:w="108" w:type="dxa"/>
              <w:right w:w="108" w:type="dxa"/>
            </w:tcMar>
            <w:vAlign w:val="center"/>
          </w:tcPr>
          <w:p w14:paraId="1F21A8C2">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6.</w:t>
            </w:r>
            <w:bookmarkStart w:id="4" w:name="_Hlk66974555"/>
            <w:r>
              <w:rPr>
                <w:rFonts w:hint="eastAsia" w:ascii="仿宋_GB2312" w:hAnsi="黑体" w:eastAsia="仿宋_GB2312"/>
                <w:color w:val="auto"/>
                <w:kern w:val="0"/>
                <w:szCs w:val="21"/>
              </w:rPr>
              <w:t>属于四类过程性信息</w:t>
            </w:r>
            <w:bookmarkEnd w:id="4"/>
          </w:p>
        </w:tc>
        <w:tc>
          <w:tcPr>
            <w:tcW w:w="747" w:type="dxa"/>
            <w:noWrap w:val="0"/>
            <w:tcMar>
              <w:left w:w="108" w:type="dxa"/>
              <w:right w:w="108" w:type="dxa"/>
            </w:tcMar>
            <w:vAlign w:val="center"/>
          </w:tcPr>
          <w:p w14:paraId="4D4256A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5B18498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43A70BC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noWrap w:val="0"/>
            <w:tcMar>
              <w:left w:w="108" w:type="dxa"/>
              <w:right w:w="108" w:type="dxa"/>
            </w:tcMar>
            <w:vAlign w:val="center"/>
          </w:tcPr>
          <w:p w14:paraId="22F6DFD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noWrap w:val="0"/>
            <w:tcMar>
              <w:left w:w="108" w:type="dxa"/>
              <w:right w:w="108" w:type="dxa"/>
            </w:tcMar>
            <w:vAlign w:val="center"/>
          </w:tcPr>
          <w:p w14:paraId="13E8D3D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noWrap w:val="0"/>
            <w:tcMar>
              <w:left w:w="108" w:type="dxa"/>
              <w:right w:w="108" w:type="dxa"/>
            </w:tcMar>
            <w:vAlign w:val="center"/>
          </w:tcPr>
          <w:p w14:paraId="7D5E8E7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noWrap w:val="0"/>
            <w:tcMar>
              <w:left w:w="108" w:type="dxa"/>
              <w:right w:w="108" w:type="dxa"/>
            </w:tcMar>
            <w:vAlign w:val="center"/>
          </w:tcPr>
          <w:p w14:paraId="395D061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14:paraId="41C28C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269C6D9D">
            <w:pPr>
              <w:rPr>
                <w:rFonts w:ascii="黑体" w:hAnsi="黑体" w:eastAsia="黑体"/>
                <w:color w:val="auto"/>
                <w:szCs w:val="21"/>
              </w:rPr>
            </w:pPr>
          </w:p>
        </w:tc>
        <w:tc>
          <w:tcPr>
            <w:tcW w:w="1701" w:type="dxa"/>
            <w:vMerge w:val="continue"/>
            <w:noWrap w:val="0"/>
            <w:tcMar>
              <w:left w:w="108" w:type="dxa"/>
              <w:right w:w="108" w:type="dxa"/>
            </w:tcMar>
            <w:vAlign w:val="center"/>
          </w:tcPr>
          <w:p w14:paraId="4186FE83">
            <w:pPr>
              <w:spacing w:line="200" w:lineRule="exact"/>
              <w:rPr>
                <w:rFonts w:ascii="黑体" w:hAnsi="黑体" w:eastAsia="黑体"/>
                <w:color w:val="auto"/>
                <w:szCs w:val="21"/>
              </w:rPr>
            </w:pPr>
          </w:p>
        </w:tc>
        <w:tc>
          <w:tcPr>
            <w:tcW w:w="2976" w:type="dxa"/>
            <w:noWrap w:val="0"/>
            <w:tcMar>
              <w:left w:w="108" w:type="dxa"/>
              <w:right w:w="108" w:type="dxa"/>
            </w:tcMar>
            <w:vAlign w:val="center"/>
          </w:tcPr>
          <w:p w14:paraId="457E3682">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7.属于行政执法案卷</w:t>
            </w:r>
          </w:p>
        </w:tc>
        <w:tc>
          <w:tcPr>
            <w:tcW w:w="747" w:type="dxa"/>
            <w:noWrap w:val="0"/>
            <w:tcMar>
              <w:left w:w="108" w:type="dxa"/>
              <w:right w:w="108" w:type="dxa"/>
            </w:tcMar>
            <w:vAlign w:val="center"/>
          </w:tcPr>
          <w:p w14:paraId="0647233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3E2803F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709EC03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noWrap w:val="0"/>
            <w:tcMar>
              <w:left w:w="108" w:type="dxa"/>
              <w:right w:w="108" w:type="dxa"/>
            </w:tcMar>
            <w:vAlign w:val="center"/>
          </w:tcPr>
          <w:p w14:paraId="58D11C0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noWrap w:val="0"/>
            <w:tcMar>
              <w:left w:w="108" w:type="dxa"/>
              <w:right w:w="108" w:type="dxa"/>
            </w:tcMar>
            <w:vAlign w:val="center"/>
          </w:tcPr>
          <w:p w14:paraId="6F3448F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noWrap w:val="0"/>
            <w:tcMar>
              <w:left w:w="108" w:type="dxa"/>
              <w:right w:w="108" w:type="dxa"/>
            </w:tcMar>
            <w:vAlign w:val="center"/>
          </w:tcPr>
          <w:p w14:paraId="22A72CB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noWrap w:val="0"/>
            <w:tcMar>
              <w:left w:w="108" w:type="dxa"/>
              <w:right w:w="108" w:type="dxa"/>
            </w:tcMar>
            <w:vAlign w:val="center"/>
          </w:tcPr>
          <w:p w14:paraId="048C600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14:paraId="21C774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14808B1D">
            <w:pPr>
              <w:rPr>
                <w:rFonts w:ascii="黑体" w:hAnsi="黑体" w:eastAsia="黑体"/>
                <w:color w:val="auto"/>
                <w:szCs w:val="21"/>
              </w:rPr>
            </w:pPr>
          </w:p>
        </w:tc>
        <w:tc>
          <w:tcPr>
            <w:tcW w:w="1701" w:type="dxa"/>
            <w:vMerge w:val="continue"/>
            <w:noWrap w:val="0"/>
            <w:tcMar>
              <w:left w:w="108" w:type="dxa"/>
              <w:right w:w="108" w:type="dxa"/>
            </w:tcMar>
            <w:vAlign w:val="center"/>
          </w:tcPr>
          <w:p w14:paraId="07627A4A">
            <w:pPr>
              <w:spacing w:line="200" w:lineRule="exact"/>
              <w:rPr>
                <w:rFonts w:ascii="黑体" w:hAnsi="黑体" w:eastAsia="黑体"/>
                <w:color w:val="auto"/>
                <w:szCs w:val="21"/>
              </w:rPr>
            </w:pPr>
          </w:p>
        </w:tc>
        <w:tc>
          <w:tcPr>
            <w:tcW w:w="2976" w:type="dxa"/>
            <w:noWrap w:val="0"/>
            <w:tcMar>
              <w:left w:w="108" w:type="dxa"/>
              <w:right w:w="108" w:type="dxa"/>
            </w:tcMar>
            <w:vAlign w:val="center"/>
          </w:tcPr>
          <w:p w14:paraId="368947F9">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8.</w:t>
            </w:r>
            <w:bookmarkStart w:id="5" w:name="_Hlk66975211"/>
            <w:r>
              <w:rPr>
                <w:rFonts w:hint="eastAsia" w:ascii="仿宋_GB2312" w:hAnsi="黑体" w:eastAsia="仿宋_GB2312"/>
                <w:color w:val="auto"/>
                <w:kern w:val="0"/>
                <w:szCs w:val="21"/>
              </w:rPr>
              <w:t>属于行政查询事项</w:t>
            </w:r>
            <w:bookmarkEnd w:id="5"/>
          </w:p>
        </w:tc>
        <w:tc>
          <w:tcPr>
            <w:tcW w:w="747" w:type="dxa"/>
            <w:noWrap w:val="0"/>
            <w:tcMar>
              <w:left w:w="108" w:type="dxa"/>
              <w:right w:w="108" w:type="dxa"/>
            </w:tcMar>
            <w:vAlign w:val="center"/>
          </w:tcPr>
          <w:p w14:paraId="0E7CE03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6412EFA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12656D9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noWrap w:val="0"/>
            <w:tcMar>
              <w:left w:w="108" w:type="dxa"/>
              <w:right w:w="108" w:type="dxa"/>
            </w:tcMar>
            <w:vAlign w:val="center"/>
          </w:tcPr>
          <w:p w14:paraId="525DEE8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noWrap w:val="0"/>
            <w:tcMar>
              <w:left w:w="108" w:type="dxa"/>
              <w:right w:w="108" w:type="dxa"/>
            </w:tcMar>
            <w:vAlign w:val="center"/>
          </w:tcPr>
          <w:p w14:paraId="6121C15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noWrap w:val="0"/>
            <w:tcMar>
              <w:left w:w="108" w:type="dxa"/>
              <w:right w:w="108" w:type="dxa"/>
            </w:tcMar>
            <w:vAlign w:val="center"/>
          </w:tcPr>
          <w:p w14:paraId="72FE771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noWrap w:val="0"/>
            <w:tcMar>
              <w:left w:w="108" w:type="dxa"/>
              <w:right w:w="108" w:type="dxa"/>
            </w:tcMar>
            <w:vAlign w:val="center"/>
          </w:tcPr>
          <w:p w14:paraId="23DC61D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14:paraId="15E180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440E2D17">
            <w:pPr>
              <w:rPr>
                <w:rFonts w:ascii="黑体" w:hAnsi="黑体" w:eastAsia="黑体"/>
                <w:color w:val="auto"/>
                <w:szCs w:val="21"/>
              </w:rPr>
            </w:pPr>
          </w:p>
        </w:tc>
        <w:tc>
          <w:tcPr>
            <w:tcW w:w="1701" w:type="dxa"/>
            <w:vMerge w:val="restart"/>
            <w:noWrap w:val="0"/>
            <w:tcMar>
              <w:left w:w="108" w:type="dxa"/>
              <w:right w:w="108" w:type="dxa"/>
            </w:tcMar>
            <w:vAlign w:val="center"/>
          </w:tcPr>
          <w:p w14:paraId="255B9CFE">
            <w:pPr>
              <w:widowControl/>
              <w:spacing w:line="200" w:lineRule="exact"/>
              <w:ind w:left="-107" w:leftChars="-51"/>
              <w:rPr>
                <w:rFonts w:ascii="黑体" w:hAnsi="黑体" w:eastAsia="黑体"/>
                <w:color w:val="auto"/>
                <w:szCs w:val="21"/>
              </w:rPr>
            </w:pPr>
            <w:r>
              <w:rPr>
                <w:rFonts w:hint="eastAsia" w:ascii="黑体" w:hAnsi="黑体" w:eastAsia="黑体"/>
                <w:color w:val="auto"/>
                <w:kern w:val="0"/>
                <w:szCs w:val="21"/>
              </w:rPr>
              <w:t>（四）无法提供</w:t>
            </w:r>
          </w:p>
        </w:tc>
        <w:tc>
          <w:tcPr>
            <w:tcW w:w="2976" w:type="dxa"/>
            <w:noWrap w:val="0"/>
            <w:tcMar>
              <w:left w:w="108" w:type="dxa"/>
              <w:right w:w="108" w:type="dxa"/>
            </w:tcMar>
            <w:vAlign w:val="center"/>
          </w:tcPr>
          <w:p w14:paraId="17770C89">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1.本机关不掌握相关政府信息</w:t>
            </w:r>
          </w:p>
        </w:tc>
        <w:tc>
          <w:tcPr>
            <w:tcW w:w="747" w:type="dxa"/>
            <w:noWrap w:val="0"/>
            <w:tcMar>
              <w:left w:w="108" w:type="dxa"/>
              <w:right w:w="108" w:type="dxa"/>
            </w:tcMar>
            <w:vAlign w:val="center"/>
          </w:tcPr>
          <w:p w14:paraId="73E4B86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1FA2DA4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37E8C71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noWrap w:val="0"/>
            <w:tcMar>
              <w:left w:w="108" w:type="dxa"/>
              <w:right w:w="108" w:type="dxa"/>
            </w:tcMar>
            <w:vAlign w:val="center"/>
          </w:tcPr>
          <w:p w14:paraId="3F06AEE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noWrap w:val="0"/>
            <w:tcMar>
              <w:left w:w="108" w:type="dxa"/>
              <w:right w:w="108" w:type="dxa"/>
            </w:tcMar>
            <w:vAlign w:val="center"/>
          </w:tcPr>
          <w:p w14:paraId="11E13B5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noWrap w:val="0"/>
            <w:tcMar>
              <w:left w:w="108" w:type="dxa"/>
              <w:right w:w="108" w:type="dxa"/>
            </w:tcMar>
            <w:vAlign w:val="center"/>
          </w:tcPr>
          <w:p w14:paraId="141B55F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noWrap w:val="0"/>
            <w:tcMar>
              <w:left w:w="108" w:type="dxa"/>
              <w:right w:w="108" w:type="dxa"/>
            </w:tcMar>
            <w:vAlign w:val="center"/>
          </w:tcPr>
          <w:p w14:paraId="1FF47F9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14:paraId="0EE873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74A76184">
            <w:pPr>
              <w:rPr>
                <w:rFonts w:ascii="黑体" w:hAnsi="黑体" w:eastAsia="黑体"/>
                <w:color w:val="auto"/>
                <w:szCs w:val="21"/>
              </w:rPr>
            </w:pPr>
          </w:p>
        </w:tc>
        <w:tc>
          <w:tcPr>
            <w:tcW w:w="1701" w:type="dxa"/>
            <w:vMerge w:val="continue"/>
            <w:noWrap w:val="0"/>
            <w:tcMar>
              <w:left w:w="108" w:type="dxa"/>
              <w:right w:w="108" w:type="dxa"/>
            </w:tcMar>
            <w:vAlign w:val="center"/>
          </w:tcPr>
          <w:p w14:paraId="30E39EA7">
            <w:pPr>
              <w:spacing w:line="200" w:lineRule="exact"/>
              <w:ind w:left="-107" w:leftChars="-51"/>
              <w:rPr>
                <w:rFonts w:ascii="黑体" w:hAnsi="黑体" w:eastAsia="黑体"/>
                <w:color w:val="auto"/>
                <w:szCs w:val="21"/>
              </w:rPr>
            </w:pPr>
          </w:p>
        </w:tc>
        <w:tc>
          <w:tcPr>
            <w:tcW w:w="2976" w:type="dxa"/>
            <w:noWrap w:val="0"/>
            <w:tcMar>
              <w:left w:w="108" w:type="dxa"/>
              <w:right w:w="108" w:type="dxa"/>
            </w:tcMar>
            <w:vAlign w:val="center"/>
          </w:tcPr>
          <w:p w14:paraId="7D991A0C">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2.</w:t>
            </w:r>
            <w:bookmarkStart w:id="6" w:name="_Hlk66975392"/>
            <w:r>
              <w:rPr>
                <w:rFonts w:hint="eastAsia" w:ascii="仿宋_GB2312" w:hAnsi="黑体" w:eastAsia="仿宋_GB2312"/>
                <w:color w:val="auto"/>
                <w:kern w:val="0"/>
                <w:szCs w:val="21"/>
              </w:rPr>
              <w:t>没有现成信息需要另行制作</w:t>
            </w:r>
            <w:bookmarkEnd w:id="6"/>
          </w:p>
        </w:tc>
        <w:tc>
          <w:tcPr>
            <w:tcW w:w="747" w:type="dxa"/>
            <w:noWrap w:val="0"/>
            <w:tcMar>
              <w:left w:w="108" w:type="dxa"/>
              <w:right w:w="108" w:type="dxa"/>
            </w:tcMar>
            <w:vAlign w:val="center"/>
          </w:tcPr>
          <w:p w14:paraId="2B33826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5FD1D54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763E962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noWrap w:val="0"/>
            <w:tcMar>
              <w:left w:w="108" w:type="dxa"/>
              <w:right w:w="108" w:type="dxa"/>
            </w:tcMar>
            <w:vAlign w:val="center"/>
          </w:tcPr>
          <w:p w14:paraId="706CD2F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noWrap w:val="0"/>
            <w:tcMar>
              <w:left w:w="108" w:type="dxa"/>
              <w:right w:w="108" w:type="dxa"/>
            </w:tcMar>
            <w:vAlign w:val="center"/>
          </w:tcPr>
          <w:p w14:paraId="4BAC09D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noWrap w:val="0"/>
            <w:tcMar>
              <w:left w:w="108" w:type="dxa"/>
              <w:right w:w="108" w:type="dxa"/>
            </w:tcMar>
            <w:vAlign w:val="center"/>
          </w:tcPr>
          <w:p w14:paraId="51E740D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noWrap w:val="0"/>
            <w:tcMar>
              <w:left w:w="108" w:type="dxa"/>
              <w:right w:w="108" w:type="dxa"/>
            </w:tcMar>
            <w:vAlign w:val="center"/>
          </w:tcPr>
          <w:p w14:paraId="40700C8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14:paraId="10434F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5D8A02F3">
            <w:pPr>
              <w:rPr>
                <w:rFonts w:ascii="黑体" w:hAnsi="黑体" w:eastAsia="黑体"/>
                <w:color w:val="auto"/>
                <w:szCs w:val="21"/>
              </w:rPr>
            </w:pPr>
          </w:p>
        </w:tc>
        <w:tc>
          <w:tcPr>
            <w:tcW w:w="1701" w:type="dxa"/>
            <w:vMerge w:val="continue"/>
            <w:noWrap w:val="0"/>
            <w:tcMar>
              <w:left w:w="108" w:type="dxa"/>
              <w:right w:w="108" w:type="dxa"/>
            </w:tcMar>
            <w:vAlign w:val="center"/>
          </w:tcPr>
          <w:p w14:paraId="1CCF48C4">
            <w:pPr>
              <w:spacing w:line="200" w:lineRule="exact"/>
              <w:ind w:left="-107" w:leftChars="-51"/>
              <w:rPr>
                <w:rFonts w:ascii="黑体" w:hAnsi="黑体" w:eastAsia="黑体"/>
                <w:color w:val="auto"/>
                <w:szCs w:val="21"/>
              </w:rPr>
            </w:pPr>
          </w:p>
        </w:tc>
        <w:tc>
          <w:tcPr>
            <w:tcW w:w="2976" w:type="dxa"/>
            <w:noWrap w:val="0"/>
            <w:tcMar>
              <w:left w:w="108" w:type="dxa"/>
              <w:right w:w="108" w:type="dxa"/>
            </w:tcMar>
            <w:vAlign w:val="center"/>
          </w:tcPr>
          <w:p w14:paraId="71BDF9C0">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3.</w:t>
            </w:r>
            <w:bookmarkStart w:id="7" w:name="_Hlk66975466"/>
            <w:r>
              <w:rPr>
                <w:rFonts w:hint="eastAsia" w:ascii="仿宋_GB2312" w:hAnsi="黑体" w:eastAsia="仿宋_GB2312"/>
                <w:color w:val="auto"/>
                <w:kern w:val="0"/>
                <w:szCs w:val="21"/>
              </w:rPr>
              <w:t>补正后申请内容仍不明确</w:t>
            </w:r>
            <w:bookmarkEnd w:id="7"/>
          </w:p>
        </w:tc>
        <w:tc>
          <w:tcPr>
            <w:tcW w:w="747" w:type="dxa"/>
            <w:noWrap w:val="0"/>
            <w:tcMar>
              <w:left w:w="108" w:type="dxa"/>
              <w:right w:w="108" w:type="dxa"/>
            </w:tcMar>
            <w:vAlign w:val="center"/>
          </w:tcPr>
          <w:p w14:paraId="6EE444D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08B5007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02F7020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noWrap w:val="0"/>
            <w:tcMar>
              <w:left w:w="108" w:type="dxa"/>
              <w:right w:w="108" w:type="dxa"/>
            </w:tcMar>
            <w:vAlign w:val="center"/>
          </w:tcPr>
          <w:p w14:paraId="542CF08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noWrap w:val="0"/>
            <w:tcMar>
              <w:left w:w="108" w:type="dxa"/>
              <w:right w:w="108" w:type="dxa"/>
            </w:tcMar>
            <w:vAlign w:val="center"/>
          </w:tcPr>
          <w:p w14:paraId="6D2ECFB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noWrap w:val="0"/>
            <w:tcMar>
              <w:left w:w="108" w:type="dxa"/>
              <w:right w:w="108" w:type="dxa"/>
            </w:tcMar>
            <w:vAlign w:val="center"/>
          </w:tcPr>
          <w:p w14:paraId="3537D93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noWrap w:val="0"/>
            <w:tcMar>
              <w:left w:w="108" w:type="dxa"/>
              <w:right w:w="108" w:type="dxa"/>
            </w:tcMar>
            <w:vAlign w:val="center"/>
          </w:tcPr>
          <w:p w14:paraId="1A95BAF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14:paraId="72C5AD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28B42EEE">
            <w:pPr>
              <w:rPr>
                <w:rFonts w:ascii="黑体" w:hAnsi="黑体" w:eastAsia="黑体"/>
                <w:color w:val="auto"/>
                <w:szCs w:val="21"/>
              </w:rPr>
            </w:pPr>
          </w:p>
        </w:tc>
        <w:tc>
          <w:tcPr>
            <w:tcW w:w="1701" w:type="dxa"/>
            <w:vMerge w:val="restart"/>
            <w:noWrap w:val="0"/>
            <w:tcMar>
              <w:left w:w="108" w:type="dxa"/>
              <w:right w:w="108" w:type="dxa"/>
            </w:tcMar>
            <w:vAlign w:val="center"/>
          </w:tcPr>
          <w:p w14:paraId="62191B36">
            <w:pPr>
              <w:widowControl/>
              <w:spacing w:line="200" w:lineRule="exact"/>
              <w:ind w:left="-107" w:leftChars="-51"/>
              <w:rPr>
                <w:rFonts w:ascii="黑体" w:hAnsi="黑体" w:eastAsia="黑体"/>
                <w:color w:val="auto"/>
                <w:szCs w:val="21"/>
              </w:rPr>
            </w:pPr>
            <w:r>
              <w:rPr>
                <w:rFonts w:hint="eastAsia" w:ascii="黑体" w:hAnsi="黑体" w:eastAsia="黑体"/>
                <w:color w:val="auto"/>
                <w:kern w:val="0"/>
                <w:szCs w:val="21"/>
              </w:rPr>
              <w:t>（五）不予处理</w:t>
            </w:r>
          </w:p>
        </w:tc>
        <w:tc>
          <w:tcPr>
            <w:tcW w:w="2976" w:type="dxa"/>
            <w:noWrap w:val="0"/>
            <w:tcMar>
              <w:left w:w="108" w:type="dxa"/>
              <w:right w:w="108" w:type="dxa"/>
            </w:tcMar>
            <w:vAlign w:val="center"/>
          </w:tcPr>
          <w:p w14:paraId="611C7FBA">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1.</w:t>
            </w:r>
            <w:bookmarkStart w:id="8" w:name="_Hlk66975537"/>
            <w:r>
              <w:rPr>
                <w:rFonts w:hint="eastAsia" w:ascii="仿宋_GB2312" w:hAnsi="黑体" w:eastAsia="仿宋_GB2312"/>
                <w:color w:val="auto"/>
                <w:kern w:val="0"/>
                <w:szCs w:val="21"/>
              </w:rPr>
              <w:t>信访举报投诉类申请</w:t>
            </w:r>
            <w:bookmarkEnd w:id="8"/>
          </w:p>
        </w:tc>
        <w:tc>
          <w:tcPr>
            <w:tcW w:w="747" w:type="dxa"/>
            <w:noWrap w:val="0"/>
            <w:tcMar>
              <w:left w:w="108" w:type="dxa"/>
              <w:right w:w="108" w:type="dxa"/>
            </w:tcMar>
            <w:vAlign w:val="center"/>
          </w:tcPr>
          <w:p w14:paraId="26FC8F0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3EFC948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0CC6BBE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noWrap w:val="0"/>
            <w:tcMar>
              <w:left w:w="108" w:type="dxa"/>
              <w:right w:w="108" w:type="dxa"/>
            </w:tcMar>
            <w:vAlign w:val="center"/>
          </w:tcPr>
          <w:p w14:paraId="12A1BE7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noWrap w:val="0"/>
            <w:tcMar>
              <w:left w:w="108" w:type="dxa"/>
              <w:right w:w="108" w:type="dxa"/>
            </w:tcMar>
            <w:vAlign w:val="center"/>
          </w:tcPr>
          <w:p w14:paraId="138647F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noWrap w:val="0"/>
            <w:tcMar>
              <w:left w:w="108" w:type="dxa"/>
              <w:right w:w="108" w:type="dxa"/>
            </w:tcMar>
            <w:vAlign w:val="center"/>
          </w:tcPr>
          <w:p w14:paraId="7EEF505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noWrap w:val="0"/>
            <w:tcMar>
              <w:left w:w="108" w:type="dxa"/>
              <w:right w:w="108" w:type="dxa"/>
            </w:tcMar>
            <w:vAlign w:val="center"/>
          </w:tcPr>
          <w:p w14:paraId="4D450FD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14:paraId="63BA25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7DFB5499">
            <w:pPr>
              <w:rPr>
                <w:rFonts w:ascii="黑体" w:hAnsi="黑体" w:eastAsia="黑体"/>
                <w:color w:val="auto"/>
                <w:szCs w:val="21"/>
              </w:rPr>
            </w:pPr>
          </w:p>
        </w:tc>
        <w:tc>
          <w:tcPr>
            <w:tcW w:w="1701" w:type="dxa"/>
            <w:vMerge w:val="continue"/>
            <w:noWrap w:val="0"/>
            <w:tcMar>
              <w:left w:w="108" w:type="dxa"/>
              <w:right w:w="108" w:type="dxa"/>
            </w:tcMar>
            <w:vAlign w:val="center"/>
          </w:tcPr>
          <w:p w14:paraId="7F6ABB86">
            <w:pPr>
              <w:spacing w:line="200" w:lineRule="exact"/>
              <w:rPr>
                <w:rFonts w:ascii="黑体" w:hAnsi="黑体" w:eastAsia="黑体"/>
                <w:color w:val="auto"/>
                <w:szCs w:val="21"/>
              </w:rPr>
            </w:pPr>
          </w:p>
        </w:tc>
        <w:tc>
          <w:tcPr>
            <w:tcW w:w="2976" w:type="dxa"/>
            <w:noWrap w:val="0"/>
            <w:tcMar>
              <w:left w:w="108" w:type="dxa"/>
              <w:right w:w="108" w:type="dxa"/>
            </w:tcMar>
            <w:vAlign w:val="center"/>
          </w:tcPr>
          <w:p w14:paraId="775A7087">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2.重复申请</w:t>
            </w:r>
          </w:p>
        </w:tc>
        <w:tc>
          <w:tcPr>
            <w:tcW w:w="747" w:type="dxa"/>
            <w:noWrap w:val="0"/>
            <w:tcMar>
              <w:left w:w="108" w:type="dxa"/>
              <w:right w:w="108" w:type="dxa"/>
            </w:tcMar>
            <w:vAlign w:val="center"/>
          </w:tcPr>
          <w:p w14:paraId="365C657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6C874AA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1AC3F56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noWrap w:val="0"/>
            <w:tcMar>
              <w:left w:w="108" w:type="dxa"/>
              <w:right w:w="108" w:type="dxa"/>
            </w:tcMar>
            <w:vAlign w:val="center"/>
          </w:tcPr>
          <w:p w14:paraId="3CDD5CC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noWrap w:val="0"/>
            <w:tcMar>
              <w:left w:w="108" w:type="dxa"/>
              <w:right w:w="108" w:type="dxa"/>
            </w:tcMar>
            <w:vAlign w:val="center"/>
          </w:tcPr>
          <w:p w14:paraId="7502695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noWrap w:val="0"/>
            <w:tcMar>
              <w:left w:w="108" w:type="dxa"/>
              <w:right w:w="108" w:type="dxa"/>
            </w:tcMar>
            <w:vAlign w:val="center"/>
          </w:tcPr>
          <w:p w14:paraId="7D6677F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noWrap w:val="0"/>
            <w:tcMar>
              <w:left w:w="108" w:type="dxa"/>
              <w:right w:w="108" w:type="dxa"/>
            </w:tcMar>
            <w:vAlign w:val="center"/>
          </w:tcPr>
          <w:p w14:paraId="24BA3BB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14:paraId="4E8AE4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4406100A">
            <w:pPr>
              <w:rPr>
                <w:rFonts w:ascii="黑体" w:hAnsi="黑体" w:eastAsia="黑体"/>
                <w:color w:val="auto"/>
                <w:szCs w:val="21"/>
              </w:rPr>
            </w:pPr>
          </w:p>
        </w:tc>
        <w:tc>
          <w:tcPr>
            <w:tcW w:w="1701" w:type="dxa"/>
            <w:vMerge w:val="continue"/>
            <w:noWrap w:val="0"/>
            <w:tcMar>
              <w:left w:w="108" w:type="dxa"/>
              <w:right w:w="108" w:type="dxa"/>
            </w:tcMar>
            <w:vAlign w:val="center"/>
          </w:tcPr>
          <w:p w14:paraId="2428ECB7">
            <w:pPr>
              <w:spacing w:line="200" w:lineRule="exact"/>
              <w:rPr>
                <w:rFonts w:ascii="黑体" w:hAnsi="黑体" w:eastAsia="黑体"/>
                <w:color w:val="auto"/>
                <w:szCs w:val="21"/>
              </w:rPr>
            </w:pPr>
          </w:p>
        </w:tc>
        <w:tc>
          <w:tcPr>
            <w:tcW w:w="2976" w:type="dxa"/>
            <w:noWrap w:val="0"/>
            <w:tcMar>
              <w:left w:w="108" w:type="dxa"/>
              <w:right w:w="108" w:type="dxa"/>
            </w:tcMar>
            <w:vAlign w:val="center"/>
          </w:tcPr>
          <w:p w14:paraId="1F36F27E">
            <w:pPr>
              <w:widowControl/>
              <w:spacing w:line="200" w:lineRule="exact"/>
              <w:rPr>
                <w:rFonts w:ascii="仿宋_GB2312" w:hAnsi="黑体" w:eastAsia="仿宋_GB2312"/>
                <w:color w:val="auto"/>
                <w:szCs w:val="21"/>
              </w:rPr>
            </w:pPr>
            <w:r>
              <w:rPr>
                <w:rFonts w:hint="eastAsia" w:ascii="仿宋_GB2312" w:hAnsi="黑体" w:eastAsia="仿宋_GB2312"/>
                <w:color w:val="auto"/>
                <w:kern w:val="0"/>
                <w:szCs w:val="21"/>
              </w:rPr>
              <w:t>3.要求提供公开出版物</w:t>
            </w:r>
          </w:p>
        </w:tc>
        <w:tc>
          <w:tcPr>
            <w:tcW w:w="747" w:type="dxa"/>
            <w:noWrap w:val="0"/>
            <w:tcMar>
              <w:left w:w="108" w:type="dxa"/>
              <w:right w:w="108" w:type="dxa"/>
            </w:tcMar>
            <w:vAlign w:val="center"/>
          </w:tcPr>
          <w:p w14:paraId="74AB41B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2E8F00E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5787F60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noWrap w:val="0"/>
            <w:tcMar>
              <w:left w:w="108" w:type="dxa"/>
              <w:right w:w="108" w:type="dxa"/>
            </w:tcMar>
            <w:vAlign w:val="center"/>
          </w:tcPr>
          <w:p w14:paraId="12A4D8D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noWrap w:val="0"/>
            <w:tcMar>
              <w:left w:w="108" w:type="dxa"/>
              <w:right w:w="108" w:type="dxa"/>
            </w:tcMar>
            <w:vAlign w:val="center"/>
          </w:tcPr>
          <w:p w14:paraId="65AE81B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noWrap w:val="0"/>
            <w:tcMar>
              <w:left w:w="108" w:type="dxa"/>
              <w:right w:w="108" w:type="dxa"/>
            </w:tcMar>
            <w:vAlign w:val="center"/>
          </w:tcPr>
          <w:p w14:paraId="05FD89D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noWrap w:val="0"/>
            <w:tcMar>
              <w:left w:w="108" w:type="dxa"/>
              <w:right w:w="108" w:type="dxa"/>
            </w:tcMar>
            <w:vAlign w:val="center"/>
          </w:tcPr>
          <w:p w14:paraId="6D671D2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14:paraId="3D6742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noWrap w:val="0"/>
            <w:tcMar>
              <w:left w:w="108" w:type="dxa"/>
              <w:right w:w="108" w:type="dxa"/>
            </w:tcMar>
            <w:vAlign w:val="center"/>
          </w:tcPr>
          <w:p w14:paraId="5E58A0E9">
            <w:pPr>
              <w:rPr>
                <w:rFonts w:ascii="黑体" w:hAnsi="黑体" w:eastAsia="黑体"/>
                <w:color w:val="auto"/>
                <w:szCs w:val="21"/>
              </w:rPr>
            </w:pPr>
          </w:p>
        </w:tc>
        <w:tc>
          <w:tcPr>
            <w:tcW w:w="1701" w:type="dxa"/>
            <w:vMerge w:val="continue"/>
            <w:noWrap w:val="0"/>
            <w:tcMar>
              <w:left w:w="108" w:type="dxa"/>
              <w:right w:w="108" w:type="dxa"/>
            </w:tcMar>
            <w:vAlign w:val="center"/>
          </w:tcPr>
          <w:p w14:paraId="75BF3C54">
            <w:pPr>
              <w:spacing w:line="200" w:lineRule="exact"/>
              <w:rPr>
                <w:rFonts w:ascii="黑体" w:hAnsi="黑体" w:eastAsia="黑体"/>
                <w:color w:val="auto"/>
                <w:szCs w:val="21"/>
              </w:rPr>
            </w:pPr>
          </w:p>
        </w:tc>
        <w:tc>
          <w:tcPr>
            <w:tcW w:w="2976" w:type="dxa"/>
            <w:noWrap w:val="0"/>
            <w:tcMar>
              <w:left w:w="108" w:type="dxa"/>
              <w:right w:w="108" w:type="dxa"/>
            </w:tcMar>
            <w:vAlign w:val="center"/>
          </w:tcPr>
          <w:p w14:paraId="35A3D48B">
            <w:pPr>
              <w:widowControl/>
              <w:spacing w:line="200" w:lineRule="exact"/>
              <w:rPr>
                <w:rFonts w:ascii="仿宋_GB2312" w:hAnsi="黑体" w:eastAsia="仿宋_GB2312"/>
                <w:color w:val="auto"/>
                <w:szCs w:val="21"/>
              </w:rPr>
            </w:pPr>
            <w:r>
              <w:rPr>
                <w:rFonts w:hint="eastAsia" w:ascii="仿宋_GB2312" w:hAnsi="黑体" w:eastAsia="仿宋_GB2312"/>
                <w:color w:val="auto"/>
                <w:kern w:val="0"/>
                <w:szCs w:val="21"/>
              </w:rPr>
              <w:t>4.无正当理由大量反复申请</w:t>
            </w:r>
          </w:p>
        </w:tc>
        <w:tc>
          <w:tcPr>
            <w:tcW w:w="747" w:type="dxa"/>
            <w:noWrap w:val="0"/>
            <w:tcMar>
              <w:left w:w="108" w:type="dxa"/>
              <w:right w:w="108" w:type="dxa"/>
            </w:tcMar>
            <w:vAlign w:val="center"/>
          </w:tcPr>
          <w:p w14:paraId="6EF0CD7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40E93F3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340DFC0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noWrap w:val="0"/>
            <w:tcMar>
              <w:left w:w="108" w:type="dxa"/>
              <w:right w:w="108" w:type="dxa"/>
            </w:tcMar>
            <w:vAlign w:val="center"/>
          </w:tcPr>
          <w:p w14:paraId="78C666D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noWrap w:val="0"/>
            <w:tcMar>
              <w:left w:w="108" w:type="dxa"/>
              <w:right w:w="108" w:type="dxa"/>
            </w:tcMar>
            <w:vAlign w:val="center"/>
          </w:tcPr>
          <w:p w14:paraId="0874F31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noWrap w:val="0"/>
            <w:tcMar>
              <w:left w:w="108" w:type="dxa"/>
              <w:right w:w="108" w:type="dxa"/>
            </w:tcMar>
            <w:vAlign w:val="center"/>
          </w:tcPr>
          <w:p w14:paraId="77ADBC1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noWrap w:val="0"/>
            <w:tcMar>
              <w:left w:w="108" w:type="dxa"/>
              <w:right w:w="108" w:type="dxa"/>
            </w:tcMar>
            <w:vAlign w:val="center"/>
          </w:tcPr>
          <w:p w14:paraId="3BD26A3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14:paraId="226C96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7C889978">
            <w:pPr>
              <w:rPr>
                <w:rFonts w:ascii="黑体" w:hAnsi="黑体" w:eastAsia="黑体"/>
                <w:color w:val="auto"/>
                <w:szCs w:val="21"/>
              </w:rPr>
            </w:pPr>
          </w:p>
        </w:tc>
        <w:tc>
          <w:tcPr>
            <w:tcW w:w="1701" w:type="dxa"/>
            <w:vMerge w:val="continue"/>
            <w:noWrap w:val="0"/>
            <w:tcMar>
              <w:left w:w="108" w:type="dxa"/>
              <w:right w:w="108" w:type="dxa"/>
            </w:tcMar>
            <w:vAlign w:val="center"/>
          </w:tcPr>
          <w:p w14:paraId="004EC69D">
            <w:pPr>
              <w:spacing w:line="200" w:lineRule="exact"/>
              <w:rPr>
                <w:rFonts w:ascii="黑体" w:hAnsi="黑体" w:eastAsia="黑体"/>
                <w:color w:val="auto"/>
                <w:szCs w:val="21"/>
              </w:rPr>
            </w:pPr>
          </w:p>
        </w:tc>
        <w:tc>
          <w:tcPr>
            <w:tcW w:w="2976" w:type="dxa"/>
            <w:noWrap w:val="0"/>
            <w:tcMar>
              <w:left w:w="108" w:type="dxa"/>
              <w:right w:w="108" w:type="dxa"/>
            </w:tcMar>
            <w:vAlign w:val="center"/>
          </w:tcPr>
          <w:p w14:paraId="7C1B75DE">
            <w:pPr>
              <w:widowControl/>
              <w:spacing w:line="300" w:lineRule="exact"/>
              <w:rPr>
                <w:rFonts w:ascii="仿宋_GB2312" w:hAnsi="黑体" w:eastAsia="仿宋_GB2312"/>
                <w:color w:val="auto"/>
                <w:kern w:val="0"/>
                <w:szCs w:val="21"/>
              </w:rPr>
            </w:pPr>
            <w:r>
              <w:rPr>
                <w:rFonts w:hint="eastAsia" w:ascii="仿宋_GB2312" w:hAnsi="黑体" w:eastAsia="仿宋_GB2312"/>
                <w:color w:val="auto"/>
                <w:kern w:val="0"/>
                <w:szCs w:val="21"/>
              </w:rPr>
              <w:t>5.要求行政机关确认或重新</w:t>
            </w:r>
          </w:p>
          <w:p w14:paraId="47E76E58">
            <w:pPr>
              <w:widowControl/>
              <w:spacing w:line="300" w:lineRule="exact"/>
              <w:ind w:firstLine="210" w:firstLineChars="100"/>
              <w:rPr>
                <w:rFonts w:ascii="仿宋_GB2312" w:hAnsi="黑体" w:eastAsia="仿宋_GB2312"/>
                <w:color w:val="auto"/>
                <w:szCs w:val="21"/>
              </w:rPr>
            </w:pPr>
            <w:r>
              <w:rPr>
                <w:rFonts w:hint="eastAsia" w:ascii="仿宋_GB2312" w:hAnsi="黑体" w:eastAsia="仿宋_GB2312"/>
                <w:color w:val="auto"/>
                <w:kern w:val="0"/>
                <w:szCs w:val="21"/>
              </w:rPr>
              <w:t>出具已获取信息</w:t>
            </w:r>
          </w:p>
        </w:tc>
        <w:tc>
          <w:tcPr>
            <w:tcW w:w="747" w:type="dxa"/>
            <w:noWrap w:val="0"/>
            <w:tcMar>
              <w:left w:w="108" w:type="dxa"/>
              <w:right w:w="108" w:type="dxa"/>
            </w:tcMar>
            <w:vAlign w:val="center"/>
          </w:tcPr>
          <w:p w14:paraId="57F343E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49FB2DF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7533F47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noWrap w:val="0"/>
            <w:tcMar>
              <w:left w:w="108" w:type="dxa"/>
              <w:right w:w="108" w:type="dxa"/>
            </w:tcMar>
            <w:vAlign w:val="center"/>
          </w:tcPr>
          <w:p w14:paraId="1AB5767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noWrap w:val="0"/>
            <w:tcMar>
              <w:left w:w="108" w:type="dxa"/>
              <w:right w:w="108" w:type="dxa"/>
            </w:tcMar>
            <w:vAlign w:val="center"/>
          </w:tcPr>
          <w:p w14:paraId="7F41823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noWrap w:val="0"/>
            <w:tcMar>
              <w:left w:w="108" w:type="dxa"/>
              <w:right w:w="108" w:type="dxa"/>
            </w:tcMar>
            <w:vAlign w:val="center"/>
          </w:tcPr>
          <w:p w14:paraId="6095BD8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noWrap w:val="0"/>
            <w:tcMar>
              <w:left w:w="108" w:type="dxa"/>
              <w:right w:w="108" w:type="dxa"/>
            </w:tcMar>
            <w:vAlign w:val="center"/>
          </w:tcPr>
          <w:p w14:paraId="577A329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14:paraId="2E68F8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6156C97D">
            <w:pPr>
              <w:rPr>
                <w:rFonts w:ascii="黑体" w:hAnsi="黑体" w:eastAsia="黑体"/>
                <w:color w:val="auto"/>
                <w:szCs w:val="21"/>
              </w:rPr>
            </w:pPr>
          </w:p>
        </w:tc>
        <w:tc>
          <w:tcPr>
            <w:tcW w:w="1701" w:type="dxa"/>
            <w:vMerge w:val="restart"/>
            <w:noWrap w:val="0"/>
            <w:tcMar>
              <w:left w:w="108" w:type="dxa"/>
              <w:right w:w="108" w:type="dxa"/>
            </w:tcMar>
            <w:vAlign w:val="center"/>
          </w:tcPr>
          <w:p w14:paraId="0DC53FCC">
            <w:pPr>
              <w:widowControl/>
              <w:spacing w:line="300" w:lineRule="exact"/>
              <w:rPr>
                <w:rFonts w:ascii="黑体" w:hAnsi="黑体" w:eastAsia="黑体"/>
                <w:color w:val="auto"/>
                <w:kern w:val="0"/>
                <w:szCs w:val="21"/>
              </w:rPr>
            </w:pPr>
            <w:r>
              <w:rPr>
                <w:rFonts w:hint="eastAsia" w:ascii="黑体" w:hAnsi="黑体" w:eastAsia="黑体"/>
                <w:color w:val="auto"/>
                <w:kern w:val="0"/>
                <w:szCs w:val="21"/>
              </w:rPr>
              <w:t>（六）其他处理</w:t>
            </w:r>
          </w:p>
        </w:tc>
        <w:tc>
          <w:tcPr>
            <w:tcW w:w="2976" w:type="dxa"/>
            <w:noWrap w:val="0"/>
            <w:vAlign w:val="center"/>
          </w:tcPr>
          <w:p w14:paraId="4D681845">
            <w:pPr>
              <w:widowControl/>
              <w:spacing w:line="300" w:lineRule="exact"/>
              <w:rPr>
                <w:rFonts w:ascii="仿宋_GB2312" w:hAnsi="楷体" w:eastAsia="仿宋_GB2312"/>
                <w:color w:val="auto"/>
              </w:rPr>
            </w:pPr>
            <w:r>
              <w:rPr>
                <w:rFonts w:hint="eastAsia" w:ascii="仿宋_GB2312" w:hAnsi="楷体" w:eastAsia="仿宋_GB2312"/>
                <w:color w:val="auto"/>
              </w:rPr>
              <w:t>1.申请人无正当理由逾期不补正、行政机关不再处理其政府信息公开申请</w:t>
            </w:r>
          </w:p>
        </w:tc>
        <w:tc>
          <w:tcPr>
            <w:tcW w:w="747" w:type="dxa"/>
            <w:noWrap w:val="0"/>
            <w:tcMar>
              <w:left w:w="108" w:type="dxa"/>
              <w:right w:w="108" w:type="dxa"/>
            </w:tcMar>
            <w:vAlign w:val="center"/>
          </w:tcPr>
          <w:p w14:paraId="5187025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278B8B7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0E9BD3D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noWrap w:val="0"/>
            <w:tcMar>
              <w:left w:w="108" w:type="dxa"/>
              <w:right w:w="108" w:type="dxa"/>
            </w:tcMar>
            <w:vAlign w:val="center"/>
          </w:tcPr>
          <w:p w14:paraId="5C92322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noWrap w:val="0"/>
            <w:tcMar>
              <w:left w:w="108" w:type="dxa"/>
              <w:right w:w="108" w:type="dxa"/>
            </w:tcMar>
            <w:vAlign w:val="center"/>
          </w:tcPr>
          <w:p w14:paraId="5F0B9EA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noWrap w:val="0"/>
            <w:tcMar>
              <w:left w:w="108" w:type="dxa"/>
              <w:right w:w="108" w:type="dxa"/>
            </w:tcMar>
            <w:vAlign w:val="center"/>
          </w:tcPr>
          <w:p w14:paraId="583CEFF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noWrap w:val="0"/>
            <w:tcMar>
              <w:left w:w="108" w:type="dxa"/>
              <w:right w:w="108" w:type="dxa"/>
            </w:tcMar>
            <w:vAlign w:val="center"/>
          </w:tcPr>
          <w:p w14:paraId="7BDB94C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14:paraId="008CCF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048D3851">
            <w:pPr>
              <w:rPr>
                <w:rFonts w:ascii="黑体" w:hAnsi="黑体" w:eastAsia="黑体"/>
                <w:color w:val="auto"/>
                <w:szCs w:val="21"/>
              </w:rPr>
            </w:pPr>
          </w:p>
        </w:tc>
        <w:tc>
          <w:tcPr>
            <w:tcW w:w="1701" w:type="dxa"/>
            <w:vMerge w:val="continue"/>
            <w:noWrap w:val="0"/>
            <w:tcMar>
              <w:left w:w="108" w:type="dxa"/>
              <w:right w:w="108" w:type="dxa"/>
            </w:tcMar>
            <w:vAlign w:val="center"/>
          </w:tcPr>
          <w:p w14:paraId="2A5792D0">
            <w:pPr>
              <w:widowControl/>
              <w:spacing w:line="300" w:lineRule="exact"/>
              <w:rPr>
                <w:rFonts w:ascii="黑体" w:hAnsi="黑体" w:eastAsia="黑体"/>
                <w:color w:val="auto"/>
                <w:kern w:val="0"/>
                <w:szCs w:val="21"/>
              </w:rPr>
            </w:pPr>
          </w:p>
        </w:tc>
        <w:tc>
          <w:tcPr>
            <w:tcW w:w="2976" w:type="dxa"/>
            <w:noWrap w:val="0"/>
            <w:vAlign w:val="center"/>
          </w:tcPr>
          <w:p w14:paraId="45CD57B5">
            <w:pPr>
              <w:widowControl/>
              <w:spacing w:line="300" w:lineRule="exact"/>
              <w:rPr>
                <w:rFonts w:ascii="仿宋_GB2312" w:hAnsi="黑体" w:eastAsia="仿宋_GB2312"/>
                <w:color w:val="auto"/>
                <w:kern w:val="0"/>
                <w:szCs w:val="21"/>
              </w:rPr>
            </w:pPr>
            <w:r>
              <w:rPr>
                <w:rFonts w:hint="eastAsia" w:ascii="仿宋_GB2312" w:hAnsi="楷体" w:eastAsia="仿宋_GB2312"/>
                <w:color w:val="auto"/>
              </w:rPr>
              <w:t>2.申请人逾期未按收费通知要求缴纳费用、行政机关不再处理其政府信息公开申请</w:t>
            </w:r>
          </w:p>
        </w:tc>
        <w:tc>
          <w:tcPr>
            <w:tcW w:w="747" w:type="dxa"/>
            <w:noWrap w:val="0"/>
            <w:tcMar>
              <w:left w:w="108" w:type="dxa"/>
              <w:right w:w="108" w:type="dxa"/>
            </w:tcMar>
            <w:vAlign w:val="center"/>
          </w:tcPr>
          <w:p w14:paraId="37F123F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540" w:type="dxa"/>
            <w:gridSpan w:val="2"/>
            <w:noWrap w:val="0"/>
            <w:tcMar>
              <w:left w:w="108" w:type="dxa"/>
              <w:right w:w="108" w:type="dxa"/>
            </w:tcMar>
            <w:vAlign w:val="center"/>
          </w:tcPr>
          <w:p w14:paraId="0F8283C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540" w:type="dxa"/>
            <w:gridSpan w:val="2"/>
            <w:noWrap w:val="0"/>
            <w:tcMar>
              <w:left w:w="108" w:type="dxa"/>
              <w:right w:w="108" w:type="dxa"/>
            </w:tcMar>
            <w:vAlign w:val="center"/>
          </w:tcPr>
          <w:p w14:paraId="1EDFD40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720" w:type="dxa"/>
            <w:noWrap w:val="0"/>
            <w:tcMar>
              <w:left w:w="108" w:type="dxa"/>
              <w:right w:w="108" w:type="dxa"/>
            </w:tcMar>
            <w:vAlign w:val="center"/>
          </w:tcPr>
          <w:p w14:paraId="04EE114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675" w:type="dxa"/>
            <w:noWrap w:val="0"/>
            <w:tcMar>
              <w:left w:w="108" w:type="dxa"/>
              <w:right w:w="108" w:type="dxa"/>
            </w:tcMar>
            <w:vAlign w:val="center"/>
          </w:tcPr>
          <w:p w14:paraId="5B334A7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525" w:type="dxa"/>
            <w:noWrap w:val="0"/>
            <w:tcMar>
              <w:left w:w="108" w:type="dxa"/>
              <w:right w:w="108" w:type="dxa"/>
            </w:tcMar>
            <w:vAlign w:val="center"/>
          </w:tcPr>
          <w:p w14:paraId="36F0F4E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701" w:type="dxa"/>
            <w:gridSpan w:val="2"/>
            <w:noWrap w:val="0"/>
            <w:tcMar>
              <w:left w:w="108" w:type="dxa"/>
              <w:right w:w="108" w:type="dxa"/>
            </w:tcMar>
            <w:vAlign w:val="center"/>
          </w:tcPr>
          <w:p w14:paraId="32751BA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eastAsia="仿宋_GB2312"/>
                <w:color w:val="auto"/>
                <w:szCs w:val="21"/>
                <w:lang w:val="en-US" w:eastAsia="zh-CN"/>
              </w:rPr>
              <w:t>0</w:t>
            </w:r>
          </w:p>
        </w:tc>
      </w:tr>
      <w:tr w14:paraId="19FC42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2885368C">
            <w:pPr>
              <w:rPr>
                <w:rFonts w:ascii="黑体" w:hAnsi="黑体" w:eastAsia="黑体"/>
                <w:color w:val="auto"/>
                <w:szCs w:val="21"/>
              </w:rPr>
            </w:pPr>
          </w:p>
        </w:tc>
        <w:tc>
          <w:tcPr>
            <w:tcW w:w="1701" w:type="dxa"/>
            <w:vMerge w:val="continue"/>
            <w:noWrap w:val="0"/>
            <w:tcMar>
              <w:left w:w="108" w:type="dxa"/>
              <w:right w:w="108" w:type="dxa"/>
            </w:tcMar>
            <w:vAlign w:val="center"/>
          </w:tcPr>
          <w:p w14:paraId="7B5FD6E1">
            <w:pPr>
              <w:widowControl/>
              <w:spacing w:line="300" w:lineRule="exact"/>
              <w:rPr>
                <w:rFonts w:ascii="黑体" w:hAnsi="黑体" w:eastAsia="黑体"/>
                <w:color w:val="auto"/>
                <w:kern w:val="0"/>
                <w:szCs w:val="21"/>
              </w:rPr>
            </w:pPr>
          </w:p>
        </w:tc>
        <w:tc>
          <w:tcPr>
            <w:tcW w:w="2976" w:type="dxa"/>
            <w:noWrap w:val="0"/>
            <w:vAlign w:val="center"/>
          </w:tcPr>
          <w:p w14:paraId="14B003F1">
            <w:pPr>
              <w:widowControl/>
              <w:spacing w:line="300" w:lineRule="exact"/>
              <w:rPr>
                <w:rFonts w:ascii="仿宋_GB2312" w:hAnsi="黑体" w:eastAsia="仿宋_GB2312"/>
                <w:color w:val="auto"/>
                <w:kern w:val="0"/>
                <w:szCs w:val="21"/>
              </w:rPr>
            </w:pPr>
            <w:r>
              <w:rPr>
                <w:rFonts w:hint="eastAsia" w:ascii="仿宋_GB2312" w:hAnsi="楷体" w:eastAsia="仿宋_GB2312"/>
                <w:color w:val="auto"/>
              </w:rPr>
              <w:t>3.其他</w:t>
            </w:r>
          </w:p>
        </w:tc>
        <w:tc>
          <w:tcPr>
            <w:tcW w:w="747" w:type="dxa"/>
            <w:noWrap w:val="0"/>
            <w:tcMar>
              <w:left w:w="108" w:type="dxa"/>
              <w:right w:w="108" w:type="dxa"/>
            </w:tcMar>
            <w:vAlign w:val="center"/>
          </w:tcPr>
          <w:p w14:paraId="19BCA15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eastAsia="仿宋_GB2312"/>
                <w:color w:val="auto"/>
                <w:szCs w:val="21"/>
                <w:lang w:val="en-US" w:eastAsia="zh-CN"/>
              </w:rPr>
              <w:t>0</w:t>
            </w:r>
          </w:p>
        </w:tc>
        <w:tc>
          <w:tcPr>
            <w:tcW w:w="540" w:type="dxa"/>
            <w:gridSpan w:val="2"/>
            <w:noWrap w:val="0"/>
            <w:tcMar>
              <w:left w:w="108" w:type="dxa"/>
              <w:right w:w="108" w:type="dxa"/>
            </w:tcMar>
            <w:vAlign w:val="center"/>
          </w:tcPr>
          <w:p w14:paraId="46199B2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eastAsia="仿宋_GB2312"/>
                <w:color w:val="auto"/>
                <w:szCs w:val="21"/>
                <w:lang w:val="en-US" w:eastAsia="zh-CN"/>
              </w:rPr>
              <w:t>0</w:t>
            </w:r>
          </w:p>
        </w:tc>
        <w:tc>
          <w:tcPr>
            <w:tcW w:w="540" w:type="dxa"/>
            <w:gridSpan w:val="2"/>
            <w:noWrap w:val="0"/>
            <w:tcMar>
              <w:left w:w="108" w:type="dxa"/>
              <w:right w:w="108" w:type="dxa"/>
            </w:tcMar>
            <w:vAlign w:val="center"/>
          </w:tcPr>
          <w:p w14:paraId="3590DA6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720" w:type="dxa"/>
            <w:noWrap w:val="0"/>
            <w:tcMar>
              <w:left w:w="108" w:type="dxa"/>
              <w:right w:w="108" w:type="dxa"/>
            </w:tcMar>
            <w:vAlign w:val="center"/>
          </w:tcPr>
          <w:p w14:paraId="7A812C6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675" w:type="dxa"/>
            <w:noWrap w:val="0"/>
            <w:tcMar>
              <w:left w:w="108" w:type="dxa"/>
              <w:right w:w="108" w:type="dxa"/>
            </w:tcMar>
            <w:vAlign w:val="center"/>
          </w:tcPr>
          <w:p w14:paraId="3CFEFCD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525" w:type="dxa"/>
            <w:noWrap w:val="0"/>
            <w:tcMar>
              <w:left w:w="108" w:type="dxa"/>
              <w:right w:w="108" w:type="dxa"/>
            </w:tcMar>
            <w:vAlign w:val="center"/>
          </w:tcPr>
          <w:p w14:paraId="114F4C7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701" w:type="dxa"/>
            <w:gridSpan w:val="2"/>
            <w:noWrap w:val="0"/>
            <w:tcMar>
              <w:left w:w="108" w:type="dxa"/>
              <w:right w:w="108" w:type="dxa"/>
            </w:tcMar>
            <w:vAlign w:val="center"/>
          </w:tcPr>
          <w:p w14:paraId="34E06DD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lang w:val="en-US"/>
              </w:rPr>
            </w:pPr>
            <w:r>
              <w:rPr>
                <w:rFonts w:hint="eastAsia" w:ascii="仿宋_GB2312" w:eastAsia="仿宋_GB2312"/>
                <w:color w:val="auto"/>
                <w:szCs w:val="21"/>
                <w:lang w:val="en-US" w:eastAsia="zh-CN"/>
              </w:rPr>
              <w:t>0</w:t>
            </w:r>
          </w:p>
        </w:tc>
      </w:tr>
      <w:tr w14:paraId="11E7D8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46433E64">
            <w:pPr>
              <w:rPr>
                <w:rFonts w:ascii="黑体" w:hAnsi="黑体" w:eastAsia="黑体"/>
                <w:color w:val="auto"/>
                <w:szCs w:val="21"/>
              </w:rPr>
            </w:pPr>
          </w:p>
        </w:tc>
        <w:tc>
          <w:tcPr>
            <w:tcW w:w="4677" w:type="dxa"/>
            <w:gridSpan w:val="2"/>
            <w:noWrap w:val="0"/>
            <w:tcMar>
              <w:left w:w="108" w:type="dxa"/>
              <w:right w:w="108" w:type="dxa"/>
            </w:tcMar>
            <w:vAlign w:val="center"/>
          </w:tcPr>
          <w:p w14:paraId="5040A6DA">
            <w:pPr>
              <w:widowControl/>
              <w:spacing w:line="300" w:lineRule="exact"/>
              <w:rPr>
                <w:rFonts w:ascii="黑体" w:hAnsi="黑体" w:eastAsia="黑体"/>
                <w:color w:val="auto"/>
                <w:kern w:val="0"/>
                <w:szCs w:val="21"/>
              </w:rPr>
            </w:pPr>
            <w:r>
              <w:rPr>
                <w:rFonts w:hint="eastAsia" w:ascii="黑体" w:hAnsi="黑体" w:eastAsia="黑体"/>
                <w:color w:val="auto"/>
                <w:kern w:val="0"/>
                <w:szCs w:val="21"/>
              </w:rPr>
              <w:t>（七）总计</w:t>
            </w:r>
          </w:p>
        </w:tc>
        <w:tc>
          <w:tcPr>
            <w:tcW w:w="747" w:type="dxa"/>
            <w:noWrap w:val="0"/>
            <w:tcMar>
              <w:left w:w="108" w:type="dxa"/>
              <w:right w:w="108" w:type="dxa"/>
            </w:tcMar>
            <w:vAlign w:val="center"/>
          </w:tcPr>
          <w:p w14:paraId="0351D18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eastAsia="仿宋_GB2312"/>
                <w:color w:val="auto"/>
                <w:szCs w:val="21"/>
                <w:lang w:val="en-US" w:eastAsia="zh-CN"/>
              </w:rPr>
              <w:t>2</w:t>
            </w:r>
          </w:p>
        </w:tc>
        <w:tc>
          <w:tcPr>
            <w:tcW w:w="540" w:type="dxa"/>
            <w:gridSpan w:val="2"/>
            <w:noWrap w:val="0"/>
            <w:tcMar>
              <w:left w:w="108" w:type="dxa"/>
              <w:right w:w="108" w:type="dxa"/>
            </w:tcMar>
            <w:vAlign w:val="center"/>
          </w:tcPr>
          <w:p w14:paraId="53C6916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540" w:type="dxa"/>
            <w:gridSpan w:val="2"/>
            <w:noWrap w:val="0"/>
            <w:tcMar>
              <w:left w:w="108" w:type="dxa"/>
              <w:right w:w="108" w:type="dxa"/>
            </w:tcMar>
            <w:vAlign w:val="center"/>
          </w:tcPr>
          <w:p w14:paraId="5E3E95E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720" w:type="dxa"/>
            <w:noWrap w:val="0"/>
            <w:tcMar>
              <w:left w:w="108" w:type="dxa"/>
              <w:right w:w="108" w:type="dxa"/>
            </w:tcMar>
            <w:vAlign w:val="center"/>
          </w:tcPr>
          <w:p w14:paraId="0C30B19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675" w:type="dxa"/>
            <w:noWrap w:val="0"/>
            <w:tcMar>
              <w:left w:w="108" w:type="dxa"/>
              <w:right w:w="108" w:type="dxa"/>
            </w:tcMar>
            <w:vAlign w:val="center"/>
          </w:tcPr>
          <w:p w14:paraId="603735C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525" w:type="dxa"/>
            <w:noWrap w:val="0"/>
            <w:tcMar>
              <w:left w:w="108" w:type="dxa"/>
              <w:right w:w="108" w:type="dxa"/>
            </w:tcMar>
            <w:vAlign w:val="center"/>
          </w:tcPr>
          <w:p w14:paraId="58CB903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701" w:type="dxa"/>
            <w:gridSpan w:val="2"/>
            <w:noWrap w:val="0"/>
            <w:tcMar>
              <w:left w:w="108" w:type="dxa"/>
              <w:right w:w="108" w:type="dxa"/>
            </w:tcMar>
            <w:vAlign w:val="center"/>
          </w:tcPr>
          <w:p w14:paraId="3E969CC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lang w:val="en-US"/>
              </w:rPr>
            </w:pPr>
            <w:r>
              <w:rPr>
                <w:rFonts w:hint="eastAsia" w:ascii="仿宋_GB2312" w:eastAsia="仿宋_GB2312"/>
                <w:color w:val="auto"/>
                <w:szCs w:val="21"/>
                <w:lang w:val="en-US" w:eastAsia="zh-CN"/>
              </w:rPr>
              <w:t>2</w:t>
            </w:r>
          </w:p>
        </w:tc>
      </w:tr>
      <w:tr w14:paraId="0FE98D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noWrap w:val="0"/>
            <w:tcMar>
              <w:left w:w="108" w:type="dxa"/>
              <w:right w:w="108" w:type="dxa"/>
            </w:tcMar>
            <w:vAlign w:val="center"/>
          </w:tcPr>
          <w:p w14:paraId="73AD0538">
            <w:pPr>
              <w:widowControl/>
              <w:spacing w:line="300" w:lineRule="exact"/>
              <w:rPr>
                <w:rFonts w:ascii="黑体" w:hAnsi="黑体" w:eastAsia="黑体"/>
                <w:color w:val="auto"/>
                <w:kern w:val="0"/>
                <w:szCs w:val="21"/>
              </w:rPr>
            </w:pPr>
            <w:r>
              <w:rPr>
                <w:rFonts w:hint="eastAsia" w:ascii="黑体" w:hAnsi="黑体" w:eastAsia="黑体"/>
                <w:color w:val="auto"/>
                <w:kern w:val="0"/>
                <w:szCs w:val="21"/>
              </w:rPr>
              <w:t>四、结转下年度继续办理</w:t>
            </w:r>
          </w:p>
        </w:tc>
        <w:tc>
          <w:tcPr>
            <w:tcW w:w="747" w:type="dxa"/>
            <w:noWrap w:val="0"/>
            <w:tcMar>
              <w:left w:w="108" w:type="dxa"/>
              <w:right w:w="108" w:type="dxa"/>
            </w:tcMar>
            <w:vAlign w:val="center"/>
          </w:tcPr>
          <w:p w14:paraId="65A4967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540" w:type="dxa"/>
            <w:gridSpan w:val="2"/>
            <w:noWrap w:val="0"/>
            <w:tcMar>
              <w:left w:w="108" w:type="dxa"/>
              <w:right w:w="108" w:type="dxa"/>
            </w:tcMar>
            <w:vAlign w:val="center"/>
          </w:tcPr>
          <w:p w14:paraId="649EAEA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540" w:type="dxa"/>
            <w:gridSpan w:val="2"/>
            <w:noWrap w:val="0"/>
            <w:tcMar>
              <w:left w:w="108" w:type="dxa"/>
              <w:right w:w="108" w:type="dxa"/>
            </w:tcMar>
            <w:vAlign w:val="center"/>
          </w:tcPr>
          <w:p w14:paraId="2D3B362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720" w:type="dxa"/>
            <w:noWrap w:val="0"/>
            <w:tcMar>
              <w:left w:w="108" w:type="dxa"/>
              <w:right w:w="108" w:type="dxa"/>
            </w:tcMar>
            <w:vAlign w:val="center"/>
          </w:tcPr>
          <w:p w14:paraId="18C5AAE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675" w:type="dxa"/>
            <w:noWrap w:val="0"/>
            <w:tcMar>
              <w:left w:w="108" w:type="dxa"/>
              <w:right w:w="108" w:type="dxa"/>
            </w:tcMar>
            <w:vAlign w:val="center"/>
          </w:tcPr>
          <w:p w14:paraId="7DF7396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525" w:type="dxa"/>
            <w:noWrap w:val="0"/>
            <w:tcMar>
              <w:left w:w="108" w:type="dxa"/>
              <w:right w:w="108" w:type="dxa"/>
            </w:tcMar>
            <w:vAlign w:val="center"/>
          </w:tcPr>
          <w:p w14:paraId="103E89B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701" w:type="dxa"/>
            <w:gridSpan w:val="2"/>
            <w:noWrap w:val="0"/>
            <w:tcMar>
              <w:left w:w="108" w:type="dxa"/>
              <w:right w:w="108" w:type="dxa"/>
            </w:tcMar>
            <w:vAlign w:val="center"/>
          </w:tcPr>
          <w:p w14:paraId="37ADDE1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lang w:val="en-US"/>
              </w:rPr>
            </w:pPr>
            <w:r>
              <w:rPr>
                <w:rFonts w:hint="eastAsia" w:ascii="仿宋_GB2312" w:eastAsia="仿宋_GB2312"/>
                <w:color w:val="auto"/>
                <w:szCs w:val="21"/>
                <w:lang w:val="en-US" w:eastAsia="zh-CN"/>
              </w:rPr>
              <w:t>0</w:t>
            </w:r>
          </w:p>
        </w:tc>
      </w:tr>
    </w:tbl>
    <w:p w14:paraId="350EFAF4">
      <w:pPr>
        <w:widowControl/>
        <w:jc w:val="left"/>
        <w:rPr>
          <w:rFonts w:hint="eastAsia" w:ascii="仿宋_GB2312" w:hAnsi="Calibri" w:eastAsia="仿宋_GB2312" w:cs="Calibri"/>
          <w:color w:val="auto"/>
          <w:kern w:val="0"/>
          <w:szCs w:val="21"/>
          <w:lang w:val="en-US" w:eastAsia="zh-CN"/>
        </w:rPr>
      </w:pPr>
    </w:p>
    <w:p w14:paraId="019B39FB">
      <w:pPr>
        <w:rPr>
          <w:rFonts w:ascii="仿宋_GB2312" w:eastAsia="仿宋_GB2312"/>
          <w:color w:val="auto"/>
          <w:sz w:val="32"/>
          <w:szCs w:val="32"/>
        </w:rPr>
      </w:pPr>
      <w:r>
        <w:rPr>
          <w:rFonts w:hint="eastAsia" w:ascii="黑体" w:hAnsi="黑体" w:eastAsia="黑体" w:cs="黑体"/>
          <w:b w:val="0"/>
          <w:bCs/>
          <w:i w:val="0"/>
          <w:caps w:val="0"/>
          <w:color w:val="auto"/>
          <w:spacing w:val="0"/>
          <w:kern w:val="0"/>
          <w:sz w:val="32"/>
          <w:szCs w:val="32"/>
          <w:shd w:val="clear" w:color="auto" w:fill="FFFFFF"/>
          <w:lang w:val="en-US" w:eastAsia="zh-CN" w:bidi="ar"/>
        </w:rPr>
        <w:t>四、政府信息公开行政复议、行政诉讼情况</w:t>
      </w:r>
    </w:p>
    <w:tbl>
      <w:tblPr>
        <w:tblStyle w:val="5"/>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38244ED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1412430">
            <w:pPr>
              <w:widowControl/>
              <w:jc w:val="center"/>
              <w:rPr>
                <w:rFonts w:ascii="黑体" w:hAnsi="黑体" w:eastAsia="黑体"/>
                <w:color w:val="auto"/>
              </w:rPr>
            </w:pPr>
            <w:r>
              <w:rPr>
                <w:rFonts w:ascii="黑体" w:hAnsi="黑体" w:eastAsia="黑体"/>
                <w:color w:val="auto"/>
                <w:kern w:val="0"/>
                <w:sz w:val="20"/>
                <w:szCs w:val="20"/>
              </w:rPr>
              <w:t>行政复议</w:t>
            </w:r>
          </w:p>
        </w:tc>
        <w:tc>
          <w:tcPr>
            <w:tcW w:w="5997"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14:paraId="16538168">
            <w:pPr>
              <w:widowControl/>
              <w:jc w:val="center"/>
              <w:rPr>
                <w:rFonts w:ascii="黑体" w:hAnsi="黑体" w:eastAsia="黑体"/>
                <w:color w:val="auto"/>
              </w:rPr>
            </w:pPr>
            <w:r>
              <w:rPr>
                <w:rFonts w:ascii="黑体" w:hAnsi="黑体" w:eastAsia="黑体"/>
                <w:color w:val="auto"/>
                <w:kern w:val="0"/>
                <w:sz w:val="20"/>
                <w:szCs w:val="20"/>
              </w:rPr>
              <w:t>行政诉讼</w:t>
            </w:r>
          </w:p>
        </w:tc>
      </w:tr>
      <w:tr w14:paraId="6545F6B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43EB2D25">
            <w:pPr>
              <w:widowControl/>
              <w:ind w:left="-149" w:leftChars="-71" w:right="-170" w:rightChars="-81"/>
              <w:jc w:val="center"/>
              <w:rPr>
                <w:rFonts w:ascii="黑体" w:hAnsi="黑体" w:eastAsia="黑体"/>
                <w:color w:val="auto"/>
                <w:kern w:val="0"/>
                <w:sz w:val="20"/>
                <w:szCs w:val="20"/>
              </w:rPr>
            </w:pPr>
            <w:r>
              <w:rPr>
                <w:rFonts w:ascii="黑体" w:hAnsi="黑体" w:eastAsia="黑体"/>
                <w:color w:val="auto"/>
                <w:kern w:val="0"/>
                <w:sz w:val="20"/>
                <w:szCs w:val="20"/>
              </w:rPr>
              <w:t>结果</w:t>
            </w:r>
          </w:p>
          <w:p w14:paraId="6912A8F1">
            <w:pPr>
              <w:widowControl/>
              <w:ind w:left="-149" w:leftChars="-71" w:right="-170" w:rightChars="-81"/>
              <w:jc w:val="center"/>
              <w:rPr>
                <w:rFonts w:ascii="黑体" w:hAnsi="黑体" w:eastAsia="黑体"/>
                <w:color w:val="auto"/>
              </w:rPr>
            </w:pPr>
            <w:r>
              <w:rPr>
                <w:rFonts w:ascii="黑体" w:hAnsi="黑体" w:eastAsia="黑体"/>
                <w:color w:val="auto"/>
                <w:kern w:val="0"/>
                <w:sz w:val="20"/>
                <w:szCs w:val="20"/>
              </w:rPr>
              <w:t>维持</w:t>
            </w:r>
          </w:p>
        </w:tc>
        <w:tc>
          <w:tcPr>
            <w:tcW w:w="604" w:type="dxa"/>
            <w:vMerge w:val="restart"/>
            <w:tcBorders>
              <w:top w:val="nil"/>
              <w:left w:val="nil"/>
              <w:bottom w:val="single" w:color="auto" w:sz="8" w:space="0"/>
              <w:right w:val="single" w:color="auto" w:sz="8" w:space="0"/>
            </w:tcBorders>
            <w:noWrap w:val="0"/>
            <w:tcMar>
              <w:left w:w="108" w:type="dxa"/>
              <w:right w:w="108" w:type="dxa"/>
            </w:tcMar>
            <w:vAlign w:val="center"/>
          </w:tcPr>
          <w:p w14:paraId="698C4FF4">
            <w:pPr>
              <w:widowControl/>
              <w:ind w:left="-43" w:leftChars="-21" w:right="-132" w:rightChars="-63" w:hanging="1"/>
              <w:jc w:val="center"/>
              <w:rPr>
                <w:rFonts w:ascii="黑体" w:hAnsi="黑体" w:eastAsia="黑体"/>
                <w:color w:val="auto"/>
              </w:rPr>
            </w:pPr>
            <w:r>
              <w:rPr>
                <w:rFonts w:ascii="黑体" w:hAnsi="黑体" w:eastAsia="黑体"/>
                <w:color w:val="auto"/>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1F1206D5">
            <w:pPr>
              <w:widowControl/>
              <w:ind w:left="-82" w:leftChars="-39" w:right="-97" w:rightChars="-46"/>
              <w:jc w:val="center"/>
              <w:rPr>
                <w:rFonts w:ascii="黑体" w:hAnsi="黑体" w:eastAsia="黑体"/>
                <w:color w:val="auto"/>
              </w:rPr>
            </w:pPr>
            <w:r>
              <w:rPr>
                <w:rFonts w:ascii="黑体" w:hAnsi="黑体" w:eastAsia="黑体"/>
                <w:color w:val="auto"/>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0F7252BA">
            <w:pPr>
              <w:widowControl/>
              <w:ind w:left="-118" w:leftChars="-56" w:right="-118" w:rightChars="-56"/>
              <w:jc w:val="center"/>
              <w:rPr>
                <w:rFonts w:ascii="黑体" w:hAnsi="黑体" w:eastAsia="黑体"/>
                <w:color w:val="auto"/>
                <w:kern w:val="0"/>
                <w:sz w:val="20"/>
                <w:szCs w:val="20"/>
              </w:rPr>
            </w:pPr>
            <w:r>
              <w:rPr>
                <w:rFonts w:ascii="黑体" w:hAnsi="黑体" w:eastAsia="黑体"/>
                <w:color w:val="auto"/>
                <w:kern w:val="0"/>
                <w:sz w:val="20"/>
                <w:szCs w:val="20"/>
              </w:rPr>
              <w:t>尚未</w:t>
            </w:r>
          </w:p>
          <w:p w14:paraId="01B9315C">
            <w:pPr>
              <w:widowControl/>
              <w:ind w:left="-118" w:leftChars="-56" w:right="-118" w:rightChars="-56"/>
              <w:jc w:val="center"/>
              <w:rPr>
                <w:rFonts w:ascii="黑体" w:hAnsi="黑体" w:eastAsia="黑体"/>
                <w:color w:val="auto"/>
              </w:rPr>
            </w:pPr>
            <w:r>
              <w:rPr>
                <w:rFonts w:ascii="黑体" w:hAnsi="黑体" w:eastAsia="黑体"/>
                <w:color w:val="auto"/>
                <w:kern w:val="0"/>
                <w:sz w:val="20"/>
                <w:szCs w:val="20"/>
              </w:rPr>
              <w:t>审结</w:t>
            </w:r>
          </w:p>
        </w:tc>
        <w:tc>
          <w:tcPr>
            <w:tcW w:w="65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2B5FCC29">
            <w:pPr>
              <w:widowControl/>
              <w:spacing w:line="320" w:lineRule="exact"/>
              <w:jc w:val="center"/>
              <w:rPr>
                <w:rFonts w:ascii="黑体" w:hAnsi="黑体" w:eastAsia="黑体"/>
                <w:color w:val="auto"/>
                <w:kern w:val="0"/>
                <w:sz w:val="20"/>
                <w:szCs w:val="20"/>
              </w:rPr>
            </w:pPr>
            <w:r>
              <w:rPr>
                <w:rFonts w:ascii="黑体" w:hAnsi="黑体" w:eastAsia="黑体"/>
                <w:color w:val="auto"/>
                <w:kern w:val="0"/>
                <w:sz w:val="20"/>
                <w:szCs w:val="20"/>
              </w:rPr>
              <w:t>总</w:t>
            </w:r>
          </w:p>
          <w:p w14:paraId="64B9ED96">
            <w:pPr>
              <w:widowControl/>
              <w:spacing w:line="320" w:lineRule="exact"/>
              <w:jc w:val="center"/>
              <w:rPr>
                <w:rFonts w:ascii="黑体" w:hAnsi="黑体" w:eastAsia="黑体"/>
                <w:color w:val="auto"/>
              </w:rPr>
            </w:pPr>
            <w:r>
              <w:rPr>
                <w:rFonts w:ascii="黑体" w:hAnsi="黑体" w:eastAsia="黑体"/>
                <w:color w:val="auto"/>
                <w:kern w:val="0"/>
                <w:sz w:val="20"/>
                <w:szCs w:val="20"/>
              </w:rPr>
              <w:t>计</w:t>
            </w:r>
          </w:p>
        </w:tc>
        <w:tc>
          <w:tcPr>
            <w:tcW w:w="2970"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14:paraId="02F20245">
            <w:pPr>
              <w:widowControl/>
              <w:jc w:val="center"/>
              <w:rPr>
                <w:rFonts w:ascii="黑体" w:hAnsi="黑体" w:eastAsia="黑体"/>
                <w:color w:val="auto"/>
              </w:rPr>
            </w:pPr>
            <w:r>
              <w:rPr>
                <w:rFonts w:ascii="黑体" w:hAnsi="黑体" w:eastAsia="黑体"/>
                <w:color w:val="auto"/>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14:paraId="1BE46B60">
            <w:pPr>
              <w:widowControl/>
              <w:jc w:val="center"/>
              <w:rPr>
                <w:rFonts w:ascii="黑体" w:hAnsi="黑体" w:eastAsia="黑体"/>
                <w:color w:val="auto"/>
              </w:rPr>
            </w:pPr>
            <w:bookmarkStart w:id="9" w:name="_Hlk67039688"/>
            <w:r>
              <w:rPr>
                <w:rFonts w:ascii="黑体" w:hAnsi="黑体" w:eastAsia="黑体"/>
                <w:color w:val="auto"/>
                <w:kern w:val="0"/>
                <w:sz w:val="20"/>
                <w:szCs w:val="20"/>
              </w:rPr>
              <w:t>复议后起诉</w:t>
            </w:r>
            <w:bookmarkEnd w:id="9"/>
          </w:p>
        </w:tc>
      </w:tr>
      <w:tr w14:paraId="2A4A21D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4C2399BF">
            <w:pPr>
              <w:rPr>
                <w:rFonts w:ascii="黑体" w:hAnsi="黑体" w:eastAsia="黑体"/>
                <w:color w:val="auto"/>
                <w:sz w:val="24"/>
              </w:rPr>
            </w:pPr>
          </w:p>
        </w:tc>
        <w:tc>
          <w:tcPr>
            <w:tcW w:w="604" w:type="dxa"/>
            <w:vMerge w:val="continue"/>
            <w:tcBorders>
              <w:top w:val="nil"/>
              <w:left w:val="nil"/>
              <w:bottom w:val="single" w:color="auto" w:sz="8" w:space="0"/>
              <w:right w:val="single" w:color="auto" w:sz="8" w:space="0"/>
            </w:tcBorders>
            <w:noWrap w:val="0"/>
            <w:tcMar>
              <w:left w:w="108" w:type="dxa"/>
              <w:right w:w="108" w:type="dxa"/>
            </w:tcMar>
            <w:vAlign w:val="center"/>
          </w:tcPr>
          <w:p w14:paraId="34D74D9B">
            <w:pPr>
              <w:rPr>
                <w:rFonts w:ascii="黑体" w:hAnsi="黑体" w:eastAsia="黑体"/>
                <w:color w:val="auto"/>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4C6667F8">
            <w:pPr>
              <w:rPr>
                <w:rFonts w:ascii="黑体" w:hAnsi="黑体" w:eastAsia="黑体"/>
                <w:color w:val="auto"/>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15F8CFB4">
            <w:pPr>
              <w:rPr>
                <w:rFonts w:ascii="黑体" w:hAnsi="黑体" w:eastAsia="黑体"/>
                <w:color w:val="auto"/>
                <w:sz w:val="24"/>
              </w:rPr>
            </w:pPr>
          </w:p>
        </w:tc>
        <w:tc>
          <w:tcPr>
            <w:tcW w:w="65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54B211B8">
            <w:pPr>
              <w:rPr>
                <w:rFonts w:ascii="黑体" w:hAnsi="黑体" w:eastAsia="黑体"/>
                <w:color w:val="auto"/>
                <w:sz w:val="24"/>
              </w:rPr>
            </w:pPr>
          </w:p>
        </w:tc>
        <w:tc>
          <w:tcPr>
            <w:tcW w:w="550" w:type="dxa"/>
            <w:tcBorders>
              <w:top w:val="nil"/>
              <w:left w:val="nil"/>
              <w:bottom w:val="single" w:color="auto" w:sz="8" w:space="0"/>
              <w:right w:val="single" w:color="auto" w:sz="8" w:space="0"/>
            </w:tcBorders>
            <w:noWrap w:val="0"/>
            <w:tcMar>
              <w:left w:w="108" w:type="dxa"/>
              <w:right w:w="108" w:type="dxa"/>
            </w:tcMar>
            <w:vAlign w:val="center"/>
          </w:tcPr>
          <w:p w14:paraId="3113EBD1">
            <w:pPr>
              <w:widowControl/>
              <w:ind w:left="-105" w:leftChars="-50" w:right="-126" w:rightChars="-60"/>
              <w:jc w:val="center"/>
              <w:rPr>
                <w:rFonts w:ascii="黑体" w:hAnsi="黑体" w:eastAsia="黑体"/>
                <w:color w:val="auto"/>
              </w:rPr>
            </w:pPr>
            <w:r>
              <w:rPr>
                <w:rFonts w:ascii="黑体" w:hAnsi="黑体" w:eastAsia="黑体"/>
                <w:color w:val="auto"/>
                <w:kern w:val="0"/>
                <w:sz w:val="20"/>
                <w:szCs w:val="20"/>
              </w:rPr>
              <w:t>结果维持</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624A7771">
            <w:pPr>
              <w:widowControl/>
              <w:ind w:left="-86" w:leftChars="-41" w:right="-88" w:rightChars="-42"/>
              <w:jc w:val="center"/>
              <w:rPr>
                <w:rFonts w:ascii="黑体" w:hAnsi="黑体" w:eastAsia="黑体"/>
                <w:color w:val="auto"/>
              </w:rPr>
            </w:pPr>
            <w:r>
              <w:rPr>
                <w:rFonts w:ascii="黑体" w:hAnsi="黑体" w:eastAsia="黑体"/>
                <w:color w:val="auto"/>
                <w:kern w:val="0"/>
                <w:sz w:val="20"/>
                <w:szCs w:val="20"/>
              </w:rPr>
              <w:t>结果纠正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19F26D31">
            <w:pPr>
              <w:widowControl/>
              <w:ind w:left="-126" w:leftChars="-60" w:right="-136" w:rightChars="-65"/>
              <w:jc w:val="center"/>
              <w:rPr>
                <w:rFonts w:ascii="黑体" w:hAnsi="黑体" w:eastAsia="黑体"/>
                <w:color w:val="auto"/>
                <w:kern w:val="0"/>
                <w:sz w:val="20"/>
                <w:szCs w:val="20"/>
              </w:rPr>
            </w:pPr>
            <w:r>
              <w:rPr>
                <w:rFonts w:ascii="黑体" w:hAnsi="黑体" w:eastAsia="黑体"/>
                <w:color w:val="auto"/>
                <w:kern w:val="0"/>
                <w:sz w:val="20"/>
                <w:szCs w:val="20"/>
              </w:rPr>
              <w:t>其他</w:t>
            </w:r>
          </w:p>
          <w:p w14:paraId="5DB21DA8">
            <w:pPr>
              <w:widowControl/>
              <w:ind w:left="-126" w:leftChars="-60" w:right="-136" w:rightChars="-65"/>
              <w:jc w:val="center"/>
              <w:rPr>
                <w:rFonts w:ascii="黑体" w:hAnsi="黑体" w:eastAsia="黑体"/>
                <w:color w:val="auto"/>
              </w:rPr>
            </w:pPr>
            <w:r>
              <w:rPr>
                <w:rFonts w:ascii="黑体" w:hAnsi="黑体" w:eastAsia="黑体"/>
                <w:color w:val="auto"/>
                <w:kern w:val="0"/>
                <w:sz w:val="20"/>
                <w:szCs w:val="20"/>
              </w:rPr>
              <w:t>结果</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485E569E">
            <w:pPr>
              <w:widowControl/>
              <w:ind w:left="-164" w:leftChars="-78" w:right="-153" w:rightChars="-73"/>
              <w:jc w:val="center"/>
              <w:rPr>
                <w:rFonts w:ascii="黑体" w:hAnsi="黑体" w:eastAsia="黑体"/>
                <w:color w:val="auto"/>
                <w:kern w:val="0"/>
                <w:sz w:val="20"/>
                <w:szCs w:val="20"/>
              </w:rPr>
            </w:pPr>
            <w:r>
              <w:rPr>
                <w:rFonts w:ascii="黑体" w:hAnsi="黑体" w:eastAsia="黑体"/>
                <w:color w:val="auto"/>
                <w:kern w:val="0"/>
                <w:sz w:val="20"/>
                <w:szCs w:val="20"/>
              </w:rPr>
              <w:t>尚未</w:t>
            </w:r>
          </w:p>
          <w:p w14:paraId="76425215">
            <w:pPr>
              <w:widowControl/>
              <w:ind w:left="-164" w:leftChars="-78" w:right="-153" w:rightChars="-73"/>
              <w:jc w:val="center"/>
              <w:rPr>
                <w:rFonts w:ascii="黑体" w:hAnsi="黑体" w:eastAsia="黑体"/>
                <w:color w:val="auto"/>
              </w:rPr>
            </w:pPr>
            <w:r>
              <w:rPr>
                <w:rFonts w:ascii="黑体" w:hAnsi="黑体" w:eastAsia="黑体"/>
                <w:color w:val="auto"/>
                <w:kern w:val="0"/>
                <w:sz w:val="20"/>
                <w:szCs w:val="20"/>
              </w:rPr>
              <w:t>审结</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4C41D4D4">
            <w:pPr>
              <w:widowControl/>
              <w:jc w:val="center"/>
              <w:rPr>
                <w:rFonts w:ascii="黑体" w:hAnsi="黑体" w:eastAsia="黑体"/>
                <w:color w:val="auto"/>
              </w:rPr>
            </w:pPr>
            <w:r>
              <w:rPr>
                <w:rFonts w:ascii="黑体" w:hAnsi="黑体" w:eastAsia="黑体"/>
                <w:color w:val="auto"/>
                <w:kern w:val="0"/>
                <w:sz w:val="20"/>
                <w:szCs w:val="20"/>
              </w:rPr>
              <w:t>总计</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0FECAF75">
            <w:pPr>
              <w:widowControl/>
              <w:ind w:left="-99" w:leftChars="-47" w:right="-78" w:rightChars="-37"/>
              <w:jc w:val="center"/>
              <w:rPr>
                <w:rFonts w:ascii="黑体" w:hAnsi="黑体" w:eastAsia="黑体"/>
                <w:color w:val="auto"/>
              </w:rPr>
            </w:pPr>
            <w:r>
              <w:rPr>
                <w:rFonts w:ascii="黑体" w:hAnsi="黑体" w:eastAsia="黑体"/>
                <w:color w:val="auto"/>
                <w:kern w:val="0"/>
                <w:sz w:val="20"/>
                <w:szCs w:val="20"/>
              </w:rPr>
              <w:t>结果维持</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69D3BF13">
            <w:pPr>
              <w:widowControl/>
              <w:ind w:left="-136" w:leftChars="-65" w:right="-124" w:rightChars="-59"/>
              <w:jc w:val="center"/>
              <w:rPr>
                <w:rFonts w:ascii="黑体" w:hAnsi="黑体" w:eastAsia="黑体"/>
                <w:color w:val="auto"/>
                <w:kern w:val="0"/>
                <w:sz w:val="20"/>
                <w:szCs w:val="20"/>
              </w:rPr>
            </w:pPr>
            <w:r>
              <w:rPr>
                <w:rFonts w:ascii="黑体" w:hAnsi="黑体" w:eastAsia="黑体"/>
                <w:color w:val="auto"/>
                <w:kern w:val="0"/>
                <w:sz w:val="20"/>
                <w:szCs w:val="20"/>
              </w:rPr>
              <w:t>结果</w:t>
            </w:r>
          </w:p>
          <w:p w14:paraId="041DFCA4">
            <w:pPr>
              <w:widowControl/>
              <w:ind w:left="-136" w:leftChars="-65" w:right="-124" w:rightChars="-59"/>
              <w:jc w:val="center"/>
              <w:rPr>
                <w:rFonts w:ascii="黑体" w:hAnsi="黑体" w:eastAsia="黑体"/>
                <w:color w:val="auto"/>
              </w:rPr>
            </w:pPr>
            <w:r>
              <w:rPr>
                <w:rFonts w:ascii="黑体" w:hAnsi="黑体" w:eastAsia="黑体"/>
                <w:color w:val="auto"/>
                <w:kern w:val="0"/>
                <w:sz w:val="20"/>
                <w:szCs w:val="20"/>
              </w:rPr>
              <w:t>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1DD51CA3">
            <w:pPr>
              <w:widowControl/>
              <w:ind w:left="-173" w:leftChars="-83" w:right="-134" w:rightChars="-64" w:hanging="1"/>
              <w:jc w:val="center"/>
              <w:rPr>
                <w:rFonts w:ascii="黑体" w:hAnsi="黑体" w:eastAsia="黑体"/>
                <w:color w:val="auto"/>
                <w:kern w:val="0"/>
                <w:sz w:val="20"/>
                <w:szCs w:val="20"/>
              </w:rPr>
            </w:pPr>
            <w:r>
              <w:rPr>
                <w:rFonts w:ascii="黑体" w:hAnsi="黑体" w:eastAsia="黑体"/>
                <w:color w:val="auto"/>
                <w:kern w:val="0"/>
                <w:sz w:val="20"/>
                <w:szCs w:val="20"/>
              </w:rPr>
              <w:t>其他</w:t>
            </w:r>
          </w:p>
          <w:p w14:paraId="285C2E87">
            <w:pPr>
              <w:widowControl/>
              <w:ind w:left="-173" w:leftChars="-83" w:right="-134" w:rightChars="-64" w:hanging="1"/>
              <w:jc w:val="center"/>
              <w:rPr>
                <w:rFonts w:ascii="黑体" w:hAnsi="黑体" w:eastAsia="黑体"/>
                <w:color w:val="auto"/>
              </w:rPr>
            </w:pPr>
            <w:r>
              <w:rPr>
                <w:rFonts w:ascii="黑体" w:hAnsi="黑体" w:eastAsia="黑体"/>
                <w:color w:val="auto"/>
                <w:kern w:val="0"/>
                <w:sz w:val="20"/>
                <w:szCs w:val="20"/>
              </w:rPr>
              <w:t>结果</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14:paraId="3A79C77B">
            <w:pPr>
              <w:widowControl/>
              <w:ind w:left="-67" w:leftChars="-33" w:right="-105" w:rightChars="-50" w:hanging="2" w:hangingChars="1"/>
              <w:jc w:val="center"/>
              <w:rPr>
                <w:rFonts w:ascii="黑体" w:hAnsi="黑体" w:eastAsia="黑体"/>
                <w:color w:val="auto"/>
              </w:rPr>
            </w:pPr>
            <w:r>
              <w:rPr>
                <w:rFonts w:ascii="黑体" w:hAnsi="黑体" w:eastAsia="黑体"/>
                <w:color w:val="auto"/>
                <w:kern w:val="0"/>
                <w:sz w:val="20"/>
                <w:szCs w:val="20"/>
              </w:rPr>
              <w:t>尚未审结</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14:paraId="1BF6DCDE">
            <w:pPr>
              <w:widowControl/>
              <w:jc w:val="center"/>
              <w:rPr>
                <w:rFonts w:ascii="黑体" w:hAnsi="黑体" w:eastAsia="黑体"/>
                <w:color w:val="auto"/>
              </w:rPr>
            </w:pPr>
            <w:r>
              <w:rPr>
                <w:rFonts w:ascii="黑体" w:hAnsi="黑体" w:eastAsia="黑体"/>
                <w:color w:val="auto"/>
                <w:kern w:val="0"/>
                <w:sz w:val="20"/>
                <w:szCs w:val="20"/>
              </w:rPr>
              <w:t>总计</w:t>
            </w:r>
          </w:p>
        </w:tc>
      </w:tr>
      <w:tr w14:paraId="0F32552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1F184C3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imes New Roman"/>
                <w:color w:val="auto"/>
                <w:kern w:val="2"/>
                <w:sz w:val="21"/>
                <w:szCs w:val="21"/>
                <w:lang w:val="en-US" w:eastAsia="zh-CN" w:bidi="ar-SA"/>
              </w:rPr>
            </w:pPr>
            <w:r>
              <w:rPr>
                <w:rFonts w:hint="eastAsia" w:ascii="仿宋_GB2312" w:eastAsia="仿宋_GB2312"/>
                <w:color w:val="auto"/>
                <w:szCs w:val="21"/>
                <w:lang w:val="en-US" w:eastAsia="zh-CN"/>
              </w:rPr>
              <w:t>0</w:t>
            </w:r>
          </w:p>
        </w:tc>
        <w:tc>
          <w:tcPr>
            <w:tcW w:w="604"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14:paraId="7EAF425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imes New Roman"/>
                <w:color w:val="auto"/>
                <w:kern w:val="2"/>
                <w:sz w:val="21"/>
                <w:szCs w:val="21"/>
                <w:lang w:val="en-US" w:eastAsia="zh-CN" w:bidi="ar-SA"/>
              </w:rPr>
            </w:pPr>
            <w:r>
              <w:rPr>
                <w:rFonts w:hint="eastAsia" w:ascii="仿宋_GB2312" w:eastAsia="仿宋_GB2312"/>
                <w:color w:val="auto"/>
                <w:szCs w:val="21"/>
                <w:lang w:val="en-US" w:eastAsia="zh-CN"/>
              </w:rPr>
              <w:t>0</w:t>
            </w:r>
          </w:p>
        </w:tc>
        <w:tc>
          <w:tcPr>
            <w:tcW w:w="604"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14:paraId="029FB23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imes New Roman"/>
                <w:color w:val="auto"/>
                <w:kern w:val="2"/>
                <w:sz w:val="21"/>
                <w:szCs w:val="21"/>
                <w:lang w:val="en-US" w:eastAsia="zh-CN" w:bidi="ar-SA"/>
              </w:rPr>
            </w:pPr>
            <w:r>
              <w:rPr>
                <w:rFonts w:hint="eastAsia" w:ascii="仿宋_GB2312" w:eastAsia="仿宋_GB2312"/>
                <w:color w:val="auto"/>
                <w:szCs w:val="21"/>
                <w:lang w:val="en-US" w:eastAsia="zh-CN"/>
              </w:rPr>
              <w:t>0</w:t>
            </w:r>
          </w:p>
        </w:tc>
        <w:tc>
          <w:tcPr>
            <w:tcW w:w="604"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14:paraId="48B4A1A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imes New Roman"/>
                <w:color w:val="auto"/>
                <w:kern w:val="2"/>
                <w:sz w:val="21"/>
                <w:szCs w:val="21"/>
                <w:lang w:val="en-US" w:eastAsia="zh-CN" w:bidi="ar-SA"/>
              </w:rPr>
            </w:pPr>
            <w:r>
              <w:rPr>
                <w:rFonts w:hint="eastAsia" w:ascii="仿宋_GB2312" w:eastAsia="仿宋_GB2312"/>
                <w:color w:val="auto"/>
                <w:szCs w:val="21"/>
                <w:lang w:val="en-US" w:eastAsia="zh-CN"/>
              </w:rPr>
              <w:t>0</w:t>
            </w:r>
          </w:p>
        </w:tc>
        <w:tc>
          <w:tcPr>
            <w:tcW w:w="658"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14:paraId="549F204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imes New Roman"/>
                <w:color w:val="auto"/>
                <w:kern w:val="2"/>
                <w:sz w:val="21"/>
                <w:szCs w:val="21"/>
                <w:lang w:val="en-US" w:eastAsia="zh-CN" w:bidi="ar-SA"/>
              </w:rPr>
            </w:pPr>
            <w:r>
              <w:rPr>
                <w:rFonts w:hint="eastAsia" w:ascii="仿宋_GB2312" w:eastAsia="仿宋_GB2312"/>
                <w:color w:val="auto"/>
                <w:szCs w:val="21"/>
                <w:lang w:val="en-US" w:eastAsia="zh-CN"/>
              </w:rPr>
              <w:t>0</w:t>
            </w:r>
          </w:p>
        </w:tc>
        <w:tc>
          <w:tcPr>
            <w:tcW w:w="550"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14:paraId="76E683C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imes New Roman"/>
                <w:color w:val="auto"/>
                <w:kern w:val="2"/>
                <w:sz w:val="21"/>
                <w:szCs w:val="21"/>
                <w:lang w:val="en-US" w:eastAsia="zh-CN" w:bidi="ar-SA"/>
              </w:rPr>
            </w:pPr>
            <w:r>
              <w:rPr>
                <w:rFonts w:hint="eastAsia" w:ascii="仿宋_GB2312" w:eastAsia="仿宋_GB2312"/>
                <w:color w:val="auto"/>
                <w:szCs w:val="21"/>
                <w:lang w:val="en-US" w:eastAsia="zh-CN"/>
              </w:rPr>
              <w:t>0</w:t>
            </w:r>
          </w:p>
        </w:tc>
        <w:tc>
          <w:tcPr>
            <w:tcW w:w="605"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14:paraId="5E2DEBD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imes New Roman"/>
                <w:color w:val="auto"/>
                <w:kern w:val="2"/>
                <w:sz w:val="21"/>
                <w:szCs w:val="21"/>
                <w:lang w:val="en-US" w:eastAsia="zh-CN" w:bidi="ar-SA"/>
              </w:rPr>
            </w:pPr>
            <w:r>
              <w:rPr>
                <w:rFonts w:hint="eastAsia" w:ascii="仿宋_GB2312" w:eastAsia="仿宋_GB2312"/>
                <w:color w:val="auto"/>
                <w:szCs w:val="21"/>
                <w:lang w:val="en-US" w:eastAsia="zh-CN"/>
              </w:rPr>
              <w:t>0</w:t>
            </w:r>
          </w:p>
        </w:tc>
        <w:tc>
          <w:tcPr>
            <w:tcW w:w="605"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14:paraId="35DCF68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imes New Roman"/>
                <w:color w:val="auto"/>
                <w:kern w:val="2"/>
                <w:sz w:val="21"/>
                <w:szCs w:val="21"/>
                <w:lang w:val="en-US" w:eastAsia="zh-CN" w:bidi="ar-SA"/>
              </w:rPr>
            </w:pPr>
            <w:r>
              <w:rPr>
                <w:rFonts w:hint="eastAsia" w:ascii="仿宋_GB2312" w:eastAsia="仿宋_GB2312"/>
                <w:color w:val="auto"/>
                <w:szCs w:val="21"/>
                <w:lang w:val="en-US" w:eastAsia="zh-CN"/>
              </w:rPr>
              <w:t>0</w:t>
            </w:r>
          </w:p>
        </w:tc>
        <w:tc>
          <w:tcPr>
            <w:tcW w:w="605"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14:paraId="1D962A7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imes New Roman"/>
                <w:color w:val="auto"/>
                <w:kern w:val="2"/>
                <w:sz w:val="21"/>
                <w:szCs w:val="21"/>
                <w:lang w:val="en-US" w:eastAsia="zh-CN" w:bidi="ar-SA"/>
              </w:rPr>
            </w:pPr>
            <w:r>
              <w:rPr>
                <w:rFonts w:hint="eastAsia" w:ascii="仿宋_GB2312" w:eastAsia="仿宋_GB2312"/>
                <w:color w:val="auto"/>
                <w:szCs w:val="21"/>
                <w:lang w:val="en-US" w:eastAsia="zh-CN"/>
              </w:rPr>
              <w:t>0</w:t>
            </w:r>
          </w:p>
        </w:tc>
        <w:tc>
          <w:tcPr>
            <w:tcW w:w="605"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14:paraId="6F9008D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imes New Roman"/>
                <w:color w:val="auto"/>
                <w:kern w:val="2"/>
                <w:sz w:val="21"/>
                <w:szCs w:val="21"/>
                <w:lang w:val="en-US" w:eastAsia="zh-CN" w:bidi="ar-SA"/>
              </w:rPr>
            </w:pPr>
            <w:r>
              <w:rPr>
                <w:rFonts w:hint="eastAsia" w:ascii="仿宋_GB2312" w:eastAsia="仿宋_GB2312"/>
                <w:color w:val="auto"/>
                <w:szCs w:val="21"/>
                <w:lang w:val="en-US" w:eastAsia="zh-CN"/>
              </w:rPr>
              <w:t>0</w:t>
            </w:r>
          </w:p>
        </w:tc>
        <w:tc>
          <w:tcPr>
            <w:tcW w:w="605"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14:paraId="5D20FC4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imes New Roman"/>
                <w:color w:val="auto"/>
                <w:kern w:val="2"/>
                <w:sz w:val="21"/>
                <w:szCs w:val="21"/>
                <w:lang w:val="en-US" w:eastAsia="zh-CN" w:bidi="ar-SA"/>
              </w:rPr>
            </w:pPr>
            <w:r>
              <w:rPr>
                <w:rFonts w:hint="eastAsia" w:ascii="仿宋_GB2312" w:eastAsia="仿宋_GB2312"/>
                <w:color w:val="auto"/>
                <w:szCs w:val="21"/>
                <w:lang w:val="en-US" w:eastAsia="zh-CN"/>
              </w:rPr>
              <w:t>0</w:t>
            </w:r>
          </w:p>
        </w:tc>
        <w:tc>
          <w:tcPr>
            <w:tcW w:w="605"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14:paraId="51E065C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imes New Roman"/>
                <w:color w:val="auto"/>
                <w:kern w:val="2"/>
                <w:sz w:val="21"/>
                <w:szCs w:val="21"/>
                <w:lang w:val="en-US" w:eastAsia="zh-CN" w:bidi="ar-SA"/>
              </w:rPr>
            </w:pPr>
            <w:r>
              <w:rPr>
                <w:rFonts w:hint="eastAsia" w:ascii="仿宋_GB2312" w:eastAsia="仿宋_GB2312"/>
                <w:color w:val="auto"/>
                <w:szCs w:val="21"/>
                <w:lang w:val="en-US" w:eastAsia="zh-CN"/>
              </w:rPr>
              <w:t>0</w:t>
            </w:r>
          </w:p>
        </w:tc>
        <w:tc>
          <w:tcPr>
            <w:tcW w:w="605"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14:paraId="5359141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imes New Roman"/>
                <w:color w:val="auto"/>
                <w:kern w:val="2"/>
                <w:sz w:val="21"/>
                <w:szCs w:val="21"/>
                <w:lang w:val="en-US" w:eastAsia="zh-CN" w:bidi="ar-SA"/>
              </w:rPr>
            </w:pPr>
            <w:r>
              <w:rPr>
                <w:rFonts w:hint="eastAsia" w:ascii="仿宋_GB2312" w:eastAsia="仿宋_GB2312"/>
                <w:color w:val="auto"/>
                <w:szCs w:val="21"/>
                <w:lang w:val="en-US" w:eastAsia="zh-CN"/>
              </w:rPr>
              <w:t>0</w:t>
            </w:r>
          </w:p>
        </w:tc>
        <w:tc>
          <w:tcPr>
            <w:tcW w:w="606"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14:paraId="66EDA31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imes New Roman"/>
                <w:color w:val="auto"/>
                <w:kern w:val="2"/>
                <w:sz w:val="21"/>
                <w:szCs w:val="21"/>
                <w:lang w:val="en-US" w:eastAsia="zh-CN" w:bidi="ar-SA"/>
              </w:rPr>
            </w:pPr>
            <w:r>
              <w:rPr>
                <w:rFonts w:hint="eastAsia" w:ascii="仿宋_GB2312" w:eastAsia="仿宋_GB2312"/>
                <w:color w:val="auto"/>
                <w:szCs w:val="21"/>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14:paraId="308676E1">
            <w:pPr>
              <w:widowControl/>
              <w:spacing w:after="180"/>
              <w:jc w:val="center"/>
              <w:rPr>
                <w:rFonts w:hint="eastAsia" w:ascii="Times New Roman" w:hAnsi="Times New Roman" w:eastAsia="宋体"/>
                <w:color w:val="auto"/>
                <w:lang w:val="en-US" w:eastAsia="zh-CN"/>
              </w:rPr>
            </w:pPr>
            <w:r>
              <w:rPr>
                <w:rFonts w:hint="eastAsia"/>
                <w:color w:val="auto"/>
                <w:lang w:val="en-US" w:eastAsia="zh-CN"/>
              </w:rPr>
              <w:t>0</w:t>
            </w:r>
          </w:p>
        </w:tc>
      </w:tr>
    </w:tbl>
    <w:p w14:paraId="5DDB072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b w:val="0"/>
          <w:bCs/>
          <w:i w:val="0"/>
          <w:caps w:val="0"/>
          <w:color w:val="auto"/>
          <w:spacing w:val="0"/>
          <w:kern w:val="0"/>
          <w:sz w:val="32"/>
          <w:szCs w:val="32"/>
          <w:shd w:val="clear" w:color="auto" w:fill="FFFFFF"/>
          <w:lang w:val="en-US" w:eastAsia="zh-CN" w:bidi="ar"/>
        </w:rPr>
      </w:pPr>
      <w:r>
        <w:rPr>
          <w:rFonts w:hint="eastAsia" w:ascii="黑体" w:hAnsi="黑体" w:eastAsia="黑体" w:cs="黑体"/>
          <w:b w:val="0"/>
          <w:bCs/>
          <w:i w:val="0"/>
          <w:caps w:val="0"/>
          <w:color w:val="auto"/>
          <w:spacing w:val="0"/>
          <w:kern w:val="0"/>
          <w:sz w:val="32"/>
          <w:szCs w:val="32"/>
          <w:shd w:val="clear" w:color="auto" w:fill="FFFFFF"/>
          <w:lang w:val="en-US" w:eastAsia="zh-CN" w:bidi="ar"/>
        </w:rPr>
        <w:t>五、存在的主要问题及改进情况</w:t>
      </w:r>
    </w:p>
    <w:p w14:paraId="670D559E">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楷体_GB2312" w:hAnsi="楷体_GB2312" w:eastAsia="楷体_GB2312" w:cs="楷体_GB2312"/>
          <w:i w:val="0"/>
          <w:iCs w:val="0"/>
          <w:caps w:val="0"/>
          <w:color w:val="auto"/>
          <w:spacing w:val="0"/>
          <w:sz w:val="32"/>
          <w:szCs w:val="32"/>
          <w:highlight w:val="none"/>
          <w:shd w:val="clear" w:fill="FFFFFF"/>
        </w:rPr>
        <w:t>存在问题</w:t>
      </w:r>
    </w:p>
    <w:p w14:paraId="3DF11B4F">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SA"/>
        </w:rPr>
      </w:pP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SA"/>
        </w:rPr>
        <w:t>2025年，滕州市医保局政务公开工作取得一定成效，但对照标准要求和群众需求仍有不足：一是政策变动快，适配不同群体需求不足，对政策深层内容阐释不够充分；二是公众互动机制不健全，意见征集实效性不强，对群众诉求回应不够及时全面；三是工作队伍专业能力欠缺，业务培训不足，难以精准把握公开流程与规范要求。</w:t>
      </w:r>
    </w:p>
    <w:p w14:paraId="3EA96FF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楷体_GB2312" w:hAnsi="楷体_GB2312" w:eastAsia="楷体_GB2312" w:cs="楷体_GB2312"/>
          <w:i w:val="0"/>
          <w:iCs w:val="0"/>
          <w:caps w:val="0"/>
          <w:color w:val="auto"/>
          <w:spacing w:val="0"/>
          <w:sz w:val="32"/>
          <w:szCs w:val="32"/>
          <w:highlight w:val="none"/>
          <w:shd w:val="clear" w:fill="FFFFFF"/>
        </w:rPr>
      </w:pPr>
      <w:r>
        <w:rPr>
          <w:rFonts w:hint="eastAsia" w:ascii="楷体_GB2312" w:hAnsi="楷体_GB2312" w:eastAsia="楷体_GB2312" w:cs="楷体_GB2312"/>
          <w:i w:val="0"/>
          <w:iCs w:val="0"/>
          <w:caps w:val="0"/>
          <w:color w:val="auto"/>
          <w:spacing w:val="0"/>
          <w:sz w:val="32"/>
          <w:szCs w:val="32"/>
          <w:highlight w:val="none"/>
          <w:shd w:val="clear" w:fill="FFFFFF"/>
        </w:rPr>
        <w:t>（二）整改措施</w:t>
      </w:r>
    </w:p>
    <w:p w14:paraId="4D0BA996">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SA"/>
        </w:rPr>
      </w:pP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SA"/>
        </w:rPr>
        <w:t>针对上述问题，滕州市医保局将坚持问题、目标、结果导向精准施策：一是丰富载体、深化内容，精准推送适配不同群体；二是畅通互动渠道，规范意见征集，健全群众诉求闭环回应机制；三是强化队伍保障，加强业务培训，健全工作与考核激励机制，全面提升政务公开质量，保障群众权益。</w:t>
      </w:r>
    </w:p>
    <w:p w14:paraId="459B3F25">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b w:val="0"/>
          <w:bCs/>
          <w:i w:val="0"/>
          <w:caps w:val="0"/>
          <w:color w:val="auto"/>
          <w:spacing w:val="0"/>
          <w:kern w:val="0"/>
          <w:sz w:val="32"/>
          <w:szCs w:val="32"/>
          <w:shd w:val="clear" w:color="auto" w:fill="FFFFFF"/>
          <w:lang w:val="en-US" w:eastAsia="zh-CN" w:bidi="ar"/>
        </w:rPr>
      </w:pPr>
      <w:r>
        <w:rPr>
          <w:rFonts w:hint="eastAsia" w:ascii="黑体" w:hAnsi="黑体" w:eastAsia="黑体" w:cs="黑体"/>
          <w:b w:val="0"/>
          <w:bCs/>
          <w:i w:val="0"/>
          <w:caps w:val="0"/>
          <w:color w:val="auto"/>
          <w:spacing w:val="0"/>
          <w:kern w:val="0"/>
          <w:sz w:val="32"/>
          <w:szCs w:val="32"/>
          <w:shd w:val="clear" w:color="auto" w:fill="FFFFFF"/>
          <w:lang w:val="en-US" w:eastAsia="zh-CN" w:bidi="ar"/>
        </w:rPr>
        <w:t>六、其他需要报告的事项</w:t>
      </w:r>
    </w:p>
    <w:p w14:paraId="0B605A8B">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600" w:lineRule="exact"/>
        <w:ind w:left="0" w:firstLine="640" w:firstLineChars="200"/>
        <w:jc w:val="both"/>
        <w:textAlignment w:val="auto"/>
        <w:rPr>
          <w:rFonts w:hint="default" w:ascii="sans-serif" w:hAnsi="sans-serif" w:eastAsia="sans-serif" w:cs="sans-serif"/>
          <w:i w:val="0"/>
          <w:iCs w:val="0"/>
          <w:caps w:val="0"/>
          <w:color w:val="auto"/>
          <w:spacing w:val="0"/>
          <w:sz w:val="32"/>
          <w:szCs w:val="32"/>
        </w:rPr>
      </w:pPr>
      <w:r>
        <w:rPr>
          <w:rFonts w:hint="eastAsia" w:ascii="仿宋_GB2312" w:hAnsi="sans-serif" w:eastAsia="仿宋_GB2312" w:cs="仿宋_GB2312"/>
          <w:i w:val="0"/>
          <w:iCs w:val="0"/>
          <w:caps w:val="0"/>
          <w:color w:val="auto"/>
          <w:spacing w:val="0"/>
          <w:sz w:val="32"/>
          <w:szCs w:val="32"/>
          <w:shd w:val="clear" w:fill="FFFFFF"/>
        </w:rPr>
        <w:t>（一）本年度，滕州市医保局未收取任何政府信息公开费用。</w:t>
      </w:r>
    </w:p>
    <w:p w14:paraId="557D22D5">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left="0" w:firstLine="640" w:firstLineChars="200"/>
        <w:jc w:val="both"/>
        <w:textAlignment w:val="auto"/>
        <w:rPr>
          <w:rFonts w:hint="default" w:ascii="sans-serif" w:hAnsi="sans-serif" w:eastAsia="sans-serif" w:cs="sans-serif"/>
          <w:i w:val="0"/>
          <w:iCs w:val="0"/>
          <w:caps w:val="0"/>
          <w:color w:val="auto"/>
          <w:spacing w:val="0"/>
          <w:sz w:val="32"/>
          <w:szCs w:val="32"/>
        </w:rPr>
      </w:pPr>
      <w:r>
        <w:rPr>
          <w:rFonts w:hint="eastAsia" w:ascii="仿宋_GB2312" w:hAnsi="sans-serif" w:eastAsia="仿宋_GB2312" w:cs="仿宋_GB2312"/>
          <w:i w:val="0"/>
          <w:iCs w:val="0"/>
          <w:caps w:val="0"/>
          <w:color w:val="auto"/>
          <w:spacing w:val="0"/>
          <w:sz w:val="32"/>
          <w:szCs w:val="32"/>
        </w:rPr>
        <w:t>（二）本行政机关落实年度政务公开工作要点情况：</w:t>
      </w:r>
    </w:p>
    <w:p w14:paraId="74FFEFD4">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left="0" w:firstLine="640" w:firstLineChars="200"/>
        <w:jc w:val="both"/>
        <w:textAlignment w:val="auto"/>
        <w:rPr>
          <w:rFonts w:hint="default" w:ascii="sans-serif" w:hAnsi="sans-serif" w:eastAsia="sans-serif" w:cs="sans-serif"/>
          <w:i w:val="0"/>
          <w:iCs w:val="0"/>
          <w:caps w:val="0"/>
          <w:color w:val="auto"/>
          <w:spacing w:val="0"/>
          <w:sz w:val="32"/>
          <w:szCs w:val="32"/>
        </w:rPr>
      </w:pPr>
      <w:r>
        <w:rPr>
          <w:rFonts w:hint="eastAsia" w:ascii="仿宋_GB2312" w:hAnsi="sans-serif" w:eastAsia="仿宋_GB2312" w:cs="仿宋_GB2312"/>
          <w:i w:val="0"/>
          <w:iCs w:val="0"/>
          <w:caps w:val="0"/>
          <w:color w:val="auto"/>
          <w:spacing w:val="0"/>
          <w:sz w:val="32"/>
          <w:szCs w:val="32"/>
        </w:rPr>
        <w:t>20</w:t>
      </w:r>
      <w:r>
        <w:rPr>
          <w:rFonts w:hint="eastAsia" w:ascii="仿宋_GB2312" w:hAnsi="sans-serif" w:eastAsia="仿宋_GB2312" w:cs="仿宋_GB2312"/>
          <w:i w:val="0"/>
          <w:iCs w:val="0"/>
          <w:caps w:val="0"/>
          <w:color w:val="auto"/>
          <w:spacing w:val="0"/>
          <w:sz w:val="32"/>
          <w:szCs w:val="32"/>
          <w:lang w:val="en-US" w:eastAsia="zh-CN"/>
        </w:rPr>
        <w:t>25</w:t>
      </w:r>
      <w:r>
        <w:rPr>
          <w:rFonts w:hint="eastAsia" w:ascii="仿宋_GB2312" w:hAnsi="sans-serif" w:eastAsia="仿宋_GB2312" w:cs="仿宋_GB2312"/>
          <w:i w:val="0"/>
          <w:iCs w:val="0"/>
          <w:caps w:val="0"/>
          <w:color w:val="auto"/>
          <w:spacing w:val="0"/>
          <w:sz w:val="32"/>
          <w:szCs w:val="32"/>
        </w:rPr>
        <w:t>年，滕州市医保局严格按照《中华人民共和国政府信息公开条例》和省政府办公厅、枣庄市政府办公室、滕州市政府办公室通知要求，认真对本部门承担的政务公开重点任务，进一步细化分解，将任务责任到人，确保应公开尽公开，不断提升政务公开能力水平。</w:t>
      </w:r>
    </w:p>
    <w:p w14:paraId="085E8FC1">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left="0" w:firstLine="640" w:firstLineChars="200"/>
        <w:jc w:val="both"/>
        <w:textAlignment w:val="auto"/>
        <w:rPr>
          <w:rFonts w:hint="default" w:ascii="sans-serif" w:hAnsi="sans-serif" w:eastAsia="sans-serif" w:cs="sans-serif"/>
          <w:i w:val="0"/>
          <w:iCs w:val="0"/>
          <w:caps w:val="0"/>
          <w:color w:val="auto"/>
          <w:spacing w:val="0"/>
          <w:sz w:val="32"/>
          <w:szCs w:val="32"/>
        </w:rPr>
      </w:pPr>
      <w:r>
        <w:rPr>
          <w:rFonts w:hint="eastAsia" w:ascii="仿宋_GB2312" w:hAnsi="sans-serif" w:eastAsia="仿宋_GB2312" w:cs="仿宋_GB2312"/>
          <w:i w:val="0"/>
          <w:iCs w:val="0"/>
          <w:caps w:val="0"/>
          <w:color w:val="auto"/>
          <w:spacing w:val="0"/>
          <w:sz w:val="32"/>
          <w:szCs w:val="32"/>
        </w:rPr>
        <w:t>（三）本行政机关人大代表建议和政协提案办理结果公开情况：</w:t>
      </w:r>
    </w:p>
    <w:p w14:paraId="042C59CE">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sans-serif" w:hAnsi="sans-serif" w:eastAsia="sans-serif" w:cs="sans-serif"/>
          <w:i w:val="0"/>
          <w:iCs w:val="0"/>
          <w:caps w:val="0"/>
          <w:color w:val="auto"/>
          <w:spacing w:val="0"/>
          <w:sz w:val="32"/>
          <w:szCs w:val="32"/>
          <w:highlight w:val="none"/>
        </w:rPr>
      </w:pPr>
      <w:r>
        <w:rPr>
          <w:rFonts w:hint="eastAsia" w:ascii="仿宋_GB2312" w:hAnsi="sans-serif" w:eastAsia="仿宋_GB2312" w:cs="仿宋_GB2312"/>
          <w:i w:val="0"/>
          <w:iCs w:val="0"/>
          <w:caps w:val="0"/>
          <w:color w:val="auto"/>
          <w:spacing w:val="0"/>
          <w:sz w:val="32"/>
          <w:szCs w:val="32"/>
          <w:highlight w:val="none"/>
          <w:shd w:val="clear" w:fill="FFFFFF"/>
        </w:rPr>
        <w:t>20</w:t>
      </w:r>
      <w:r>
        <w:rPr>
          <w:rFonts w:hint="eastAsia" w:ascii="仿宋_GB2312" w:hAnsi="sans-serif" w:eastAsia="仿宋_GB2312" w:cs="仿宋_GB2312"/>
          <w:i w:val="0"/>
          <w:iCs w:val="0"/>
          <w:caps w:val="0"/>
          <w:color w:val="auto"/>
          <w:spacing w:val="0"/>
          <w:sz w:val="32"/>
          <w:szCs w:val="32"/>
          <w:highlight w:val="none"/>
          <w:shd w:val="clear" w:fill="FFFFFF"/>
          <w:lang w:val="en-US" w:eastAsia="zh-CN"/>
        </w:rPr>
        <w:t>25</w:t>
      </w:r>
      <w:r>
        <w:rPr>
          <w:rFonts w:hint="eastAsia" w:ascii="仿宋_GB2312" w:hAnsi="sans-serif" w:eastAsia="仿宋_GB2312" w:cs="仿宋_GB2312"/>
          <w:i w:val="0"/>
          <w:iCs w:val="0"/>
          <w:caps w:val="0"/>
          <w:color w:val="auto"/>
          <w:spacing w:val="0"/>
          <w:sz w:val="32"/>
          <w:szCs w:val="32"/>
          <w:highlight w:val="none"/>
          <w:shd w:val="clear" w:fill="FFFFFF"/>
        </w:rPr>
        <w:t>年，滕州市医保局收到</w:t>
      </w:r>
      <w:r>
        <w:rPr>
          <w:rFonts w:hint="eastAsia" w:ascii="仿宋_GB2312" w:hAnsi="sans-serif" w:eastAsia="仿宋_GB2312" w:cs="仿宋_GB2312"/>
          <w:i w:val="0"/>
          <w:iCs w:val="0"/>
          <w:caps w:val="0"/>
          <w:color w:val="auto"/>
          <w:spacing w:val="0"/>
          <w:sz w:val="32"/>
          <w:szCs w:val="32"/>
          <w:highlight w:val="none"/>
          <w:shd w:val="clear" w:fill="FFFFFF"/>
          <w:lang w:val="en-US" w:eastAsia="zh-CN"/>
        </w:rPr>
        <w:t>枣庄</w:t>
      </w:r>
      <w:r>
        <w:rPr>
          <w:rFonts w:hint="eastAsia" w:ascii="仿宋_GB2312" w:hAnsi="sans-serif" w:eastAsia="仿宋_GB2312" w:cs="仿宋_GB2312"/>
          <w:i w:val="0"/>
          <w:iCs w:val="0"/>
          <w:caps w:val="0"/>
          <w:color w:val="auto"/>
          <w:spacing w:val="0"/>
          <w:sz w:val="32"/>
          <w:szCs w:val="32"/>
          <w:highlight w:val="none"/>
          <w:shd w:val="clear" w:fill="FFFFFF"/>
        </w:rPr>
        <w:t>政协提案</w:t>
      </w:r>
      <w:r>
        <w:rPr>
          <w:rFonts w:hint="eastAsia" w:ascii="仿宋_GB2312" w:hAnsi="sans-serif" w:eastAsia="仿宋_GB2312" w:cs="仿宋_GB2312"/>
          <w:i w:val="0"/>
          <w:iCs w:val="0"/>
          <w:caps w:val="0"/>
          <w:color w:val="auto"/>
          <w:spacing w:val="0"/>
          <w:sz w:val="32"/>
          <w:szCs w:val="32"/>
          <w:highlight w:val="none"/>
          <w:shd w:val="clear" w:fill="FFFFFF"/>
          <w:lang w:val="en-US" w:eastAsia="zh-CN"/>
        </w:rPr>
        <w:t>2</w:t>
      </w:r>
      <w:r>
        <w:rPr>
          <w:rFonts w:hint="eastAsia" w:ascii="仿宋_GB2312" w:hAnsi="sans-serif" w:eastAsia="仿宋_GB2312" w:cs="仿宋_GB2312"/>
          <w:i w:val="0"/>
          <w:iCs w:val="0"/>
          <w:caps w:val="0"/>
          <w:color w:val="auto"/>
          <w:spacing w:val="0"/>
          <w:sz w:val="32"/>
          <w:szCs w:val="32"/>
          <w:highlight w:val="none"/>
          <w:shd w:val="clear" w:fill="FFFFFF"/>
        </w:rPr>
        <w:t>件，人大议案</w:t>
      </w:r>
      <w:r>
        <w:rPr>
          <w:rFonts w:hint="eastAsia" w:ascii="仿宋_GB2312" w:hAnsi="sans-serif" w:eastAsia="仿宋_GB2312" w:cs="仿宋_GB2312"/>
          <w:i w:val="0"/>
          <w:iCs w:val="0"/>
          <w:caps w:val="0"/>
          <w:color w:val="auto"/>
          <w:spacing w:val="0"/>
          <w:sz w:val="32"/>
          <w:szCs w:val="32"/>
          <w:highlight w:val="none"/>
          <w:shd w:val="clear" w:fill="FFFFFF"/>
          <w:lang w:val="en-US" w:eastAsia="zh-CN"/>
        </w:rPr>
        <w:t>1</w:t>
      </w:r>
      <w:r>
        <w:rPr>
          <w:rFonts w:hint="eastAsia" w:ascii="仿宋_GB2312" w:hAnsi="sans-serif" w:eastAsia="仿宋_GB2312" w:cs="仿宋_GB2312"/>
          <w:i w:val="0"/>
          <w:iCs w:val="0"/>
          <w:caps w:val="0"/>
          <w:color w:val="auto"/>
          <w:spacing w:val="0"/>
          <w:sz w:val="32"/>
          <w:szCs w:val="32"/>
          <w:highlight w:val="none"/>
          <w:shd w:val="clear" w:fill="FFFFFF"/>
        </w:rPr>
        <w:t>件，</w:t>
      </w:r>
      <w:r>
        <w:rPr>
          <w:rFonts w:hint="eastAsia" w:ascii="仿宋_GB2312" w:hAnsi="sans-serif" w:eastAsia="仿宋_GB2312" w:cs="仿宋_GB2312"/>
          <w:i w:val="0"/>
          <w:iCs w:val="0"/>
          <w:caps w:val="0"/>
          <w:color w:val="auto"/>
          <w:spacing w:val="0"/>
          <w:sz w:val="32"/>
          <w:szCs w:val="32"/>
          <w:highlight w:val="none"/>
          <w:shd w:val="clear" w:fill="FFFFFF"/>
          <w:lang w:val="en-US" w:eastAsia="zh-CN"/>
        </w:rPr>
        <w:t>收到滕州政协</w:t>
      </w:r>
      <w:r>
        <w:rPr>
          <w:rFonts w:hint="eastAsia" w:ascii="仿宋_GB2312" w:hAnsi="sans-serif" w:eastAsia="仿宋_GB2312" w:cs="仿宋_GB2312"/>
          <w:i w:val="0"/>
          <w:iCs w:val="0"/>
          <w:caps w:val="0"/>
          <w:color w:val="auto"/>
          <w:spacing w:val="0"/>
          <w:sz w:val="32"/>
          <w:szCs w:val="32"/>
          <w:highlight w:val="none"/>
          <w:shd w:val="clear" w:fill="FFFFFF"/>
        </w:rPr>
        <w:t>提案</w:t>
      </w:r>
      <w:r>
        <w:rPr>
          <w:rFonts w:hint="eastAsia" w:ascii="仿宋_GB2312" w:hAnsi="sans-serif" w:eastAsia="仿宋_GB2312" w:cs="仿宋_GB2312"/>
          <w:i w:val="0"/>
          <w:iCs w:val="0"/>
          <w:caps w:val="0"/>
          <w:color w:val="auto"/>
          <w:spacing w:val="0"/>
          <w:sz w:val="32"/>
          <w:szCs w:val="32"/>
          <w:highlight w:val="none"/>
          <w:shd w:val="clear" w:fill="FFFFFF"/>
          <w:lang w:val="en-US" w:eastAsia="zh-CN"/>
        </w:rPr>
        <w:t>4</w:t>
      </w:r>
      <w:r>
        <w:rPr>
          <w:rFonts w:hint="eastAsia" w:ascii="仿宋_GB2312" w:hAnsi="sans-serif" w:eastAsia="仿宋_GB2312" w:cs="仿宋_GB2312"/>
          <w:i w:val="0"/>
          <w:iCs w:val="0"/>
          <w:caps w:val="0"/>
          <w:color w:val="auto"/>
          <w:spacing w:val="0"/>
          <w:sz w:val="32"/>
          <w:szCs w:val="32"/>
          <w:highlight w:val="none"/>
          <w:shd w:val="clear" w:fill="FFFFFF"/>
        </w:rPr>
        <w:t>件，人大议案</w:t>
      </w:r>
      <w:r>
        <w:rPr>
          <w:rFonts w:hint="eastAsia" w:ascii="仿宋_GB2312" w:hAnsi="sans-serif" w:eastAsia="仿宋_GB2312" w:cs="仿宋_GB2312"/>
          <w:i w:val="0"/>
          <w:iCs w:val="0"/>
          <w:caps w:val="0"/>
          <w:color w:val="auto"/>
          <w:spacing w:val="0"/>
          <w:sz w:val="32"/>
          <w:szCs w:val="32"/>
          <w:highlight w:val="none"/>
          <w:shd w:val="clear" w:fill="FFFFFF"/>
          <w:lang w:val="en-US" w:eastAsia="zh-CN"/>
        </w:rPr>
        <w:t>2</w:t>
      </w:r>
      <w:r>
        <w:rPr>
          <w:rFonts w:hint="eastAsia" w:ascii="仿宋_GB2312" w:hAnsi="sans-serif" w:eastAsia="仿宋_GB2312" w:cs="仿宋_GB2312"/>
          <w:i w:val="0"/>
          <w:iCs w:val="0"/>
          <w:caps w:val="0"/>
          <w:color w:val="auto"/>
          <w:spacing w:val="0"/>
          <w:sz w:val="32"/>
          <w:szCs w:val="32"/>
          <w:highlight w:val="none"/>
          <w:shd w:val="clear" w:fill="FFFFFF"/>
        </w:rPr>
        <w:t>件，都已办理完毕，逐一答复了代表本人，并将提案办理情况进行了公开。</w:t>
      </w:r>
    </w:p>
    <w:p w14:paraId="7C2A3FBE">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left="0" w:firstLine="640" w:firstLineChars="200"/>
        <w:jc w:val="both"/>
        <w:textAlignment w:val="auto"/>
        <w:rPr>
          <w:rFonts w:hint="default" w:ascii="sans-serif" w:hAnsi="sans-serif" w:eastAsia="仿宋_GB2312" w:cs="sans-serif"/>
          <w:i w:val="0"/>
          <w:iCs w:val="0"/>
          <w:caps w:val="0"/>
          <w:color w:val="auto"/>
          <w:spacing w:val="0"/>
          <w:sz w:val="32"/>
          <w:szCs w:val="32"/>
          <w:highlight w:val="yellow"/>
          <w:lang w:val="en-US" w:eastAsia="zh-CN"/>
        </w:rPr>
      </w:pPr>
      <w:r>
        <w:rPr>
          <w:rFonts w:hint="eastAsia" w:ascii="仿宋_GB2312" w:hAnsi="sans-serif" w:eastAsia="仿宋_GB2312" w:cs="仿宋_GB2312"/>
          <w:i w:val="0"/>
          <w:iCs w:val="0"/>
          <w:caps w:val="0"/>
          <w:color w:val="auto"/>
          <w:spacing w:val="0"/>
          <w:sz w:val="32"/>
          <w:szCs w:val="32"/>
        </w:rPr>
        <w:t>（四）本行政机关年度政务公开工作创新情况：</w:t>
      </w:r>
    </w:p>
    <w:p w14:paraId="48310F6A">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snapToGrid w:val="0"/>
          <w:color w:val="auto"/>
          <w:kern w:val="0"/>
          <w:sz w:val="32"/>
          <w:szCs w:val="32"/>
          <w:highlight w:val="none"/>
        </w:rPr>
      </w:pPr>
      <w:r>
        <w:rPr>
          <w:rFonts w:hint="eastAsia" w:ascii="仿宋_GB2312" w:hAnsi="sans-serif" w:eastAsia="仿宋_GB2312" w:cs="仿宋_GB2312"/>
          <w:i w:val="0"/>
          <w:iCs w:val="0"/>
          <w:caps w:val="0"/>
          <w:color w:val="auto"/>
          <w:spacing w:val="0"/>
          <w:sz w:val="32"/>
          <w:szCs w:val="32"/>
          <w:shd w:val="clear" w:fill="FFFFFF"/>
          <w:lang w:val="en-US" w:eastAsia="zh-CN"/>
        </w:rPr>
        <w:t>1.</w:t>
      </w:r>
      <w:r>
        <w:rPr>
          <w:rFonts w:hint="eastAsia" w:ascii="仿宋_GB2312" w:hAnsi="sans-serif" w:eastAsia="仿宋_GB2312" w:cs="仿宋_GB2312"/>
          <w:i w:val="0"/>
          <w:iCs w:val="0"/>
          <w:caps w:val="0"/>
          <w:color w:val="auto"/>
          <w:spacing w:val="0"/>
          <w:sz w:val="32"/>
          <w:szCs w:val="32"/>
          <w:shd w:val="clear" w:fill="FFFFFF"/>
        </w:rPr>
        <w:t>搭建沟通桥梁，把群众</w:t>
      </w:r>
      <w:r>
        <w:rPr>
          <w:rFonts w:hint="eastAsia" w:ascii="仿宋_GB2312" w:hAnsi="sans-serif" w:eastAsia="仿宋_GB2312" w:cs="仿宋_GB2312"/>
          <w:i w:val="0"/>
          <w:iCs w:val="0"/>
          <w:caps w:val="0"/>
          <w:color w:val="auto"/>
          <w:spacing w:val="0"/>
          <w:sz w:val="32"/>
          <w:szCs w:val="32"/>
          <w:shd w:val="clear" w:fill="FFFFFF"/>
          <w:lang w:eastAsia="zh-CN"/>
        </w:rPr>
        <w:t>“</w:t>
      </w:r>
      <w:r>
        <w:rPr>
          <w:rFonts w:hint="eastAsia" w:ascii="仿宋_GB2312" w:hAnsi="sans-serif" w:eastAsia="仿宋_GB2312" w:cs="仿宋_GB2312"/>
          <w:i w:val="0"/>
          <w:iCs w:val="0"/>
          <w:caps w:val="0"/>
          <w:color w:val="auto"/>
          <w:spacing w:val="0"/>
          <w:sz w:val="32"/>
          <w:szCs w:val="32"/>
          <w:shd w:val="clear" w:fill="FFFFFF"/>
        </w:rPr>
        <w:t>请进来</w:t>
      </w:r>
      <w:r>
        <w:rPr>
          <w:rFonts w:hint="eastAsia" w:ascii="仿宋_GB2312" w:hAnsi="sans-serif" w:eastAsia="仿宋_GB2312" w:cs="仿宋_GB2312"/>
          <w:i w:val="0"/>
          <w:iCs w:val="0"/>
          <w:caps w:val="0"/>
          <w:color w:val="auto"/>
          <w:spacing w:val="0"/>
          <w:sz w:val="32"/>
          <w:szCs w:val="32"/>
          <w:shd w:val="clear" w:fill="FFFFFF"/>
          <w:lang w:eastAsia="zh-CN"/>
        </w:rPr>
        <w:t>”</w:t>
      </w:r>
      <w:r>
        <w:rPr>
          <w:rFonts w:hint="eastAsia" w:ascii="仿宋_GB2312" w:hAnsi="sans-serif" w:eastAsia="仿宋_GB2312" w:cs="仿宋_GB2312"/>
          <w:i w:val="0"/>
          <w:iCs w:val="0"/>
          <w:caps w:val="0"/>
          <w:color w:val="auto"/>
          <w:spacing w:val="0"/>
          <w:sz w:val="32"/>
          <w:szCs w:val="32"/>
          <w:shd w:val="clear" w:fill="FFFFFF"/>
        </w:rPr>
        <w:t>。以群众需求为导向，举办“</w:t>
      </w:r>
      <w:r>
        <w:rPr>
          <w:rFonts w:hint="eastAsia" w:ascii="仿宋_GB2312" w:hAnsi="sans-serif" w:eastAsia="仿宋_GB2312" w:cs="仿宋_GB2312"/>
          <w:i w:val="0"/>
          <w:iCs w:val="0"/>
          <w:caps w:val="0"/>
          <w:color w:val="auto"/>
          <w:spacing w:val="0"/>
          <w:sz w:val="32"/>
          <w:szCs w:val="32"/>
          <w:shd w:val="clear" w:fill="FFFFFF"/>
          <w:lang w:val="en-US" w:eastAsia="zh-CN"/>
        </w:rPr>
        <w:t>政府</w:t>
      </w:r>
      <w:r>
        <w:rPr>
          <w:rFonts w:hint="eastAsia" w:ascii="仿宋_GB2312" w:hAnsi="sans-serif" w:eastAsia="仿宋_GB2312" w:cs="仿宋_GB2312"/>
          <w:i w:val="0"/>
          <w:iCs w:val="0"/>
          <w:caps w:val="0"/>
          <w:color w:val="auto"/>
          <w:spacing w:val="0"/>
          <w:sz w:val="32"/>
          <w:szCs w:val="32"/>
          <w:shd w:val="clear" w:fill="FFFFFF"/>
        </w:rPr>
        <w:t>开放日”系列活动，组织人大代表、政协委员、社会监督员、群众代表等，“零距离”了解医保工作，“沉浸式”体验医保业务办理流程，提升工作实效。</w:t>
      </w:r>
      <w:r>
        <w:rPr>
          <w:rFonts w:hint="eastAsia" w:ascii="仿宋_GB2312" w:hAnsi="sans-serif" w:eastAsia="仿宋_GB2312" w:cs="仿宋_GB2312"/>
          <w:i w:val="0"/>
          <w:iCs w:val="0"/>
          <w:caps w:val="0"/>
          <w:color w:val="auto"/>
          <w:spacing w:val="0"/>
          <w:sz w:val="32"/>
          <w:szCs w:val="32"/>
          <w:shd w:val="clear" w:fill="FFFFFF"/>
          <w:lang w:val="en-US" w:eastAsia="zh-CN"/>
        </w:rPr>
        <w:t>为</w:t>
      </w:r>
      <w:r>
        <w:rPr>
          <w:rFonts w:hint="eastAsia" w:ascii="仿宋_GB2312" w:hAnsi="sans-serif" w:eastAsia="仿宋_GB2312" w:cs="仿宋_GB2312"/>
          <w:i w:val="0"/>
          <w:iCs w:val="0"/>
          <w:caps w:val="0"/>
          <w:color w:val="auto"/>
          <w:spacing w:val="0"/>
          <w:sz w:val="32"/>
          <w:szCs w:val="32"/>
          <w:shd w:val="clear" w:fill="FFFFFF"/>
        </w:rPr>
        <w:t>加强医保基金社会监督工作</w:t>
      </w:r>
      <w:r>
        <w:rPr>
          <w:rFonts w:hint="eastAsia" w:ascii="仿宋_GB2312" w:hAnsi="sans-serif" w:eastAsia="仿宋_GB2312" w:cs="仿宋_GB2312"/>
          <w:i w:val="0"/>
          <w:iCs w:val="0"/>
          <w:caps w:val="0"/>
          <w:color w:val="auto"/>
          <w:spacing w:val="0"/>
          <w:sz w:val="32"/>
          <w:szCs w:val="32"/>
          <w:shd w:val="clear" w:fill="FFFFFF"/>
          <w:lang w:eastAsia="zh-CN"/>
        </w:rPr>
        <w:t>，</w:t>
      </w:r>
      <w:r>
        <w:rPr>
          <w:rFonts w:hint="eastAsia" w:ascii="仿宋_GB2312" w:hAnsi="sans-serif" w:eastAsia="仿宋_GB2312" w:cs="仿宋_GB2312"/>
          <w:i w:val="0"/>
          <w:iCs w:val="0"/>
          <w:caps w:val="0"/>
          <w:color w:val="auto"/>
          <w:spacing w:val="0"/>
          <w:sz w:val="32"/>
          <w:szCs w:val="32"/>
          <w:shd w:val="clear" w:fill="FFFFFF"/>
          <w:lang w:val="en-US" w:eastAsia="zh-CN"/>
        </w:rPr>
        <w:t>守好群</w:t>
      </w:r>
      <w:bookmarkStart w:id="10" w:name="_GoBack"/>
      <w:bookmarkEnd w:id="10"/>
      <w:r>
        <w:rPr>
          <w:rFonts w:hint="eastAsia" w:ascii="仿宋_GB2312" w:hAnsi="sans-serif" w:eastAsia="仿宋_GB2312" w:cs="仿宋_GB2312"/>
          <w:i w:val="0"/>
          <w:iCs w:val="0"/>
          <w:caps w:val="0"/>
          <w:color w:val="auto"/>
          <w:spacing w:val="0"/>
          <w:sz w:val="32"/>
          <w:szCs w:val="32"/>
          <w:shd w:val="clear" w:fill="FFFFFF"/>
          <w:lang w:val="en-US" w:eastAsia="zh-CN"/>
        </w:rPr>
        <w:t>众“看病钱”，</w:t>
      </w:r>
      <w:r>
        <w:rPr>
          <w:rFonts w:hint="eastAsia" w:ascii="仿宋_GB2312" w:hAnsi="sans-serif" w:eastAsia="仿宋_GB2312" w:cs="仿宋_GB2312"/>
          <w:i w:val="0"/>
          <w:iCs w:val="0"/>
          <w:caps w:val="0"/>
          <w:color w:val="auto"/>
          <w:spacing w:val="0"/>
          <w:sz w:val="32"/>
          <w:szCs w:val="32"/>
          <w:shd w:val="clear" w:fill="FFFFFF"/>
        </w:rPr>
        <w:t>召开</w:t>
      </w:r>
      <w:r>
        <w:rPr>
          <w:rFonts w:hint="eastAsia" w:ascii="仿宋_GB2312" w:hAnsi="sans-serif" w:eastAsia="仿宋_GB2312" w:cs="仿宋_GB2312"/>
          <w:i w:val="0"/>
          <w:iCs w:val="0"/>
          <w:caps w:val="0"/>
          <w:color w:val="auto"/>
          <w:spacing w:val="0"/>
          <w:sz w:val="32"/>
          <w:szCs w:val="32"/>
          <w:shd w:val="clear" w:fill="FFFFFF"/>
          <w:lang w:val="en-US" w:eastAsia="zh-CN"/>
        </w:rPr>
        <w:t>医保医保基金</w:t>
      </w:r>
      <w:r>
        <w:rPr>
          <w:rFonts w:hint="eastAsia" w:ascii="仿宋_GB2312" w:hAnsi="sans-serif" w:eastAsia="仿宋_GB2312" w:cs="仿宋_GB2312"/>
          <w:b w:val="0"/>
          <w:bCs w:val="0"/>
          <w:i w:val="0"/>
          <w:iCs w:val="0"/>
          <w:caps w:val="0"/>
          <w:color w:val="auto"/>
          <w:spacing w:val="0"/>
          <w:kern w:val="0"/>
          <w:sz w:val="32"/>
          <w:szCs w:val="32"/>
          <w:shd w:val="clear" w:fill="FFFFFF"/>
          <w:lang w:val="en-US" w:eastAsia="zh-CN" w:bidi="ar-SA"/>
        </w:rPr>
        <w:t>社会监督员座谈</w:t>
      </w:r>
      <w:r>
        <w:rPr>
          <w:rFonts w:hint="eastAsia" w:ascii="仿宋_GB2312" w:hAnsi="sans-serif" w:eastAsia="仿宋_GB2312" w:cs="仿宋_GB2312"/>
          <w:i w:val="0"/>
          <w:iCs w:val="0"/>
          <w:caps w:val="0"/>
          <w:color w:val="auto"/>
          <w:spacing w:val="0"/>
          <w:sz w:val="32"/>
          <w:szCs w:val="32"/>
          <w:highlight w:val="none"/>
          <w:shd w:val="clear" w:fill="FFFFFF"/>
          <w:lang w:val="en-US" w:eastAsia="zh-CN"/>
        </w:rPr>
        <w:t>会，充分听取社会各界的意见或建议，问</w:t>
      </w:r>
      <w:r>
        <w:rPr>
          <w:rFonts w:hint="eastAsia" w:ascii="仿宋_GB2312" w:hAnsi="sans-serif" w:eastAsia="仿宋_GB2312" w:cs="仿宋_GB2312"/>
          <w:i w:val="0"/>
          <w:iCs w:val="0"/>
          <w:caps w:val="0"/>
          <w:color w:val="auto"/>
          <w:spacing w:val="0"/>
          <w:sz w:val="32"/>
          <w:szCs w:val="32"/>
          <w:highlight w:val="none"/>
          <w:shd w:val="clear" w:fill="FFFFFF"/>
        </w:rPr>
        <w:t>计于民、问需于民。</w:t>
      </w:r>
      <w:r>
        <w:rPr>
          <w:rFonts w:hint="default" w:ascii="Times New Roman" w:hAnsi="Times New Roman" w:eastAsia="仿宋_GB2312" w:cs="Times New Roman"/>
          <w:snapToGrid w:val="0"/>
          <w:color w:val="auto"/>
          <w:kern w:val="0"/>
          <w:sz w:val="32"/>
          <w:szCs w:val="32"/>
          <w:highlight w:val="none"/>
        </w:rPr>
        <w:t>设立热线服务平台，增设热线电话4部，新增专职话务员3人，确保了热线电话畅通。</w:t>
      </w:r>
      <w:r>
        <w:rPr>
          <w:rFonts w:hint="eastAsia" w:ascii="Times New Roman" w:hAnsi="Times New Roman" w:eastAsia="仿宋_GB2312" w:cs="Times New Roman"/>
          <w:snapToGrid w:val="0"/>
          <w:color w:val="auto"/>
          <w:kern w:val="0"/>
          <w:sz w:val="32"/>
          <w:szCs w:val="32"/>
          <w:highlight w:val="none"/>
          <w:lang w:val="en-US" w:eastAsia="zh-CN"/>
        </w:rPr>
        <w:t>2025</w:t>
      </w:r>
      <w:r>
        <w:rPr>
          <w:rFonts w:hint="default" w:ascii="Times New Roman" w:hAnsi="Times New Roman" w:eastAsia="仿宋_GB2312" w:cs="Times New Roman"/>
          <w:snapToGrid w:val="0"/>
          <w:color w:val="auto"/>
          <w:kern w:val="0"/>
          <w:sz w:val="32"/>
          <w:szCs w:val="32"/>
          <w:highlight w:val="none"/>
        </w:rPr>
        <w:t>共办理12345政务热线907件，“枣解决·枣满意 ”诉求155件，问政平台33件，社会治理平台10件，信访件6件。热线话务平台话务员2人，接入咨询电话24218人次，接通率、解答率达到95%以上。</w:t>
      </w:r>
    </w:p>
    <w:p w14:paraId="00F8165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仿宋_GB2312" w:hAnsi="sans-serif" w:eastAsia="仿宋_GB2312" w:cs="仿宋_GB2312"/>
          <w:i w:val="0"/>
          <w:iCs w:val="0"/>
          <w:caps w:val="0"/>
          <w:color w:val="auto"/>
          <w:spacing w:val="0"/>
          <w:kern w:val="0"/>
          <w:sz w:val="32"/>
          <w:szCs w:val="32"/>
          <w:highlight w:val="none"/>
          <w:shd w:val="clear" w:fill="FFFFFF"/>
          <w:lang w:val="en-US" w:eastAsia="zh-CN" w:bidi="ar-SA"/>
        </w:rPr>
      </w:pPr>
      <w:r>
        <w:rPr>
          <w:rFonts w:hint="eastAsia" w:ascii="仿宋_GB2312" w:hAnsi="sans-serif" w:eastAsia="仿宋_GB2312" w:cs="仿宋_GB2312"/>
          <w:i w:val="0"/>
          <w:iCs w:val="0"/>
          <w:caps w:val="0"/>
          <w:color w:val="auto"/>
          <w:spacing w:val="0"/>
          <w:kern w:val="0"/>
          <w:sz w:val="32"/>
          <w:szCs w:val="32"/>
          <w:highlight w:val="none"/>
          <w:shd w:val="clear" w:fill="FFFFFF"/>
          <w:lang w:val="en-US" w:eastAsia="zh-CN" w:bidi="ar-SA"/>
        </w:rPr>
        <w:t>2.创新公开形式，让政策“走出去”。</w:t>
      </w:r>
      <w:r>
        <w:rPr>
          <w:rFonts w:hint="default" w:ascii="仿宋_GB2312" w:hAnsi="sans-serif" w:eastAsia="仿宋_GB2312" w:cs="仿宋_GB2312"/>
          <w:i w:val="0"/>
          <w:iCs w:val="0"/>
          <w:caps w:val="0"/>
          <w:color w:val="auto"/>
          <w:spacing w:val="0"/>
          <w:kern w:val="0"/>
          <w:sz w:val="32"/>
          <w:szCs w:val="32"/>
          <w:highlight w:val="none"/>
          <w:shd w:val="clear" w:fill="FFFFFF"/>
          <w:lang w:val="en-US" w:eastAsia="zh-CN" w:bidi="ar-SA"/>
        </w:rPr>
        <w:t>创新医保宣传方式，利用电台、网络、微信等新媒体，开展线上全方位、高频率宣传，以群众喜闻乐见的形式、浅显易懂的语言，引导群众积极参与。截至目前，局主要负责人带头讲好第一课，引领开展</w:t>
      </w:r>
      <w:r>
        <w:rPr>
          <w:rFonts w:hint="eastAsia" w:ascii="仿宋_GB2312" w:hAnsi="sans-serif" w:eastAsia="仿宋_GB2312" w:cs="仿宋_GB2312"/>
          <w:i w:val="0"/>
          <w:iCs w:val="0"/>
          <w:caps w:val="0"/>
          <w:color w:val="auto"/>
          <w:spacing w:val="0"/>
          <w:kern w:val="0"/>
          <w:sz w:val="32"/>
          <w:szCs w:val="32"/>
          <w:highlight w:val="none"/>
          <w:shd w:val="clear" w:fill="FFFFFF"/>
          <w:lang w:val="en-US" w:eastAsia="zh-CN" w:bidi="ar-SA"/>
        </w:rPr>
        <w:t>科长</w:t>
      </w:r>
      <w:r>
        <w:rPr>
          <w:rFonts w:hint="default" w:ascii="仿宋_GB2312" w:hAnsi="sans-serif" w:eastAsia="仿宋_GB2312" w:cs="仿宋_GB2312"/>
          <w:i w:val="0"/>
          <w:iCs w:val="0"/>
          <w:caps w:val="0"/>
          <w:color w:val="auto"/>
          <w:spacing w:val="0"/>
          <w:kern w:val="0"/>
          <w:sz w:val="32"/>
          <w:szCs w:val="32"/>
          <w:highlight w:val="none"/>
          <w:shd w:val="clear" w:fill="FFFFFF"/>
          <w:lang w:val="en-US" w:eastAsia="zh-CN" w:bidi="ar-SA"/>
        </w:rPr>
        <w:t>上讲台</w:t>
      </w:r>
      <w:r>
        <w:rPr>
          <w:rFonts w:hint="eastAsia" w:ascii="仿宋_GB2312" w:hAnsi="sans-serif" w:eastAsia="仿宋_GB2312" w:cs="仿宋_GB2312"/>
          <w:i w:val="0"/>
          <w:iCs w:val="0"/>
          <w:caps w:val="0"/>
          <w:color w:val="auto"/>
          <w:spacing w:val="0"/>
          <w:kern w:val="0"/>
          <w:sz w:val="32"/>
          <w:szCs w:val="32"/>
          <w:highlight w:val="none"/>
          <w:shd w:val="clear" w:fill="FFFFFF"/>
          <w:lang w:val="en-US" w:eastAsia="zh-CN" w:bidi="ar-SA"/>
        </w:rPr>
        <w:t>2</w:t>
      </w:r>
      <w:r>
        <w:rPr>
          <w:rFonts w:hint="default" w:ascii="仿宋_GB2312" w:hAnsi="sans-serif" w:eastAsia="仿宋_GB2312" w:cs="仿宋_GB2312"/>
          <w:i w:val="0"/>
          <w:iCs w:val="0"/>
          <w:caps w:val="0"/>
          <w:color w:val="auto"/>
          <w:spacing w:val="0"/>
          <w:kern w:val="0"/>
          <w:sz w:val="32"/>
          <w:szCs w:val="32"/>
          <w:highlight w:val="none"/>
          <w:shd w:val="clear" w:fill="FFFFFF"/>
          <w:lang w:val="en-US" w:eastAsia="zh-CN" w:bidi="ar-SA"/>
        </w:rPr>
        <w:t>期，主要负责人带队参加“高效办成一件事” 深化医保为民便捷服务新闻发布会</w:t>
      </w:r>
      <w:r>
        <w:rPr>
          <w:rFonts w:hint="eastAsia" w:ascii="仿宋_GB2312" w:hAnsi="sans-serif" w:eastAsia="仿宋_GB2312" w:cs="仿宋_GB2312"/>
          <w:i w:val="0"/>
          <w:iCs w:val="0"/>
          <w:caps w:val="0"/>
          <w:color w:val="auto"/>
          <w:spacing w:val="0"/>
          <w:kern w:val="0"/>
          <w:sz w:val="32"/>
          <w:szCs w:val="32"/>
          <w:highlight w:val="none"/>
          <w:shd w:val="clear" w:fill="FFFFFF"/>
          <w:lang w:val="en-US" w:eastAsia="zh-CN" w:bidi="ar-SA"/>
        </w:rPr>
        <w:t>、</w:t>
      </w:r>
      <w:r>
        <w:rPr>
          <w:rFonts w:hint="default" w:ascii="仿宋_GB2312" w:hAnsi="sans-serif" w:eastAsia="仿宋_GB2312" w:cs="仿宋_GB2312"/>
          <w:i w:val="0"/>
          <w:iCs w:val="0"/>
          <w:caps w:val="0"/>
          <w:color w:val="auto"/>
          <w:spacing w:val="0"/>
          <w:kern w:val="0"/>
          <w:sz w:val="32"/>
          <w:szCs w:val="32"/>
          <w:highlight w:val="none"/>
          <w:shd w:val="clear" w:fill="FFFFFF"/>
          <w:lang w:val="en-US" w:eastAsia="zh-CN" w:bidi="ar-SA"/>
        </w:rPr>
        <w:t>“集采药品进基层 医保政策更惠民”政府开放日活动、滕州政风行风热线节目，线上直接解答问题1千余条。联合融媒体中心开设“科长进直播间”系列活动，组织科室负责人直面群众答疑解惑，</w:t>
      </w:r>
      <w:r>
        <w:rPr>
          <w:rFonts w:hint="eastAsia" w:ascii="仿宋_GB2312" w:hAnsi="sans-serif" w:eastAsia="仿宋_GB2312" w:cs="仿宋_GB2312"/>
          <w:i w:val="0"/>
          <w:iCs w:val="0"/>
          <w:caps w:val="0"/>
          <w:color w:val="auto"/>
          <w:spacing w:val="0"/>
          <w:kern w:val="0"/>
          <w:sz w:val="32"/>
          <w:szCs w:val="32"/>
          <w:highlight w:val="none"/>
          <w:shd w:val="clear" w:fill="FFFFFF"/>
          <w:lang w:val="en-US" w:eastAsia="zh-CN" w:bidi="ar-SA"/>
        </w:rPr>
        <w:t>今年</w:t>
      </w:r>
      <w:r>
        <w:rPr>
          <w:rFonts w:hint="default" w:ascii="仿宋_GB2312" w:hAnsi="sans-serif" w:eastAsia="仿宋_GB2312" w:cs="仿宋_GB2312"/>
          <w:i w:val="0"/>
          <w:iCs w:val="0"/>
          <w:caps w:val="0"/>
          <w:color w:val="auto"/>
          <w:spacing w:val="0"/>
          <w:kern w:val="0"/>
          <w:sz w:val="32"/>
          <w:szCs w:val="32"/>
          <w:highlight w:val="none"/>
          <w:shd w:val="clear" w:fill="FFFFFF"/>
          <w:lang w:val="en-US" w:eastAsia="zh-CN" w:bidi="ar-SA"/>
        </w:rPr>
        <w:t>已开展了</w:t>
      </w:r>
      <w:r>
        <w:rPr>
          <w:rFonts w:hint="eastAsia" w:ascii="仿宋_GB2312" w:hAnsi="sans-serif" w:eastAsia="仿宋_GB2312" w:cs="仿宋_GB2312"/>
          <w:i w:val="0"/>
          <w:iCs w:val="0"/>
          <w:caps w:val="0"/>
          <w:color w:val="auto"/>
          <w:spacing w:val="0"/>
          <w:kern w:val="0"/>
          <w:sz w:val="32"/>
          <w:szCs w:val="32"/>
          <w:highlight w:val="none"/>
          <w:shd w:val="clear" w:fill="FFFFFF"/>
          <w:lang w:val="en-US" w:eastAsia="zh-CN" w:bidi="ar-SA"/>
        </w:rPr>
        <w:t>3</w:t>
      </w:r>
      <w:r>
        <w:rPr>
          <w:rFonts w:hint="default" w:ascii="仿宋_GB2312" w:hAnsi="sans-serif" w:eastAsia="仿宋_GB2312" w:cs="仿宋_GB2312"/>
          <w:i w:val="0"/>
          <w:iCs w:val="0"/>
          <w:caps w:val="0"/>
          <w:color w:val="auto"/>
          <w:spacing w:val="0"/>
          <w:kern w:val="0"/>
          <w:sz w:val="32"/>
          <w:szCs w:val="32"/>
          <w:highlight w:val="none"/>
          <w:shd w:val="clear" w:fill="FFFFFF"/>
          <w:lang w:val="en-US" w:eastAsia="zh-CN" w:bidi="ar-SA"/>
        </w:rPr>
        <w:t>期。创新开展医保知识“夜间课堂”云直播活动，动员业务骨干利用业余时间</w:t>
      </w:r>
      <w:r>
        <w:rPr>
          <w:rFonts w:hint="eastAsia" w:ascii="仿宋_GB2312" w:hAnsi="sans-serif" w:eastAsia="仿宋_GB2312" w:cs="仿宋_GB2312"/>
          <w:i w:val="0"/>
          <w:iCs w:val="0"/>
          <w:caps w:val="0"/>
          <w:color w:val="auto"/>
          <w:spacing w:val="0"/>
          <w:kern w:val="0"/>
          <w:sz w:val="32"/>
          <w:szCs w:val="32"/>
          <w:highlight w:val="none"/>
          <w:shd w:val="clear" w:fill="FFFFFF"/>
          <w:lang w:val="en-US" w:eastAsia="zh-CN" w:bidi="ar-SA"/>
        </w:rPr>
        <w:t>“</w:t>
      </w:r>
      <w:r>
        <w:rPr>
          <w:rFonts w:hint="default" w:ascii="仿宋_GB2312" w:hAnsi="sans-serif" w:eastAsia="仿宋_GB2312" w:cs="仿宋_GB2312"/>
          <w:i w:val="0"/>
          <w:iCs w:val="0"/>
          <w:caps w:val="0"/>
          <w:color w:val="auto"/>
          <w:spacing w:val="0"/>
          <w:kern w:val="0"/>
          <w:sz w:val="32"/>
          <w:szCs w:val="32"/>
          <w:highlight w:val="none"/>
          <w:shd w:val="clear" w:fill="FFFFFF"/>
          <w:lang w:val="en-US" w:eastAsia="zh-CN" w:bidi="ar-SA"/>
        </w:rPr>
        <w:t>直播送政策 线上解民忧</w:t>
      </w:r>
      <w:r>
        <w:rPr>
          <w:rFonts w:hint="eastAsia" w:ascii="仿宋_GB2312" w:hAnsi="sans-serif" w:eastAsia="仿宋_GB2312" w:cs="仿宋_GB2312"/>
          <w:i w:val="0"/>
          <w:iCs w:val="0"/>
          <w:caps w:val="0"/>
          <w:color w:val="auto"/>
          <w:spacing w:val="0"/>
          <w:kern w:val="0"/>
          <w:sz w:val="32"/>
          <w:szCs w:val="32"/>
          <w:highlight w:val="none"/>
          <w:shd w:val="clear" w:fill="FFFFFF"/>
          <w:lang w:val="en-US" w:eastAsia="zh-CN" w:bidi="ar-SA"/>
        </w:rPr>
        <w:t>”</w:t>
      </w:r>
      <w:r>
        <w:rPr>
          <w:rFonts w:hint="default" w:ascii="仿宋_GB2312" w:hAnsi="sans-serif" w:eastAsia="仿宋_GB2312" w:cs="仿宋_GB2312"/>
          <w:i w:val="0"/>
          <w:iCs w:val="0"/>
          <w:caps w:val="0"/>
          <w:color w:val="auto"/>
          <w:spacing w:val="0"/>
          <w:kern w:val="0"/>
          <w:sz w:val="32"/>
          <w:szCs w:val="32"/>
          <w:highlight w:val="none"/>
          <w:shd w:val="clear" w:fill="FFFFFF"/>
          <w:lang w:val="en-US" w:eastAsia="zh-CN" w:bidi="ar-SA"/>
        </w:rPr>
        <w:t>，目前已开展</w:t>
      </w:r>
      <w:r>
        <w:rPr>
          <w:rFonts w:hint="eastAsia" w:ascii="仿宋_GB2312" w:hAnsi="sans-serif" w:eastAsia="仿宋_GB2312" w:cs="仿宋_GB2312"/>
          <w:i w:val="0"/>
          <w:iCs w:val="0"/>
          <w:caps w:val="0"/>
          <w:color w:val="auto"/>
          <w:spacing w:val="0"/>
          <w:kern w:val="0"/>
          <w:sz w:val="32"/>
          <w:szCs w:val="32"/>
          <w:highlight w:val="none"/>
          <w:shd w:val="clear" w:fill="FFFFFF"/>
          <w:lang w:val="en-US" w:eastAsia="zh-CN" w:bidi="ar-SA"/>
        </w:rPr>
        <w:t>91</w:t>
      </w:r>
      <w:r>
        <w:rPr>
          <w:rFonts w:hint="default" w:ascii="仿宋_GB2312" w:hAnsi="sans-serif" w:eastAsia="仿宋_GB2312" w:cs="仿宋_GB2312"/>
          <w:i w:val="0"/>
          <w:iCs w:val="0"/>
          <w:caps w:val="0"/>
          <w:color w:val="auto"/>
          <w:spacing w:val="0"/>
          <w:kern w:val="0"/>
          <w:sz w:val="32"/>
          <w:szCs w:val="32"/>
          <w:highlight w:val="none"/>
          <w:shd w:val="clear" w:fill="FFFFFF"/>
          <w:lang w:val="en-US" w:eastAsia="zh-CN" w:bidi="ar-SA"/>
        </w:rPr>
        <w:t>期，每期接待群众1500余起，取得了良好的宣传效果。</w:t>
      </w:r>
    </w:p>
    <w:p w14:paraId="4322F1C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600" w:lineRule="exact"/>
        <w:ind w:left="0" w:right="0" w:firstLine="640" w:firstLineChars="200"/>
        <w:jc w:val="both"/>
        <w:textAlignment w:val="auto"/>
        <w:rPr>
          <w:rFonts w:hint="eastAsia" w:ascii="微软雅黑" w:hAnsi="微软雅黑" w:eastAsia="微软雅黑" w:cs="微软雅黑"/>
          <w:i w:val="0"/>
          <w:iCs w:val="0"/>
          <w:caps w:val="0"/>
          <w:color w:val="auto"/>
          <w:spacing w:val="0"/>
          <w:sz w:val="27"/>
          <w:szCs w:val="27"/>
          <w:highlight w:val="none"/>
        </w:rPr>
      </w:pPr>
      <w:r>
        <w:rPr>
          <w:rFonts w:hint="eastAsia" w:ascii="Times New Roman" w:hAnsi="Times New Roman" w:eastAsia="仿宋_GB2312" w:cs="Times New Roman"/>
          <w:color w:val="auto"/>
          <w:sz w:val="32"/>
          <w:szCs w:val="32"/>
          <w:highlight w:val="none"/>
          <w:lang w:val="en-US" w:eastAsia="zh-CN"/>
        </w:rPr>
        <w:t>3.深化基层公开，把政策“送上门”。</w:t>
      </w:r>
      <w:r>
        <w:rPr>
          <w:rFonts w:hint="default" w:ascii="Times New Roman" w:hAnsi="Times New Roman" w:eastAsia="仿宋_GB2312" w:cs="Times New Roman"/>
          <w:color w:val="auto"/>
          <w:sz w:val="32"/>
          <w:szCs w:val="32"/>
          <w:highlight w:val="none"/>
          <w:lang w:val="en-US" w:eastAsia="zh-CN"/>
        </w:rPr>
        <w:t>大力宣传保障和改善民生的医保举措，利用基金监管宣传月、参保缴费</w:t>
      </w:r>
      <w:r>
        <w:rPr>
          <w:rFonts w:hint="default" w:ascii="Times New Roman" w:hAnsi="Times New Roman" w:eastAsia="仿宋_GB2312" w:cs="Times New Roman"/>
          <w:color w:val="auto"/>
          <w:sz w:val="32"/>
          <w:szCs w:val="32"/>
          <w:highlight w:val="none"/>
        </w:rPr>
        <w:t>集中宣传月</w:t>
      </w:r>
      <w:r>
        <w:rPr>
          <w:rFonts w:hint="default" w:ascii="Times New Roman" w:hAnsi="Times New Roman" w:eastAsia="仿宋_GB2312" w:cs="Times New Roman"/>
          <w:color w:val="auto"/>
          <w:sz w:val="32"/>
          <w:szCs w:val="32"/>
          <w:highlight w:val="none"/>
          <w:lang w:val="en-US" w:eastAsia="zh-CN"/>
        </w:rPr>
        <w:t>等</w:t>
      </w:r>
      <w:r>
        <w:rPr>
          <w:rFonts w:hint="default" w:ascii="Times New Roman" w:hAnsi="Times New Roman" w:eastAsia="仿宋_GB2312" w:cs="Times New Roman"/>
          <w:color w:val="auto"/>
          <w:sz w:val="32"/>
          <w:szCs w:val="32"/>
          <w:highlight w:val="none"/>
        </w:rPr>
        <w:t>活动，组建医保政策宣讲队伍，深入机关、医院、企业等开展医保政策宣讲活动，</w:t>
      </w:r>
      <w:r>
        <w:rPr>
          <w:rFonts w:hint="eastAsia" w:ascii="Times New Roman" w:hAnsi="Times New Roman" w:eastAsia="仿宋_GB2312" w:cs="Times New Roman"/>
          <w:color w:val="auto"/>
          <w:sz w:val="32"/>
          <w:szCs w:val="32"/>
          <w:highlight w:val="none"/>
          <w:lang w:val="en-US" w:eastAsia="zh-CN"/>
        </w:rPr>
        <w:t>2025年</w:t>
      </w:r>
      <w:r>
        <w:rPr>
          <w:rFonts w:hint="default" w:ascii="Times New Roman" w:hAnsi="Times New Roman" w:eastAsia="仿宋_GB2312" w:cs="Times New Roman"/>
          <w:color w:val="auto"/>
          <w:sz w:val="32"/>
          <w:szCs w:val="32"/>
          <w:highlight w:val="none"/>
        </w:rPr>
        <w:t>开展“两进”活动共计</w:t>
      </w:r>
      <w:r>
        <w:rPr>
          <w:rFonts w:hint="eastAsia" w:ascii="Times New Roman" w:hAnsi="Times New Roman" w:eastAsia="仿宋_GB2312" w:cs="Times New Roman"/>
          <w:color w:val="auto"/>
          <w:sz w:val="32"/>
          <w:szCs w:val="32"/>
          <w:highlight w:val="none"/>
          <w:lang w:val="en-US" w:eastAsia="zh-CN"/>
        </w:rPr>
        <w:t>405</w:t>
      </w:r>
      <w:r>
        <w:rPr>
          <w:rFonts w:hint="default" w:ascii="Times New Roman" w:hAnsi="Times New Roman" w:eastAsia="仿宋_GB2312" w:cs="Times New Roman"/>
          <w:color w:val="auto"/>
          <w:sz w:val="32"/>
          <w:szCs w:val="32"/>
          <w:highlight w:val="none"/>
        </w:rPr>
        <w:t>次。在镇街医保办大厅、定点医药机构、医保经办机构等宣传主阵地悬挂宣传标语、宣传海报</w:t>
      </w:r>
      <w:r>
        <w:rPr>
          <w:rFonts w:hint="eastAsia" w:ascii="Times New Roman" w:hAnsi="Times New Roman" w:eastAsia="仿宋_GB2312" w:cs="Times New Roman"/>
          <w:color w:val="auto"/>
          <w:sz w:val="32"/>
          <w:szCs w:val="32"/>
          <w:highlight w:val="none"/>
          <w:lang w:eastAsia="zh-CN"/>
        </w:rPr>
        <w:t>，在</w:t>
      </w:r>
      <w:r>
        <w:rPr>
          <w:rFonts w:hint="default" w:ascii="Times New Roman" w:hAnsi="Times New Roman" w:eastAsia="仿宋_GB2312" w:cs="Times New Roman"/>
          <w:color w:val="auto"/>
          <w:sz w:val="32"/>
          <w:szCs w:val="32"/>
          <w:highlight w:val="none"/>
        </w:rPr>
        <w:t>电子显示屏滚动播放医保宣传口号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通过发放宣传折页、设置健康咨询台等方式，宣传医保相关便民利民措施，零距离解答群众问题。</w:t>
      </w:r>
      <w:r>
        <w:rPr>
          <w:rFonts w:hint="eastAsia" w:ascii="Times New Roman" w:hAnsi="Times New Roman" w:eastAsia="仿宋_GB2312" w:cs="Times New Roman"/>
          <w:color w:val="auto"/>
          <w:sz w:val="32"/>
          <w:szCs w:val="32"/>
          <w:highlight w:val="none"/>
          <w:lang w:val="en-US" w:eastAsia="zh-CN"/>
        </w:rPr>
        <w:t>2025年</w:t>
      </w:r>
      <w:r>
        <w:rPr>
          <w:rFonts w:hint="default" w:ascii="Times New Roman" w:hAnsi="Times New Roman" w:eastAsia="仿宋_GB2312" w:cs="Times New Roman"/>
          <w:color w:val="auto"/>
          <w:sz w:val="32"/>
          <w:szCs w:val="32"/>
          <w:highlight w:val="none"/>
        </w:rPr>
        <w:t>现场宣传</w:t>
      </w:r>
      <w:r>
        <w:rPr>
          <w:rFonts w:hint="eastAsia" w:ascii="Times New Roman" w:hAnsi="Times New Roman" w:eastAsia="仿宋_GB2312" w:cs="Times New Roman"/>
          <w:color w:val="auto"/>
          <w:sz w:val="32"/>
          <w:szCs w:val="32"/>
          <w:highlight w:val="none"/>
          <w:lang w:val="en-US" w:eastAsia="zh-CN"/>
        </w:rPr>
        <w:t>670</w:t>
      </w:r>
      <w:r>
        <w:rPr>
          <w:rFonts w:hint="default" w:ascii="Times New Roman" w:hAnsi="Times New Roman" w:eastAsia="仿宋_GB2312" w:cs="Times New Roman"/>
          <w:color w:val="auto"/>
          <w:sz w:val="32"/>
          <w:szCs w:val="32"/>
          <w:highlight w:val="none"/>
        </w:rPr>
        <w:t>余次、张贴宣传海报15万余张，覆盖人群</w:t>
      </w:r>
      <w:r>
        <w:rPr>
          <w:rFonts w:hint="eastAsia" w:ascii="Times New Roman" w:hAnsi="Times New Roman" w:eastAsia="仿宋_GB2312" w:cs="Times New Roman"/>
          <w:color w:val="auto"/>
          <w:sz w:val="32"/>
          <w:szCs w:val="32"/>
          <w:highlight w:val="none"/>
          <w:lang w:val="en-US" w:eastAsia="zh-CN"/>
        </w:rPr>
        <w:t>60</w:t>
      </w:r>
      <w:r>
        <w:rPr>
          <w:rFonts w:hint="default" w:ascii="Times New Roman" w:hAnsi="Times New Roman" w:eastAsia="仿宋_GB2312" w:cs="Times New Roman"/>
          <w:color w:val="auto"/>
          <w:sz w:val="32"/>
          <w:szCs w:val="32"/>
          <w:highlight w:val="none"/>
        </w:rPr>
        <w:t>余万余人次，发放资料100余万余份。</w:t>
      </w:r>
    </w:p>
    <w:p w14:paraId="1BB69703">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snapToGrid/>
        <w:spacing w:beforeAutospacing="0" w:line="600" w:lineRule="exact"/>
        <w:ind w:left="0" w:firstLine="640" w:firstLineChars="200"/>
        <w:jc w:val="both"/>
        <w:textAlignment w:val="auto"/>
        <w:rPr>
          <w:rFonts w:hint="eastAsia" w:ascii="仿宋_GB2312" w:hAnsi="sans-serif" w:eastAsia="仿宋_GB2312" w:cs="仿宋_GB2312"/>
          <w:i w:val="0"/>
          <w:iCs w:val="0"/>
          <w:caps w:val="0"/>
          <w:color w:val="auto"/>
          <w:spacing w:val="0"/>
          <w:sz w:val="32"/>
          <w:szCs w:val="32"/>
        </w:rPr>
      </w:pPr>
      <w:r>
        <w:rPr>
          <w:rFonts w:hint="eastAsia" w:ascii="仿宋_GB2312" w:hAnsi="sans-serif" w:eastAsia="仿宋_GB2312" w:cs="仿宋_GB2312"/>
          <w:i w:val="0"/>
          <w:iCs w:val="0"/>
          <w:caps w:val="0"/>
          <w:color w:val="auto"/>
          <w:spacing w:val="0"/>
          <w:sz w:val="32"/>
          <w:szCs w:val="32"/>
        </w:rPr>
        <w:t>（五）本行政机关政府信息公开工作年度报告数据统计需要说明的事项；滕州市医保局没有针对报告数据统计需要说明的事项。</w:t>
      </w:r>
    </w:p>
    <w:p w14:paraId="5AB15181">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snapToGrid/>
        <w:spacing w:beforeAutospacing="0" w:line="600" w:lineRule="exact"/>
        <w:ind w:left="0" w:firstLine="640" w:firstLineChars="200"/>
        <w:jc w:val="both"/>
        <w:textAlignment w:val="auto"/>
        <w:rPr>
          <w:rFonts w:hint="eastAsia" w:ascii="仿宋_GB2312" w:hAnsi="sans-serif" w:eastAsia="仿宋_GB2312" w:cs="仿宋_GB2312"/>
          <w:i w:val="0"/>
          <w:iCs w:val="0"/>
          <w:caps w:val="0"/>
          <w:color w:val="auto"/>
          <w:spacing w:val="0"/>
          <w:sz w:val="32"/>
          <w:szCs w:val="32"/>
        </w:rPr>
      </w:pPr>
      <w:r>
        <w:rPr>
          <w:rFonts w:hint="eastAsia" w:ascii="仿宋_GB2312" w:hAnsi="sans-serif" w:eastAsia="仿宋_GB2312" w:cs="仿宋_GB2312"/>
          <w:i w:val="0"/>
          <w:iCs w:val="0"/>
          <w:caps w:val="0"/>
          <w:color w:val="auto"/>
          <w:spacing w:val="0"/>
          <w:sz w:val="32"/>
          <w:szCs w:val="32"/>
        </w:rPr>
        <w:t>（六）本行政机关认为需要报告的其他事项；滕州市医保局没有需要报告的其他事项。</w:t>
      </w:r>
    </w:p>
    <w:p w14:paraId="49902922">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snapToGrid/>
        <w:spacing w:beforeAutospacing="0" w:line="600" w:lineRule="exact"/>
        <w:ind w:left="0" w:firstLine="640" w:firstLineChars="200"/>
        <w:jc w:val="both"/>
        <w:textAlignment w:val="auto"/>
        <w:rPr>
          <w:rFonts w:hint="default" w:ascii="sans-serif" w:hAnsi="sans-serif" w:eastAsia="sans-serif" w:cs="sans-serif"/>
          <w:i w:val="0"/>
          <w:iCs w:val="0"/>
          <w:caps w:val="0"/>
          <w:color w:val="auto"/>
          <w:spacing w:val="0"/>
          <w:sz w:val="32"/>
          <w:szCs w:val="32"/>
        </w:rPr>
      </w:pPr>
      <w:r>
        <w:rPr>
          <w:rFonts w:hint="eastAsia" w:ascii="仿宋_GB2312" w:hAnsi="sans-serif" w:eastAsia="仿宋_GB2312" w:cs="仿宋_GB2312"/>
          <w:i w:val="0"/>
          <w:iCs w:val="0"/>
          <w:caps w:val="0"/>
          <w:color w:val="auto"/>
          <w:spacing w:val="0"/>
          <w:sz w:val="32"/>
          <w:szCs w:val="32"/>
        </w:rPr>
        <w:t>（七）如对本报告有任何疑问，请与滕州市医疗保障局联系（地址：滕州市善国北路79号，电话：0632-55</w:t>
      </w:r>
      <w:r>
        <w:rPr>
          <w:rFonts w:hint="eastAsia" w:ascii="仿宋_GB2312" w:hAnsi="sans-serif" w:eastAsia="仿宋_GB2312" w:cs="仿宋_GB2312"/>
          <w:i w:val="0"/>
          <w:iCs w:val="0"/>
          <w:caps w:val="0"/>
          <w:color w:val="auto"/>
          <w:spacing w:val="0"/>
          <w:sz w:val="32"/>
          <w:szCs w:val="32"/>
          <w:lang w:val="en-US" w:eastAsia="zh-CN"/>
        </w:rPr>
        <w:t>03280</w:t>
      </w:r>
      <w:r>
        <w:rPr>
          <w:rFonts w:hint="eastAsia" w:ascii="仿宋_GB2312" w:hAnsi="sans-serif" w:eastAsia="仿宋_GB2312" w:cs="仿宋_GB2312"/>
          <w:i w:val="0"/>
          <w:iCs w:val="0"/>
          <w:caps w:val="0"/>
          <w:color w:val="auto"/>
          <w:spacing w:val="0"/>
          <w:sz w:val="32"/>
          <w:szCs w:val="32"/>
        </w:rPr>
        <w:t>；电子邮箱：</w:t>
      </w:r>
      <w:r>
        <w:rPr>
          <w:rFonts w:hint="eastAsia" w:ascii="仿宋_GB2312" w:hAnsi="sans-serif" w:eastAsia="仿宋_GB2312" w:cs="仿宋_GB2312"/>
          <w:i w:val="0"/>
          <w:iCs w:val="0"/>
          <w:caps w:val="0"/>
          <w:color w:val="auto"/>
          <w:spacing w:val="0"/>
          <w:sz w:val="32"/>
          <w:szCs w:val="32"/>
          <w:u w:val="none"/>
        </w:rPr>
        <w:fldChar w:fldCharType="begin"/>
      </w:r>
      <w:r>
        <w:rPr>
          <w:rFonts w:hint="eastAsia" w:ascii="仿宋_GB2312" w:hAnsi="sans-serif" w:eastAsia="仿宋_GB2312" w:cs="仿宋_GB2312"/>
          <w:i w:val="0"/>
          <w:iCs w:val="0"/>
          <w:caps w:val="0"/>
          <w:color w:val="auto"/>
          <w:spacing w:val="0"/>
          <w:sz w:val="32"/>
          <w:szCs w:val="32"/>
          <w:u w:val="none"/>
        </w:rPr>
        <w:instrText xml:space="preserve"> HYPERLINK "mailto:tzsybj@126.com）。" </w:instrText>
      </w:r>
      <w:r>
        <w:rPr>
          <w:rFonts w:hint="eastAsia" w:ascii="仿宋_GB2312" w:hAnsi="sans-serif" w:eastAsia="仿宋_GB2312" w:cs="仿宋_GB2312"/>
          <w:i w:val="0"/>
          <w:iCs w:val="0"/>
          <w:caps w:val="0"/>
          <w:color w:val="auto"/>
          <w:spacing w:val="0"/>
          <w:sz w:val="32"/>
          <w:szCs w:val="32"/>
          <w:u w:val="none"/>
        </w:rPr>
        <w:fldChar w:fldCharType="separate"/>
      </w:r>
      <w:r>
        <w:rPr>
          <w:rStyle w:val="8"/>
          <w:rFonts w:hint="eastAsia" w:ascii="仿宋_GB2312" w:hAnsi="sans-serif" w:eastAsia="仿宋_GB2312" w:cs="仿宋_GB2312"/>
          <w:i w:val="0"/>
          <w:iCs w:val="0"/>
          <w:caps w:val="0"/>
          <w:color w:val="auto"/>
          <w:spacing w:val="0"/>
          <w:sz w:val="32"/>
          <w:szCs w:val="32"/>
          <w:u w:val="none"/>
        </w:rPr>
        <w:t>tzsybj@126.com）。</w:t>
      </w:r>
      <w:r>
        <w:rPr>
          <w:rFonts w:hint="eastAsia" w:ascii="仿宋_GB2312" w:hAnsi="sans-serif" w:eastAsia="仿宋_GB2312" w:cs="仿宋_GB2312"/>
          <w:i w:val="0"/>
          <w:iCs w:val="0"/>
          <w:caps w:val="0"/>
          <w:color w:val="auto"/>
          <w:spacing w:val="0"/>
          <w:sz w:val="32"/>
          <w:szCs w:val="32"/>
          <w:u w:val="none"/>
        </w:rPr>
        <w:fldChar w:fldCharType="end"/>
      </w:r>
      <w:r>
        <w:rPr>
          <w:rFonts w:hint="eastAsia" w:ascii="仿宋_GB2312" w:hAnsi="sans-serif" w:eastAsia="仿宋_GB2312" w:cs="仿宋_GB2312"/>
          <w:i w:val="0"/>
          <w:iCs w:val="0"/>
          <w:caps w:val="0"/>
          <w:color w:val="auto"/>
          <w:spacing w:val="0"/>
          <w:sz w:val="32"/>
          <w:szCs w:val="32"/>
        </w:rPr>
        <w:t>      </w:t>
      </w:r>
    </w:p>
    <w:p w14:paraId="592EA65D">
      <w:pPr>
        <w:rPr>
          <w:color w:val="auto"/>
        </w:rPr>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4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decorative"/>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BEA5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98A0032">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698A0032">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74C116"/>
    <w:multiLevelType w:val="singleLevel"/>
    <w:tmpl w:val="5074C11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3446C2"/>
    <w:rsid w:val="02450D75"/>
    <w:rsid w:val="027A149C"/>
    <w:rsid w:val="06D870D9"/>
    <w:rsid w:val="079B25E0"/>
    <w:rsid w:val="093446C2"/>
    <w:rsid w:val="09415CDD"/>
    <w:rsid w:val="0992356F"/>
    <w:rsid w:val="0E894A89"/>
    <w:rsid w:val="11063B67"/>
    <w:rsid w:val="1111746F"/>
    <w:rsid w:val="13BA0895"/>
    <w:rsid w:val="18C56461"/>
    <w:rsid w:val="192048F7"/>
    <w:rsid w:val="1B1E2EB4"/>
    <w:rsid w:val="1CEB14BC"/>
    <w:rsid w:val="1E430E84"/>
    <w:rsid w:val="22BE6D2B"/>
    <w:rsid w:val="230961F8"/>
    <w:rsid w:val="248021E9"/>
    <w:rsid w:val="27F05BD9"/>
    <w:rsid w:val="27FE6547"/>
    <w:rsid w:val="2A3224D8"/>
    <w:rsid w:val="2C93195A"/>
    <w:rsid w:val="2CD5539D"/>
    <w:rsid w:val="2EA17C2D"/>
    <w:rsid w:val="32CB171C"/>
    <w:rsid w:val="33105381"/>
    <w:rsid w:val="333C6176"/>
    <w:rsid w:val="38042FDA"/>
    <w:rsid w:val="3825542A"/>
    <w:rsid w:val="39FC665F"/>
    <w:rsid w:val="3ABB2076"/>
    <w:rsid w:val="3FAB3C96"/>
    <w:rsid w:val="427E6FF7"/>
    <w:rsid w:val="42815953"/>
    <w:rsid w:val="42B850ED"/>
    <w:rsid w:val="439950CA"/>
    <w:rsid w:val="43C47533"/>
    <w:rsid w:val="470918A0"/>
    <w:rsid w:val="4BAD1567"/>
    <w:rsid w:val="4BFE003F"/>
    <w:rsid w:val="4C4D4AF8"/>
    <w:rsid w:val="4D5048A0"/>
    <w:rsid w:val="4D9B12A2"/>
    <w:rsid w:val="53CE29C2"/>
    <w:rsid w:val="551709E9"/>
    <w:rsid w:val="56705FB3"/>
    <w:rsid w:val="59504EDB"/>
    <w:rsid w:val="608763D3"/>
    <w:rsid w:val="674A63AC"/>
    <w:rsid w:val="67931B01"/>
    <w:rsid w:val="6AB51D8E"/>
    <w:rsid w:val="6B623CC4"/>
    <w:rsid w:val="6D062D75"/>
    <w:rsid w:val="6DF8E8FE"/>
    <w:rsid w:val="6E2E4332"/>
    <w:rsid w:val="6F687B25"/>
    <w:rsid w:val="6FDB5992"/>
    <w:rsid w:val="72563E57"/>
    <w:rsid w:val="725D3437"/>
    <w:rsid w:val="76A43EB3"/>
    <w:rsid w:val="7A3D7DFA"/>
    <w:rsid w:val="7C1526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widowControl/>
      <w:spacing w:before="100" w:beforeAutospacing="1" w:after="100" w:afterAutospacing="1"/>
      <w:jc w:val="left"/>
    </w:pPr>
    <w:rPr>
      <w:rFonts w:ascii="宋体" w:hAnsi="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3349</Words>
  <Characters>3498</Characters>
  <Lines>0</Lines>
  <Paragraphs>0</Paragraphs>
  <TotalTime>2</TotalTime>
  <ScaleCrop>false</ScaleCrop>
  <LinksUpToDate>false</LinksUpToDate>
  <CharactersWithSpaces>3502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2025-01-07T10:57:00Z</dcterms:created>
  <dc:creator>爱拉汝</dc:creator>
  <cp:lastModifiedBy>朱宪科</cp:lastModifiedBy>
  <dcterms:modified xsi:type="dcterms:W3CDTF">2026-01-07T09:24:30Z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BFA25F7615A947A1B53641EE7708AF36_13</vt:lpwstr>
  </property>
  <property fmtid="{D5CDD505-2E9C-101B-9397-08002B2CF9AE}" pid="4" name="KSOTemplateDocerSaveRecord">
    <vt:lpwstr>eyJoZGlkIjoiNDliNTIxOGE2OGMwZjM0N2E2Y2IwOGU4N2E0OTE0ODkiLCJ1c2VySWQiOiI1NTM2OTk2MjEifQ==</vt:lpwstr>
  </property>
</Properties>
</file>