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FEA" w:rsidRDefault="004F7B87">
      <w:pPr>
        <w:widowControl/>
        <w:adjustRightInd w:val="0"/>
        <w:snapToGrid w:val="0"/>
        <w:spacing w:line="600" w:lineRule="exact"/>
        <w:jc w:val="center"/>
        <w:rPr>
          <w:rFonts w:ascii="方正小标宋简体" w:eastAsia="方正小标宋简体" w:hAnsi="Tahoma"/>
          <w:kern w:val="0"/>
          <w:sz w:val="44"/>
          <w:szCs w:val="44"/>
        </w:rPr>
      </w:pPr>
      <w:r>
        <w:rPr>
          <w:rFonts w:ascii="方正小标宋简体" w:eastAsia="方正小标宋简体" w:hAnsi="Tahoma" w:hint="eastAsia"/>
          <w:kern w:val="0"/>
          <w:sz w:val="44"/>
          <w:szCs w:val="44"/>
        </w:rPr>
        <w:t>滕州市财政局</w:t>
      </w:r>
    </w:p>
    <w:p w:rsidR="00157FEA" w:rsidRDefault="004F7B87">
      <w:pPr>
        <w:widowControl/>
        <w:adjustRightInd w:val="0"/>
        <w:snapToGrid w:val="0"/>
        <w:spacing w:line="600" w:lineRule="exact"/>
        <w:jc w:val="center"/>
        <w:rPr>
          <w:rFonts w:ascii="方正小标宋简体" w:eastAsia="方正小标宋简体" w:hAnsi="Tahoma"/>
          <w:kern w:val="0"/>
          <w:sz w:val="44"/>
          <w:szCs w:val="44"/>
        </w:rPr>
      </w:pPr>
      <w:r>
        <w:rPr>
          <w:rFonts w:ascii="方正小标宋简体" w:eastAsia="方正小标宋简体" w:hAnsi="Tahoma" w:hint="eastAsia"/>
          <w:kern w:val="0"/>
          <w:sz w:val="44"/>
          <w:szCs w:val="44"/>
        </w:rPr>
        <w:t>202</w:t>
      </w:r>
      <w:r>
        <w:rPr>
          <w:rFonts w:ascii="方正小标宋简体" w:eastAsia="方正小标宋简体" w:hAnsi="Tahoma" w:hint="eastAsia"/>
          <w:kern w:val="0"/>
          <w:sz w:val="44"/>
          <w:szCs w:val="44"/>
        </w:rPr>
        <w:t>4</w:t>
      </w:r>
      <w:r>
        <w:rPr>
          <w:rFonts w:ascii="方正小标宋简体" w:eastAsia="方正小标宋简体" w:hAnsi="Tahoma" w:hint="eastAsia"/>
          <w:kern w:val="0"/>
          <w:sz w:val="44"/>
          <w:szCs w:val="44"/>
        </w:rPr>
        <w:t>年度政府信息公开工作年度报告</w:t>
      </w:r>
    </w:p>
    <w:p w:rsidR="00157FEA" w:rsidRDefault="00157FEA">
      <w:pPr>
        <w:widowControl/>
        <w:adjustRightInd w:val="0"/>
        <w:snapToGrid w:val="0"/>
        <w:spacing w:line="600" w:lineRule="exact"/>
        <w:jc w:val="center"/>
        <w:rPr>
          <w:rFonts w:ascii="方正小标宋简体" w:eastAsia="方正小标宋简体" w:hAnsi="Tahoma"/>
          <w:kern w:val="0"/>
          <w:sz w:val="44"/>
          <w:szCs w:val="44"/>
        </w:rPr>
      </w:pPr>
    </w:p>
    <w:p w:rsidR="00157FEA" w:rsidRDefault="004F7B87">
      <w:pPr>
        <w:spacing w:line="600" w:lineRule="exact"/>
        <w:ind w:firstLineChars="200" w:firstLine="640"/>
        <w:rPr>
          <w:rFonts w:ascii="仿宋_GB2312" w:eastAsia="仿宋_GB2312" w:hAnsi="仿宋_GB2312" w:cs="仿宋_GB2312"/>
          <w:sz w:val="32"/>
          <w:szCs w:val="32"/>
        </w:rPr>
      </w:pPr>
      <w:r>
        <w:rPr>
          <w:rFonts w:ascii="仿宋_GB2312" w:eastAsia="仿宋_GB2312" w:hAnsi="宋体" w:cs="仿宋_GB2312"/>
          <w:color w:val="000000"/>
          <w:sz w:val="32"/>
          <w:szCs w:val="32"/>
          <w:shd w:val="clear" w:color="auto" w:fill="FFFFFF"/>
        </w:rPr>
        <w:t>根据《中华人民共和国政府信息公开条例》规定和省政府办公厅、枣庄市政府办公室、滕州市政府办公室通知要求，现发布《</w:t>
      </w:r>
      <w:r>
        <w:rPr>
          <w:rFonts w:ascii="仿宋_GB2312" w:eastAsia="仿宋_GB2312" w:hAnsi="宋体" w:cs="仿宋_GB2312" w:hint="eastAsia"/>
          <w:color w:val="000000"/>
          <w:sz w:val="32"/>
          <w:szCs w:val="32"/>
          <w:shd w:val="clear" w:color="auto" w:fill="FFFFFF"/>
        </w:rPr>
        <w:t>滕州市</w:t>
      </w:r>
      <w:r>
        <w:rPr>
          <w:rFonts w:ascii="仿宋_GB2312" w:eastAsia="仿宋_GB2312" w:hAnsi="宋体" w:cs="仿宋_GB2312"/>
          <w:color w:val="000000"/>
          <w:sz w:val="32"/>
          <w:szCs w:val="32"/>
          <w:shd w:val="clear" w:color="auto" w:fill="FFFFFF"/>
        </w:rPr>
        <w:t>财政局</w:t>
      </w:r>
      <w:r>
        <w:rPr>
          <w:rFonts w:ascii="仿宋_GB2312" w:eastAsia="仿宋_GB2312" w:hAnsi="宋体" w:cs="仿宋_GB2312" w:hint="eastAsia"/>
          <w:color w:val="000000"/>
          <w:sz w:val="32"/>
          <w:szCs w:val="32"/>
          <w:shd w:val="clear" w:color="auto" w:fill="FFFFFF"/>
        </w:rPr>
        <w:t>2024</w:t>
      </w:r>
      <w:r>
        <w:rPr>
          <w:rFonts w:ascii="仿宋_GB2312" w:eastAsia="仿宋_GB2312" w:hAnsi="宋体" w:cs="仿宋_GB2312" w:hint="eastAsia"/>
          <w:color w:val="000000"/>
          <w:sz w:val="32"/>
          <w:szCs w:val="32"/>
          <w:shd w:val="clear" w:color="auto" w:fill="FFFFFF"/>
        </w:rPr>
        <w:t>年度政府信息公开工作年度报告》。本年度报告中所列数据的统计期限自</w:t>
      </w:r>
      <w:r>
        <w:rPr>
          <w:rFonts w:ascii="仿宋_GB2312" w:eastAsia="仿宋_GB2312" w:hAnsi="宋体" w:cs="仿宋_GB2312" w:hint="eastAsia"/>
          <w:color w:val="000000"/>
          <w:sz w:val="32"/>
          <w:szCs w:val="32"/>
          <w:shd w:val="clear" w:color="auto" w:fill="FFFFFF"/>
        </w:rPr>
        <w:t>202</w:t>
      </w:r>
      <w:r>
        <w:rPr>
          <w:rFonts w:ascii="仿宋_GB2312" w:eastAsia="仿宋_GB2312" w:hAnsi="宋体" w:cs="仿宋_GB2312" w:hint="eastAsia"/>
          <w:color w:val="000000"/>
          <w:sz w:val="32"/>
          <w:szCs w:val="32"/>
          <w:shd w:val="clear" w:color="auto" w:fill="FFFFFF"/>
        </w:rPr>
        <w:t>4</w:t>
      </w:r>
      <w:r>
        <w:rPr>
          <w:rFonts w:ascii="仿宋_GB2312" w:eastAsia="仿宋_GB2312" w:hAnsi="宋体" w:cs="仿宋_GB2312" w:hint="eastAsia"/>
          <w:color w:val="000000"/>
          <w:sz w:val="32"/>
          <w:szCs w:val="32"/>
          <w:shd w:val="clear" w:color="auto" w:fill="FFFFFF"/>
        </w:rPr>
        <w:t>年</w:t>
      </w:r>
      <w:r>
        <w:rPr>
          <w:rFonts w:ascii="仿宋_GB2312" w:eastAsia="仿宋_GB2312" w:hAnsi="宋体" w:cs="仿宋_GB2312" w:hint="eastAsia"/>
          <w:color w:val="000000"/>
          <w:sz w:val="32"/>
          <w:szCs w:val="32"/>
          <w:shd w:val="clear" w:color="auto" w:fill="FFFFFF"/>
        </w:rPr>
        <w:t>1</w:t>
      </w:r>
      <w:r>
        <w:rPr>
          <w:rFonts w:ascii="仿宋_GB2312" w:eastAsia="仿宋_GB2312" w:hAnsi="宋体" w:cs="仿宋_GB2312" w:hint="eastAsia"/>
          <w:color w:val="000000"/>
          <w:sz w:val="32"/>
          <w:szCs w:val="32"/>
          <w:shd w:val="clear" w:color="auto" w:fill="FFFFFF"/>
        </w:rPr>
        <w:t>月</w:t>
      </w:r>
      <w:r>
        <w:rPr>
          <w:rFonts w:ascii="仿宋_GB2312" w:eastAsia="仿宋_GB2312" w:hAnsi="宋体" w:cs="仿宋_GB2312" w:hint="eastAsia"/>
          <w:color w:val="000000"/>
          <w:sz w:val="32"/>
          <w:szCs w:val="32"/>
          <w:shd w:val="clear" w:color="auto" w:fill="FFFFFF"/>
        </w:rPr>
        <w:t>1</w:t>
      </w:r>
      <w:r>
        <w:rPr>
          <w:rFonts w:ascii="仿宋_GB2312" w:eastAsia="仿宋_GB2312" w:hAnsi="宋体" w:cs="仿宋_GB2312" w:hint="eastAsia"/>
          <w:color w:val="000000"/>
          <w:sz w:val="32"/>
          <w:szCs w:val="32"/>
          <w:shd w:val="clear" w:color="auto" w:fill="FFFFFF"/>
        </w:rPr>
        <w:t>日起至</w:t>
      </w:r>
      <w:r>
        <w:rPr>
          <w:rFonts w:ascii="仿宋_GB2312" w:eastAsia="仿宋_GB2312" w:hAnsi="宋体" w:cs="仿宋_GB2312" w:hint="eastAsia"/>
          <w:color w:val="000000"/>
          <w:sz w:val="32"/>
          <w:szCs w:val="32"/>
          <w:shd w:val="clear" w:color="auto" w:fill="FFFFFF"/>
        </w:rPr>
        <w:t>12</w:t>
      </w:r>
      <w:r>
        <w:rPr>
          <w:rFonts w:ascii="仿宋_GB2312" w:eastAsia="仿宋_GB2312" w:hAnsi="宋体" w:cs="仿宋_GB2312" w:hint="eastAsia"/>
          <w:color w:val="000000"/>
          <w:sz w:val="32"/>
          <w:szCs w:val="32"/>
          <w:shd w:val="clear" w:color="auto" w:fill="FFFFFF"/>
        </w:rPr>
        <w:t>月</w:t>
      </w:r>
      <w:r>
        <w:rPr>
          <w:rFonts w:ascii="仿宋_GB2312" w:eastAsia="仿宋_GB2312" w:hAnsi="宋体" w:cs="仿宋_GB2312" w:hint="eastAsia"/>
          <w:color w:val="000000"/>
          <w:sz w:val="32"/>
          <w:szCs w:val="32"/>
          <w:shd w:val="clear" w:color="auto" w:fill="FFFFFF"/>
        </w:rPr>
        <w:t>31</w:t>
      </w:r>
      <w:r>
        <w:rPr>
          <w:rFonts w:ascii="仿宋_GB2312" w:eastAsia="仿宋_GB2312" w:hAnsi="宋体" w:cs="仿宋_GB2312" w:hint="eastAsia"/>
          <w:color w:val="000000"/>
          <w:sz w:val="32"/>
          <w:szCs w:val="32"/>
          <w:shd w:val="clear" w:color="auto" w:fill="FFFFFF"/>
        </w:rPr>
        <w:t>日止。</w:t>
      </w:r>
    </w:p>
    <w:p w:rsidR="00157FEA" w:rsidRDefault="004F7B8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一、总体情况</w:t>
      </w:r>
    </w:p>
    <w:p w:rsidR="00157FEA" w:rsidRDefault="004F7B87">
      <w:pPr>
        <w:spacing w:line="600" w:lineRule="exact"/>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宋体" w:cs="仿宋_GB2312"/>
          <w:color w:val="000000"/>
          <w:sz w:val="32"/>
          <w:szCs w:val="32"/>
          <w:shd w:val="clear" w:color="auto" w:fill="FFFFFF"/>
        </w:rPr>
        <w:t>202</w:t>
      </w:r>
      <w:r>
        <w:rPr>
          <w:rFonts w:ascii="仿宋_GB2312" w:eastAsia="仿宋_GB2312" w:hAnsi="宋体" w:cs="仿宋_GB2312" w:hint="eastAsia"/>
          <w:color w:val="000000"/>
          <w:sz w:val="32"/>
          <w:szCs w:val="32"/>
          <w:shd w:val="clear" w:color="auto" w:fill="FFFFFF"/>
        </w:rPr>
        <w:t>4</w:t>
      </w:r>
      <w:r>
        <w:rPr>
          <w:rFonts w:ascii="仿宋_GB2312" w:eastAsia="仿宋_GB2312" w:hAnsi="宋体" w:cs="仿宋_GB2312"/>
          <w:color w:val="000000"/>
          <w:sz w:val="32"/>
          <w:szCs w:val="32"/>
          <w:shd w:val="clear" w:color="auto" w:fill="FFFFFF"/>
        </w:rPr>
        <w:t>年，</w:t>
      </w:r>
      <w:r>
        <w:rPr>
          <w:rFonts w:ascii="仿宋_GB2312" w:eastAsia="仿宋_GB2312" w:hAnsi="宋体" w:cs="仿宋_GB2312" w:hint="eastAsia"/>
          <w:color w:val="000000"/>
          <w:sz w:val="32"/>
          <w:szCs w:val="32"/>
          <w:shd w:val="clear" w:color="auto" w:fill="FFFFFF"/>
        </w:rPr>
        <w:t>滕州</w:t>
      </w:r>
      <w:r>
        <w:rPr>
          <w:rFonts w:ascii="仿宋_GB2312" w:eastAsia="仿宋_GB2312" w:hAnsi="宋体" w:cs="仿宋_GB2312"/>
          <w:color w:val="000000"/>
          <w:sz w:val="32"/>
          <w:szCs w:val="32"/>
          <w:shd w:val="clear" w:color="auto" w:fill="FFFFFF"/>
        </w:rPr>
        <w:t>市</w:t>
      </w:r>
      <w:r>
        <w:rPr>
          <w:rFonts w:ascii="仿宋_GB2312" w:eastAsia="仿宋_GB2312" w:hAnsi="宋体" w:cs="仿宋_GB2312" w:hint="eastAsia"/>
          <w:color w:val="000000"/>
          <w:sz w:val="32"/>
          <w:szCs w:val="32"/>
          <w:shd w:val="clear" w:color="auto" w:fill="FFFFFF"/>
        </w:rPr>
        <w:t>财政</w:t>
      </w:r>
      <w:r>
        <w:rPr>
          <w:rFonts w:ascii="仿宋_GB2312" w:eastAsia="仿宋_GB2312" w:hAnsi="宋体" w:cs="仿宋_GB2312"/>
          <w:color w:val="000000"/>
          <w:sz w:val="32"/>
          <w:szCs w:val="32"/>
          <w:shd w:val="clear" w:color="auto" w:fill="FFFFFF"/>
        </w:rPr>
        <w:t>局按照市委、市政府的统一部署，认真贯彻落实《中华人民共和国政府信息公开条例》以及省、枣庄市和滕州市政府关于政府信息公开工作的要求，积极推进财政领域信息的全面、及时、准确公开，促进财政工作的透明化与规范化，</w:t>
      </w:r>
      <w:r>
        <w:rPr>
          <w:rFonts w:ascii="仿宋_GB2312" w:eastAsia="仿宋_GB2312" w:hAnsi="宋体" w:cs="仿宋_GB2312"/>
          <w:color w:val="000000"/>
          <w:sz w:val="32"/>
          <w:szCs w:val="32"/>
          <w:shd w:val="clear" w:color="auto" w:fill="FFFFFF"/>
        </w:rPr>
        <w:t>切实提高人民群众满意度和获得感。</w:t>
      </w:r>
    </w:p>
    <w:p w:rsidR="00157FEA" w:rsidRDefault="004F7B8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主动公开</w:t>
      </w:r>
      <w:r>
        <w:rPr>
          <w:rFonts w:ascii="仿宋_GB2312" w:eastAsia="仿宋_GB2312" w:hAnsi="仿宋_GB2312" w:cs="仿宋_GB2312" w:hint="eastAsia"/>
          <w:sz w:val="32"/>
          <w:szCs w:val="32"/>
        </w:rPr>
        <w:t>方面</w:t>
      </w:r>
      <w:r>
        <w:rPr>
          <w:rFonts w:ascii="仿宋_GB2312" w:eastAsia="仿宋_GB2312" w:hAnsi="仿宋_GB2312" w:cs="仿宋_GB2312" w:hint="eastAsia"/>
          <w:sz w:val="32"/>
          <w:szCs w:val="32"/>
        </w:rPr>
        <w:t>。一是强化基本信息公开。</w:t>
      </w:r>
      <w:r>
        <w:rPr>
          <w:rFonts w:ascii="仿宋_GB2312" w:eastAsia="仿宋_GB2312" w:hAnsi="宋体" w:cs="仿宋_GB2312"/>
          <w:color w:val="000000"/>
          <w:sz w:val="32"/>
          <w:szCs w:val="32"/>
          <w:shd w:val="clear" w:color="auto" w:fill="FFFFFF"/>
        </w:rPr>
        <w:t>全年共主动公开政府信息</w:t>
      </w:r>
      <w:r>
        <w:rPr>
          <w:rFonts w:ascii="仿宋_GB2312" w:eastAsia="仿宋_GB2312" w:hAnsi="宋体" w:cs="仿宋_GB2312"/>
          <w:color w:val="000000"/>
          <w:sz w:val="32"/>
          <w:szCs w:val="32"/>
          <w:shd w:val="clear" w:color="auto" w:fill="FFFFFF"/>
        </w:rPr>
        <w:t>3</w:t>
      </w:r>
      <w:r>
        <w:rPr>
          <w:rFonts w:ascii="仿宋_GB2312" w:eastAsia="仿宋_GB2312" w:hAnsi="宋体" w:cs="仿宋_GB2312" w:hint="eastAsia"/>
          <w:color w:val="000000"/>
          <w:sz w:val="32"/>
          <w:szCs w:val="32"/>
          <w:shd w:val="clear" w:color="auto" w:fill="FFFFFF"/>
        </w:rPr>
        <w:t>72</w:t>
      </w:r>
      <w:r>
        <w:rPr>
          <w:rFonts w:ascii="仿宋_GB2312" w:eastAsia="仿宋_GB2312" w:hAnsi="宋体" w:cs="仿宋_GB2312"/>
          <w:color w:val="000000"/>
          <w:sz w:val="32"/>
          <w:szCs w:val="32"/>
          <w:shd w:val="clear" w:color="auto" w:fill="FFFFFF"/>
        </w:rPr>
        <w:t>条。其中，通过</w:t>
      </w:r>
      <w:r>
        <w:rPr>
          <w:rFonts w:ascii="仿宋_GB2312" w:eastAsia="仿宋_GB2312" w:hAnsi="宋体" w:cs="仿宋_GB2312" w:hint="eastAsia"/>
          <w:color w:val="000000"/>
          <w:sz w:val="32"/>
          <w:szCs w:val="32"/>
          <w:shd w:val="clear" w:color="auto" w:fill="FFFFFF"/>
        </w:rPr>
        <w:t>滕州市人民政府官网（财政局）栏目</w:t>
      </w:r>
      <w:r>
        <w:rPr>
          <w:rFonts w:ascii="仿宋_GB2312" w:eastAsia="仿宋_GB2312" w:hAnsi="宋体" w:cs="仿宋_GB2312"/>
          <w:color w:val="000000"/>
          <w:sz w:val="32"/>
          <w:szCs w:val="32"/>
          <w:shd w:val="clear" w:color="auto" w:fill="FFFFFF"/>
        </w:rPr>
        <w:t>公开</w:t>
      </w:r>
      <w:r>
        <w:rPr>
          <w:rFonts w:ascii="仿宋_GB2312" w:eastAsia="仿宋_GB2312" w:hAnsi="宋体" w:cs="仿宋_GB2312" w:hint="eastAsia"/>
          <w:color w:val="000000"/>
          <w:sz w:val="32"/>
          <w:szCs w:val="32"/>
          <w:shd w:val="clear" w:color="auto" w:fill="FFFFFF"/>
        </w:rPr>
        <w:t>110</w:t>
      </w:r>
      <w:r>
        <w:rPr>
          <w:rFonts w:ascii="仿宋_GB2312" w:eastAsia="仿宋_GB2312" w:hAnsi="宋体" w:cs="仿宋_GB2312"/>
          <w:color w:val="000000"/>
          <w:sz w:val="32"/>
          <w:szCs w:val="32"/>
          <w:shd w:val="clear" w:color="auto" w:fill="FFFFFF"/>
        </w:rPr>
        <w:t>条，通过</w:t>
      </w:r>
      <w:r>
        <w:rPr>
          <w:rFonts w:ascii="仿宋_GB2312" w:eastAsia="仿宋_GB2312" w:hAnsi="宋体" w:cs="仿宋_GB2312" w:hint="eastAsia"/>
          <w:color w:val="000000"/>
          <w:sz w:val="32"/>
          <w:szCs w:val="32"/>
          <w:shd w:val="clear" w:color="auto" w:fill="FFFFFF"/>
        </w:rPr>
        <w:t>滕州市人民政府官网信息公开页面</w:t>
      </w:r>
      <w:r>
        <w:rPr>
          <w:rFonts w:ascii="仿宋_GB2312" w:eastAsia="仿宋_GB2312" w:hAnsi="宋体" w:cs="仿宋_GB2312"/>
          <w:color w:val="000000"/>
          <w:sz w:val="32"/>
          <w:szCs w:val="32"/>
          <w:shd w:val="clear" w:color="auto" w:fill="FFFFFF"/>
        </w:rPr>
        <w:t>公开</w:t>
      </w:r>
      <w:r>
        <w:rPr>
          <w:rFonts w:ascii="仿宋_GB2312" w:eastAsia="仿宋_GB2312" w:hAnsi="宋体" w:cs="仿宋_GB2312" w:hint="eastAsia"/>
          <w:color w:val="000000"/>
          <w:sz w:val="32"/>
          <w:szCs w:val="32"/>
          <w:shd w:val="clear" w:color="auto" w:fill="FFFFFF"/>
        </w:rPr>
        <w:t>81</w:t>
      </w:r>
      <w:r>
        <w:rPr>
          <w:rFonts w:ascii="仿宋_GB2312" w:eastAsia="仿宋_GB2312" w:hAnsi="宋体" w:cs="仿宋_GB2312"/>
          <w:color w:val="000000"/>
          <w:sz w:val="32"/>
          <w:szCs w:val="32"/>
          <w:shd w:val="clear" w:color="auto" w:fill="FFFFFF"/>
        </w:rPr>
        <w:t>条，通过微信公众号公开</w:t>
      </w:r>
      <w:r>
        <w:rPr>
          <w:rFonts w:ascii="仿宋_GB2312" w:eastAsia="仿宋_GB2312" w:hAnsi="宋体" w:cs="仿宋_GB2312" w:hint="eastAsia"/>
          <w:color w:val="000000"/>
          <w:sz w:val="32"/>
          <w:szCs w:val="32"/>
          <w:shd w:val="clear" w:color="auto" w:fill="FFFFFF"/>
        </w:rPr>
        <w:t>181</w:t>
      </w:r>
      <w:r>
        <w:rPr>
          <w:rFonts w:ascii="仿宋_GB2312" w:eastAsia="仿宋_GB2312" w:hAnsi="宋体" w:cs="仿宋_GB2312"/>
          <w:color w:val="000000"/>
          <w:sz w:val="32"/>
          <w:szCs w:val="32"/>
          <w:shd w:val="clear" w:color="auto" w:fill="FFFFFF"/>
        </w:rPr>
        <w:t>条。</w:t>
      </w:r>
      <w:r>
        <w:rPr>
          <w:rFonts w:ascii="仿宋_GB2312" w:eastAsia="仿宋_GB2312" w:hAnsi="仿宋_GB2312" w:cs="仿宋_GB2312" w:hint="eastAsia"/>
          <w:sz w:val="32"/>
          <w:szCs w:val="32"/>
        </w:rPr>
        <w:t>主动公开基本信息，包括通知公告、政策法规及</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文件、规划计划等。二是突出</w:t>
      </w:r>
      <w:r>
        <w:rPr>
          <w:rFonts w:ascii="仿宋_GB2312" w:eastAsia="仿宋_GB2312" w:hAnsi="仿宋_GB2312" w:cs="仿宋_GB2312" w:hint="eastAsia"/>
          <w:sz w:val="32"/>
          <w:szCs w:val="32"/>
        </w:rPr>
        <w:t>重点领域信息公开。</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年，主动公开财政信息包括：财政预决算、财政收支信息、重点项目绩效评价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行政事业性收费情况</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。维护滕州市预决算公开平台（</w:t>
      </w:r>
      <w:r>
        <w:rPr>
          <w:rFonts w:ascii="仿宋_GB2312" w:eastAsia="仿宋_GB2312" w:hAnsi="仿宋_GB2312" w:cs="仿宋_GB2312"/>
          <w:sz w:val="32"/>
          <w:szCs w:val="32"/>
        </w:rPr>
        <w:t>http://tengzhou.czyjsgk.com:5000/</w:t>
      </w:r>
      <w:r>
        <w:rPr>
          <w:rFonts w:ascii="仿宋_GB2312" w:eastAsia="仿宋_GB2312" w:hAnsi="仿宋_GB2312" w:cs="仿宋_GB2312" w:hint="eastAsia"/>
          <w:sz w:val="32"/>
          <w:szCs w:val="32"/>
        </w:rPr>
        <w:t>），财政预决算及</w:t>
      </w:r>
      <w:r w:rsidR="0068531B">
        <w:rPr>
          <w:rFonts w:ascii="仿宋_GB2312" w:eastAsia="仿宋_GB2312" w:hAnsi="仿宋_GB2312" w:cs="仿宋_GB2312" w:hint="eastAsia"/>
          <w:sz w:val="32"/>
          <w:szCs w:val="32"/>
        </w:rPr>
        <w:t>“</w:t>
      </w:r>
      <w:r w:rsidR="0068531B">
        <w:rPr>
          <w:rFonts w:ascii="仿宋_GB2312" w:eastAsia="仿宋_GB2312" w:hAnsi="仿宋_GB2312" w:cs="仿宋_GB2312" w:hint="eastAsia"/>
          <w:sz w:val="32"/>
          <w:szCs w:val="32"/>
        </w:rPr>
        <w:t>三公</w:t>
      </w:r>
      <w:r w:rsidR="0068531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经费类信息统一在此平台发布。</w:t>
      </w:r>
    </w:p>
    <w:p w:rsidR="00157FEA" w:rsidRDefault="004F7B87">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bookmarkEnd w:id="0"/>
    </w:p>
    <w:p w:rsidR="00157FEA" w:rsidRDefault="004F7B87">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extent cx="3938905" cy="2409825"/>
            <wp:effectExtent l="0" t="0" r="4445" b="9525"/>
            <wp:docPr id="2" name="图片 2" descr="直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直达"/>
                    <pic:cNvPicPr>
                      <a:picLocks noChangeAspect="1"/>
                    </pic:cNvPicPr>
                  </pic:nvPicPr>
                  <pic:blipFill>
                    <a:blip r:embed="rId8"/>
                    <a:stretch>
                      <a:fillRect/>
                    </a:stretch>
                  </pic:blipFill>
                  <pic:spPr>
                    <a:xfrm>
                      <a:off x="0" y="0"/>
                      <a:ext cx="3938905" cy="2409825"/>
                    </a:xfrm>
                    <a:prstGeom prst="rect">
                      <a:avLst/>
                    </a:prstGeom>
                  </pic:spPr>
                </pic:pic>
              </a:graphicData>
            </a:graphic>
          </wp:inline>
        </w:drawing>
      </w:r>
    </w:p>
    <w:p w:rsidR="00157FEA" w:rsidRDefault="004F7B87">
      <w:pPr>
        <w:pStyle w:val="aa"/>
        <w:widowControl/>
        <w:spacing w:beforeAutospacing="0" w:afterAutospacing="0" w:line="360" w:lineRule="auto"/>
        <w:ind w:leftChars="200" w:left="420"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依申请公开。</w:t>
      </w:r>
      <w:r>
        <w:rPr>
          <w:rFonts w:ascii="仿宋_GB2312" w:eastAsia="仿宋_GB2312" w:hint="eastAsia"/>
          <w:color w:val="000000"/>
          <w:sz w:val="32"/>
          <w:szCs w:val="32"/>
        </w:rPr>
        <w:t>2024</w:t>
      </w:r>
      <w:r>
        <w:rPr>
          <w:rFonts w:ascii="仿宋_GB2312" w:eastAsia="仿宋_GB2312" w:hint="eastAsia"/>
          <w:color w:val="000000"/>
          <w:sz w:val="32"/>
          <w:szCs w:val="32"/>
        </w:rPr>
        <w:t>年，新收</w:t>
      </w:r>
      <w:r>
        <w:rPr>
          <w:rFonts w:ascii="仿宋_GB2312" w:eastAsia="仿宋_GB2312" w:hint="eastAsia"/>
          <w:color w:val="000000"/>
          <w:sz w:val="32"/>
          <w:szCs w:val="32"/>
        </w:rPr>
        <w:t>3</w:t>
      </w:r>
      <w:r>
        <w:rPr>
          <w:rFonts w:ascii="仿宋_GB2312" w:eastAsia="仿宋_GB2312" w:hint="eastAsia"/>
          <w:color w:val="000000"/>
          <w:sz w:val="32"/>
          <w:szCs w:val="32"/>
        </w:rPr>
        <w:t>件</w:t>
      </w:r>
      <w:r>
        <w:rPr>
          <w:rFonts w:ascii="仿宋_GB2312" w:eastAsia="仿宋_GB2312" w:hAnsi="仿宋_GB2312" w:cs="仿宋_GB2312" w:hint="eastAsia"/>
          <w:sz w:val="32"/>
          <w:szCs w:val="32"/>
        </w:rPr>
        <w:t>政府信息公开申请，上年结转</w:t>
      </w:r>
      <w:r>
        <w:rPr>
          <w:rFonts w:ascii="仿宋_GB2312" w:eastAsia="仿宋_GB2312" w:hint="eastAsia"/>
          <w:color w:val="000000"/>
          <w:sz w:val="32"/>
          <w:szCs w:val="32"/>
        </w:rPr>
        <w:t>0</w:t>
      </w:r>
      <w:r>
        <w:rPr>
          <w:rFonts w:ascii="仿宋_GB2312" w:eastAsia="仿宋_GB2312" w:hint="eastAsia"/>
          <w:color w:val="000000"/>
          <w:sz w:val="32"/>
          <w:szCs w:val="32"/>
        </w:rPr>
        <w:t>件，合计</w:t>
      </w:r>
      <w:r>
        <w:rPr>
          <w:rFonts w:ascii="仿宋_GB2312" w:eastAsia="仿宋_GB2312" w:hint="eastAsia"/>
          <w:color w:val="000000"/>
          <w:sz w:val="32"/>
          <w:szCs w:val="32"/>
        </w:rPr>
        <w:t>3</w:t>
      </w:r>
      <w:r>
        <w:rPr>
          <w:rFonts w:ascii="仿宋_GB2312" w:eastAsia="仿宋_GB2312" w:hint="eastAsia"/>
          <w:color w:val="000000"/>
          <w:sz w:val="32"/>
          <w:szCs w:val="32"/>
        </w:rPr>
        <w:t>件</w:t>
      </w:r>
      <w:r>
        <w:rPr>
          <w:rFonts w:ascii="仿宋_GB2312" w:eastAsia="仿宋_GB2312" w:hAnsi="仿宋_GB2312" w:cs="仿宋_GB2312" w:hint="eastAsia"/>
          <w:sz w:val="32"/>
          <w:szCs w:val="32"/>
        </w:rPr>
        <w:t>。</w:t>
      </w:r>
      <w:r>
        <w:rPr>
          <w:rFonts w:ascii="仿宋_GB2312" w:eastAsia="仿宋_GB2312" w:hint="eastAsia"/>
          <w:color w:val="000000"/>
          <w:sz w:val="32"/>
          <w:szCs w:val="32"/>
        </w:rPr>
        <w:t>自然人申</w:t>
      </w:r>
      <w:r>
        <w:rPr>
          <w:rFonts w:ascii="仿宋_GB2312" w:eastAsia="仿宋_GB2312" w:hint="eastAsia"/>
          <w:color w:val="000000"/>
          <w:sz w:val="32"/>
          <w:szCs w:val="32"/>
        </w:rPr>
        <w:t>请</w:t>
      </w:r>
      <w:r>
        <w:rPr>
          <w:rFonts w:ascii="仿宋_GB2312" w:eastAsia="仿宋_GB2312" w:hint="eastAsia"/>
          <w:color w:val="000000"/>
          <w:sz w:val="32"/>
          <w:szCs w:val="32"/>
        </w:rPr>
        <w:t>3</w:t>
      </w:r>
      <w:r>
        <w:rPr>
          <w:rFonts w:ascii="仿宋_GB2312" w:eastAsia="仿宋_GB2312" w:hint="eastAsia"/>
          <w:color w:val="000000"/>
          <w:sz w:val="32"/>
          <w:szCs w:val="32"/>
        </w:rPr>
        <w:t>件，无法提供</w:t>
      </w:r>
      <w:r>
        <w:rPr>
          <w:rFonts w:ascii="仿宋_GB2312" w:eastAsia="仿宋_GB2312" w:hint="eastAsia"/>
          <w:color w:val="000000"/>
          <w:sz w:val="32"/>
          <w:szCs w:val="32"/>
        </w:rPr>
        <w:t>3</w:t>
      </w:r>
      <w:r>
        <w:rPr>
          <w:rFonts w:ascii="仿宋_GB2312" w:eastAsia="仿宋_GB2312" w:hint="eastAsia"/>
          <w:color w:val="000000"/>
          <w:sz w:val="32"/>
          <w:szCs w:val="32"/>
        </w:rPr>
        <w:t>件。</w:t>
      </w:r>
      <w:r>
        <w:rPr>
          <w:rFonts w:ascii="仿宋_GB2312" w:eastAsia="仿宋_GB2312" w:hint="eastAsia"/>
          <w:sz w:val="32"/>
          <w:szCs w:val="32"/>
        </w:rPr>
        <w:t>答复申请时，</w:t>
      </w:r>
      <w:r>
        <w:rPr>
          <w:rFonts w:ascii="仿宋_GB2312" w:eastAsia="仿宋_GB2312"/>
          <w:sz w:val="32"/>
          <w:szCs w:val="32"/>
        </w:rPr>
        <w:t>依法有据、严谨规范、慎重稳妥</w:t>
      </w:r>
      <w:r>
        <w:rPr>
          <w:rFonts w:hint="eastAsia"/>
          <w:sz w:val="32"/>
          <w:szCs w:val="32"/>
        </w:rPr>
        <w:t>。</w:t>
      </w:r>
      <w:r>
        <w:rPr>
          <w:rFonts w:ascii="仿宋_GB2312" w:eastAsia="仿宋_GB2312" w:hint="eastAsia"/>
          <w:color w:val="000000"/>
          <w:sz w:val="32"/>
          <w:szCs w:val="32"/>
        </w:rPr>
        <w:t>被行政复议</w:t>
      </w:r>
      <w:r>
        <w:rPr>
          <w:rFonts w:ascii="仿宋_GB2312" w:eastAsia="仿宋_GB2312" w:hint="eastAsia"/>
          <w:color w:val="000000"/>
          <w:sz w:val="32"/>
          <w:szCs w:val="32"/>
        </w:rPr>
        <w:t>0</w:t>
      </w:r>
      <w:r>
        <w:rPr>
          <w:rFonts w:ascii="仿宋_GB2312" w:eastAsia="仿宋_GB2312" w:hint="eastAsia"/>
          <w:color w:val="000000"/>
          <w:sz w:val="32"/>
          <w:szCs w:val="32"/>
        </w:rPr>
        <w:t>件，</w:t>
      </w:r>
      <w:r>
        <w:rPr>
          <w:rFonts w:ascii="仿宋_GB2312" w:eastAsia="仿宋_GB2312" w:hint="eastAsia"/>
          <w:color w:val="000000"/>
          <w:sz w:val="32"/>
          <w:szCs w:val="32"/>
        </w:rPr>
        <w:t>行政诉讼</w:t>
      </w:r>
      <w:r>
        <w:rPr>
          <w:rFonts w:ascii="仿宋_GB2312" w:eastAsia="仿宋_GB2312" w:hint="eastAsia"/>
          <w:color w:val="000000"/>
          <w:sz w:val="32"/>
          <w:szCs w:val="32"/>
        </w:rPr>
        <w:t>0</w:t>
      </w:r>
      <w:r>
        <w:rPr>
          <w:rFonts w:ascii="仿宋_GB2312" w:eastAsia="仿宋_GB2312" w:hint="eastAsia"/>
          <w:color w:val="000000"/>
          <w:sz w:val="32"/>
          <w:szCs w:val="32"/>
        </w:rPr>
        <w:t>件。与往年相比增减情况，详见图表。</w:t>
      </w:r>
    </w:p>
    <w:p w:rsidR="00157FEA" w:rsidRDefault="004F7B87">
      <w:pPr>
        <w:pStyle w:val="aa"/>
        <w:widowControl/>
        <w:spacing w:beforeAutospacing="0" w:afterAutospacing="0" w:line="360" w:lineRule="auto"/>
        <w:ind w:leftChars="200" w:left="420"/>
        <w:jc w:val="center"/>
        <w:rPr>
          <w:rFonts w:ascii="仿宋_GB2312" w:eastAsia="仿宋_GB2312"/>
          <w:color w:val="000000"/>
          <w:sz w:val="32"/>
          <w:szCs w:val="32"/>
        </w:rPr>
      </w:pPr>
      <w:r>
        <w:rPr>
          <w:rFonts w:ascii="仿宋_GB2312" w:eastAsia="仿宋_GB2312"/>
          <w:noProof/>
          <w:color w:val="000000"/>
          <w:sz w:val="32"/>
          <w:szCs w:val="32"/>
        </w:rPr>
        <w:drawing>
          <wp:inline distT="0" distB="0" distL="114300" distR="114300">
            <wp:extent cx="3559810" cy="1697355"/>
            <wp:effectExtent l="4445" t="4445" r="17145" b="12700"/>
            <wp:docPr id="6" name="图表 6" descr="7b0a202020202263686172745265734964223a202231393934393936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7FEA" w:rsidRDefault="004F7B8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政府信息管理。严格落实公文公开属性源头认定机制，明确标识主动公开、依申请公开、不予公开属性。严格政府信息公开审核和发布流程，强化保密审查和信息发布审核机制，做好信息公开保密审查工作。另明确信息公开时限要求，确保信息上传及时、避免出现空白栏目，扎实做好信息上传维护工作。</w:t>
      </w:r>
    </w:p>
    <w:p w:rsidR="00157FEA" w:rsidRDefault="004F7B8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政府信息公开平台建设。加强政府网站</w:t>
      </w:r>
      <w:r>
        <w:rPr>
          <w:rFonts w:ascii="仿宋_GB2312" w:eastAsia="仿宋_GB2312" w:hAnsi="仿宋_GB2312" w:cs="仿宋_GB2312" w:hint="eastAsia"/>
          <w:sz w:val="32"/>
          <w:szCs w:val="32"/>
        </w:rPr>
        <w:t>子栏目</w:t>
      </w:r>
      <w:r>
        <w:rPr>
          <w:rFonts w:ascii="仿宋_GB2312" w:eastAsia="仿宋_GB2312" w:hint="eastAsia"/>
          <w:sz w:val="32"/>
          <w:szCs w:val="32"/>
        </w:rPr>
        <w:t>、政府信息公开</w:t>
      </w:r>
      <w:r>
        <w:rPr>
          <w:rFonts w:ascii="仿宋_GB2312" w:eastAsia="仿宋_GB2312" w:hint="eastAsia"/>
          <w:sz w:val="32"/>
          <w:szCs w:val="32"/>
        </w:rPr>
        <w:t>页面</w:t>
      </w:r>
      <w:r>
        <w:rPr>
          <w:rFonts w:ascii="仿宋_GB2312" w:eastAsia="仿宋_GB2312" w:hint="eastAsia"/>
          <w:sz w:val="32"/>
          <w:szCs w:val="32"/>
        </w:rPr>
        <w:t>、政务新媒体</w:t>
      </w:r>
      <w:r>
        <w:rPr>
          <w:rFonts w:ascii="仿宋_GB2312" w:eastAsia="仿宋_GB2312" w:hAnsi="仿宋_GB2312" w:cs="仿宋_GB2312" w:hint="eastAsia"/>
          <w:sz w:val="32"/>
          <w:szCs w:val="32"/>
        </w:rPr>
        <w:t>的日常管理和栏目维护，不断完善政府信息公开网的公开内容。</w:t>
      </w:r>
    </w:p>
    <w:p w:rsidR="00157FEA" w:rsidRDefault="004F7B8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监督保障。加强对政务信息公开工作的组织领导，并下设办公室。结合工作安排，开展政务公开培训。</w:t>
      </w:r>
    </w:p>
    <w:p w:rsidR="00157FEA" w:rsidRDefault="004F7B87">
      <w:pPr>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，滕州市财政局未发生因信息公开审查不当或保密审查机构未履行保密审查职责而引起的失泄密情况。</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年度未进行社会评议，未发生责任追究情况。</w:t>
      </w:r>
    </w:p>
    <w:p w:rsidR="00157FEA" w:rsidRDefault="004F7B8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黑体" w:eastAsia="黑体" w:hAnsi="黑体" w:cs="黑体" w:hint="eastAsia"/>
          <w:sz w:val="32"/>
          <w:szCs w:val="32"/>
        </w:rPr>
        <w:t>主动公开政府信息情况</w:t>
      </w:r>
    </w:p>
    <w:p w:rsidR="00157FEA" w:rsidRDefault="00157FEA">
      <w:pPr>
        <w:spacing w:line="360" w:lineRule="auto"/>
        <w:ind w:firstLineChars="200" w:firstLine="640"/>
        <w:rPr>
          <w:rFonts w:ascii="仿宋_GB2312" w:eastAsia="仿宋_GB2312" w:hAnsi="仿宋_GB2312" w:cs="仿宋_GB2312"/>
          <w:sz w:val="32"/>
          <w:szCs w:val="32"/>
        </w:rPr>
      </w:pPr>
    </w:p>
    <w:tbl>
      <w:tblPr>
        <w:tblpPr w:leftFromText="180" w:rightFromText="180" w:vertAnchor="page" w:horzAnchor="page" w:tblpX="1779" w:tblpY="5678"/>
        <w:tblOverlap w:val="never"/>
        <w:tblW w:w="8824" w:type="dxa"/>
        <w:tblLayout w:type="fixed"/>
        <w:tblLook w:val="04A0" w:firstRow="1" w:lastRow="0" w:firstColumn="1" w:lastColumn="0" w:noHBand="0" w:noVBand="1"/>
      </w:tblPr>
      <w:tblGrid>
        <w:gridCol w:w="2206"/>
        <w:gridCol w:w="2206"/>
        <w:gridCol w:w="2206"/>
        <w:gridCol w:w="2206"/>
      </w:tblGrid>
      <w:tr w:rsidR="00157FEA">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157FEA" w:rsidRDefault="004F7B87">
            <w:pPr>
              <w:widowControl/>
              <w:spacing w:line="560" w:lineRule="exact"/>
              <w:ind w:firstLineChars="200" w:firstLine="420"/>
              <w:rPr>
                <w:rFonts w:ascii="黑体" w:eastAsia="黑体" w:hAnsi="黑体" w:cs="宋体"/>
                <w:color w:val="000000"/>
                <w:kern w:val="0"/>
                <w:szCs w:val="21"/>
              </w:rPr>
            </w:pPr>
            <w:r>
              <w:rPr>
                <w:rFonts w:ascii="黑体" w:eastAsia="黑体" w:hAnsi="黑体" w:cs="宋体" w:hint="eastAsia"/>
                <w:color w:val="000000"/>
                <w:kern w:val="0"/>
                <w:szCs w:val="21"/>
              </w:rPr>
              <w:t>第二十条第（一）项</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本年制发件数</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本年废止件数</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现行有效件数</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规章</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行政规范性文件</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vAlign w:val="center"/>
          </w:tcPr>
          <w:p w:rsidR="00157FEA" w:rsidRDefault="004F7B87">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r w:rsidR="00157FEA">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157FEA" w:rsidRDefault="004F7B87">
            <w:pPr>
              <w:widowControl/>
              <w:spacing w:line="560" w:lineRule="exact"/>
              <w:ind w:firstLineChars="200" w:firstLine="420"/>
              <w:rPr>
                <w:rFonts w:ascii="黑体" w:eastAsia="黑体" w:hAnsi="黑体" w:cs="宋体"/>
                <w:color w:val="000000"/>
                <w:kern w:val="0"/>
                <w:szCs w:val="21"/>
              </w:rPr>
            </w:pPr>
            <w:r>
              <w:rPr>
                <w:rFonts w:ascii="黑体" w:eastAsia="黑体" w:hAnsi="黑体" w:cs="宋体" w:hint="eastAsia"/>
                <w:color w:val="000000"/>
                <w:kern w:val="0"/>
                <w:szCs w:val="21"/>
              </w:rPr>
              <w:t>第二十条第（五）项</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rsidR="00157FEA" w:rsidRDefault="004F7B87">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kern w:val="0"/>
                <w:szCs w:val="21"/>
              </w:rPr>
              <w:t>0</w:t>
            </w:r>
          </w:p>
        </w:tc>
      </w:tr>
      <w:tr w:rsidR="00157FEA">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157FEA" w:rsidRDefault="004F7B87">
            <w:pPr>
              <w:widowControl/>
              <w:spacing w:line="560" w:lineRule="exact"/>
              <w:ind w:firstLineChars="200" w:firstLine="420"/>
              <w:jc w:val="left"/>
              <w:rPr>
                <w:rFonts w:ascii="黑体" w:eastAsia="黑体" w:hAnsi="黑体" w:cs="宋体"/>
                <w:color w:val="000000"/>
                <w:kern w:val="0"/>
                <w:szCs w:val="21"/>
              </w:rPr>
            </w:pPr>
            <w:r>
              <w:rPr>
                <w:rFonts w:ascii="黑体" w:eastAsia="黑体" w:hAnsi="黑体" w:cs="宋体" w:hint="eastAsia"/>
                <w:color w:val="000000"/>
                <w:kern w:val="0"/>
                <w:szCs w:val="21"/>
              </w:rPr>
              <w:t>第二十条第（六）项</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rsidR="00157FEA" w:rsidRDefault="004F7B87">
            <w:pPr>
              <w:widowControl/>
              <w:spacing w:line="560" w:lineRule="exact"/>
              <w:ind w:firstLineChars="200" w:firstLine="420"/>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r>
      <w:tr w:rsidR="00157FEA">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157FEA" w:rsidRDefault="004F7B87">
            <w:pPr>
              <w:widowControl/>
              <w:spacing w:line="560" w:lineRule="exact"/>
              <w:ind w:firstLineChars="200" w:firstLine="420"/>
              <w:rPr>
                <w:rFonts w:ascii="黑体" w:eastAsia="黑体" w:hAnsi="黑体" w:cs="宋体"/>
                <w:color w:val="000000"/>
                <w:kern w:val="0"/>
                <w:szCs w:val="21"/>
              </w:rPr>
            </w:pPr>
            <w:r>
              <w:rPr>
                <w:rFonts w:ascii="黑体" w:eastAsia="黑体" w:hAnsi="黑体" w:cs="宋体" w:hint="eastAsia"/>
                <w:color w:val="000000"/>
                <w:kern w:val="0"/>
                <w:szCs w:val="21"/>
              </w:rPr>
              <w:t>第二十条第（八）项</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本年收费金额（单位：万元）</w:t>
            </w:r>
          </w:p>
        </w:tc>
      </w:tr>
      <w:tr w:rsidR="00157FEA">
        <w:trPr>
          <w:trHeight w:val="567"/>
        </w:trPr>
        <w:tc>
          <w:tcPr>
            <w:tcW w:w="2206" w:type="dxa"/>
            <w:tcBorders>
              <w:top w:val="nil"/>
              <w:left w:val="single" w:sz="8" w:space="0" w:color="auto"/>
              <w:bottom w:val="single" w:sz="8" w:space="0" w:color="auto"/>
              <w:right w:val="single" w:sz="8" w:space="0" w:color="auto"/>
            </w:tcBorders>
            <w:vAlign w:val="center"/>
          </w:tcPr>
          <w:p w:rsidR="00157FEA" w:rsidRDefault="004F7B87">
            <w:pPr>
              <w:widowControl/>
              <w:spacing w:line="560" w:lineRule="exact"/>
              <w:ind w:firstLineChars="200" w:firstLine="42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rsidR="00157FEA" w:rsidRDefault="004F7B87">
            <w:pPr>
              <w:widowControl/>
              <w:spacing w:line="560" w:lineRule="exact"/>
              <w:ind w:firstLineChars="200" w:firstLine="420"/>
              <w:jc w:val="center"/>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bl>
    <w:p w:rsidR="00157FEA" w:rsidRDefault="00157FEA">
      <w:pPr>
        <w:rPr>
          <w:rFonts w:ascii="黑体" w:eastAsia="黑体" w:hAnsi="黑体" w:cs="黑体"/>
          <w:sz w:val="32"/>
          <w:szCs w:val="32"/>
        </w:rPr>
      </w:pPr>
    </w:p>
    <w:p w:rsidR="00157FEA" w:rsidRDefault="00157FEA"/>
    <w:p w:rsidR="00157FEA" w:rsidRDefault="00157FEA"/>
    <w:p w:rsidR="00157FEA" w:rsidRDefault="004F7B87">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三、收到和处理政府信息公开申请情况</w:t>
      </w:r>
    </w:p>
    <w:tbl>
      <w:tblPr>
        <w:tblW w:w="1062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17"/>
        <w:gridCol w:w="1650"/>
        <w:gridCol w:w="3030"/>
        <w:gridCol w:w="735"/>
        <w:gridCol w:w="660"/>
        <w:gridCol w:w="735"/>
        <w:gridCol w:w="810"/>
        <w:gridCol w:w="750"/>
        <w:gridCol w:w="660"/>
        <w:gridCol w:w="575"/>
      </w:tblGrid>
      <w:tr w:rsidR="00157FEA">
        <w:trPr>
          <w:jc w:val="center"/>
        </w:trPr>
        <w:tc>
          <w:tcPr>
            <w:tcW w:w="5697"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（本列数据的勾稽关系为：第一项加第二项之和，</w:t>
            </w:r>
          </w:p>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等于第三项加第四项之和）</w:t>
            </w:r>
          </w:p>
        </w:tc>
        <w:tc>
          <w:tcPr>
            <w:tcW w:w="492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申请人情况</w:t>
            </w:r>
          </w:p>
        </w:tc>
      </w:tr>
      <w:tr w:rsidR="00157FEA">
        <w:trPr>
          <w:jc w:val="center"/>
        </w:trPr>
        <w:tc>
          <w:tcPr>
            <w:tcW w:w="5697"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7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自然人</w:t>
            </w:r>
          </w:p>
        </w:tc>
        <w:tc>
          <w:tcPr>
            <w:tcW w:w="361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法人或其他组织</w:t>
            </w:r>
          </w:p>
        </w:tc>
        <w:tc>
          <w:tcPr>
            <w:tcW w:w="57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总计</w:t>
            </w:r>
          </w:p>
        </w:tc>
      </w:tr>
      <w:tr w:rsidR="00157FEA">
        <w:trPr>
          <w:trHeight w:val="647"/>
          <w:jc w:val="center"/>
        </w:trPr>
        <w:tc>
          <w:tcPr>
            <w:tcW w:w="5697"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7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商业</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企业</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科研</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机构</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社会公益组织</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法律服务机构</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其他</w:t>
            </w:r>
          </w:p>
        </w:tc>
        <w:tc>
          <w:tcPr>
            <w:tcW w:w="5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r>
      <w:tr w:rsidR="00157FEA">
        <w:trPr>
          <w:trHeight w:val="337"/>
          <w:jc w:val="center"/>
        </w:trPr>
        <w:tc>
          <w:tcPr>
            <w:tcW w:w="56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一、本年新收政府信息公开申请数量</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3</w:t>
            </w:r>
          </w:p>
        </w:tc>
      </w:tr>
      <w:tr w:rsidR="00157FEA">
        <w:trPr>
          <w:trHeight w:val="369"/>
          <w:jc w:val="center"/>
        </w:trPr>
        <w:tc>
          <w:tcPr>
            <w:tcW w:w="56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二、上年结转政府信息公开申请数量</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trHeight w:val="369"/>
          <w:jc w:val="center"/>
        </w:trPr>
        <w:tc>
          <w:tcPr>
            <w:tcW w:w="101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三、本年度办理结果</w:t>
            </w:r>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（一）予以公开</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（二）部分公开（区分处理的，只计这一情形，不计其他情形）</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trHeight w:val="369"/>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（三）不予公开</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属于国家秘密</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其他法律行政法规禁止公开</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危及“三安全一稳定”</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保护第三方合法权益</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属于三类内部事务信息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属于四类过程性信息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属于行政执法案卷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8.</w:t>
            </w:r>
            <w:r>
              <w:rPr>
                <w:rFonts w:ascii="仿宋_GB2312" w:eastAsia="仿宋_GB2312" w:hAnsi="仿宋_GB2312" w:cs="仿宋_GB2312" w:hint="eastAsia"/>
                <w:sz w:val="24"/>
              </w:rPr>
              <w:t>属于行政查询事项</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（四）无法提供</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本机关不掌握相关政府信息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3</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没有现成信息需要另行制作</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补正后申请内容仍不明确</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（五）不予处理</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信访举报投诉类申请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trHeight w:val="539"/>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重复申请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要求提供公开出版物</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无正当理由大量反复申请</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trHeight w:val="922"/>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要求行政机关确认或重新出具已获取信息</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trHeight w:val="172"/>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（六）其他处理</w:t>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申请人无正当理由逾期不补正、行政机关不再处理其政府信息公开申请</w:t>
            </w:r>
          </w:p>
        </w:tc>
        <w:tc>
          <w:tcPr>
            <w:tcW w:w="735"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vMerge w:val="restart"/>
            <w:tcBorders>
              <w:top w:val="single" w:sz="8" w:space="0" w:color="auto"/>
              <w:left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157FEA">
        <w:trPr>
          <w:trHeight w:val="172"/>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left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申请人逾期未按</w:t>
            </w:r>
            <w:r>
              <w:rPr>
                <w:rFonts w:ascii="仿宋_GB2312" w:eastAsia="仿宋_GB2312" w:hAnsi="仿宋_GB2312" w:cs="仿宋_GB2312" w:hint="eastAsia"/>
                <w:sz w:val="24"/>
              </w:rPr>
              <w:t>收费通知要求缴纳费用、行政机关不再处理其政府信息公开申请</w:t>
            </w:r>
          </w:p>
        </w:tc>
        <w:tc>
          <w:tcPr>
            <w:tcW w:w="735" w:type="dxa"/>
            <w:vMerge/>
            <w:tcBorders>
              <w:left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60" w:type="dxa"/>
            <w:vMerge/>
            <w:tcBorders>
              <w:left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735" w:type="dxa"/>
            <w:vMerge/>
            <w:tcBorders>
              <w:left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810" w:type="dxa"/>
            <w:vMerge/>
            <w:tcBorders>
              <w:left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750" w:type="dxa"/>
            <w:vMerge/>
            <w:tcBorders>
              <w:left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60" w:type="dxa"/>
            <w:vMerge/>
            <w:tcBorders>
              <w:left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575" w:type="dxa"/>
            <w:vMerge/>
            <w:tcBorders>
              <w:left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r>
      <w:tr w:rsidR="00157FEA">
        <w:trPr>
          <w:trHeight w:val="172"/>
          <w:jc w:val="center"/>
        </w:trPr>
        <w:tc>
          <w:tcPr>
            <w:tcW w:w="1017" w:type="dxa"/>
            <w:vMerge/>
            <w:tcBorders>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1650" w:type="dxa"/>
            <w:vMerge/>
            <w:tcBorders>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其他</w:t>
            </w:r>
          </w:p>
        </w:tc>
        <w:tc>
          <w:tcPr>
            <w:tcW w:w="735" w:type="dxa"/>
            <w:vMerge/>
            <w:tcBorders>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60" w:type="dxa"/>
            <w:vMerge/>
            <w:tcBorders>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735" w:type="dxa"/>
            <w:vMerge/>
            <w:tcBorders>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810" w:type="dxa"/>
            <w:vMerge/>
            <w:tcBorders>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750" w:type="dxa"/>
            <w:vMerge/>
            <w:tcBorders>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60" w:type="dxa"/>
            <w:vMerge/>
            <w:tcBorders>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575" w:type="dxa"/>
            <w:vMerge/>
            <w:tcBorders>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r>
      <w:tr w:rsidR="00157FEA">
        <w:trPr>
          <w:jc w:val="center"/>
        </w:trPr>
        <w:tc>
          <w:tcPr>
            <w:tcW w:w="10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rPr>
                <w:rFonts w:ascii="仿宋_GB2312" w:eastAsia="仿宋_GB2312" w:hAnsi="仿宋_GB2312" w:cs="仿宋_GB2312"/>
                <w:sz w:val="24"/>
              </w:rPr>
            </w:pPr>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（七）总计</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3</w:t>
            </w:r>
          </w:p>
        </w:tc>
      </w:tr>
      <w:tr w:rsidR="00157FEA">
        <w:trPr>
          <w:trHeight w:val="387"/>
          <w:jc w:val="center"/>
        </w:trPr>
        <w:tc>
          <w:tcPr>
            <w:tcW w:w="56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rPr>
                <w:rFonts w:ascii="仿宋_GB2312" w:eastAsia="仿宋_GB2312" w:hAnsi="仿宋_GB2312" w:cs="仿宋_GB2312"/>
                <w:sz w:val="24"/>
              </w:rPr>
            </w:pPr>
            <w:r>
              <w:rPr>
                <w:rFonts w:ascii="仿宋_GB2312" w:eastAsia="仿宋_GB2312" w:hAnsi="仿宋_GB2312" w:cs="仿宋_GB2312" w:hint="eastAsia"/>
                <w:sz w:val="24"/>
              </w:rPr>
              <w:t>四、结转下年度继续办理</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3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157FEA" w:rsidRDefault="00157FEA">
      <w:pPr>
        <w:rPr>
          <w:rFonts w:ascii="仿宋_GB2312" w:eastAsia="仿宋_GB2312" w:hAnsi="仿宋_GB2312" w:cs="仿宋_GB2312"/>
          <w:sz w:val="32"/>
          <w:szCs w:val="32"/>
        </w:rPr>
      </w:pPr>
    </w:p>
    <w:p w:rsidR="00157FEA" w:rsidRDefault="004F7B87">
      <w:pPr>
        <w:ind w:firstLineChars="200" w:firstLine="640"/>
        <w:rPr>
          <w:rFonts w:ascii="黑体" w:eastAsia="黑体" w:hAnsi="黑体" w:cs="黑体"/>
          <w:sz w:val="32"/>
          <w:szCs w:val="32"/>
        </w:rPr>
      </w:pPr>
      <w:r>
        <w:rPr>
          <w:rFonts w:ascii="黑体" w:eastAsia="黑体" w:hAnsi="黑体" w:cs="黑体" w:hint="eastAsia"/>
          <w:sz w:val="32"/>
          <w:szCs w:val="32"/>
        </w:rPr>
        <w:lastRenderedPageBreak/>
        <w:t>四、政府信息公开行政复议、行政诉讼情况</w:t>
      </w:r>
    </w:p>
    <w:tbl>
      <w:tblPr>
        <w:tblW w:w="10064"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78"/>
        <w:gridCol w:w="750"/>
        <w:gridCol w:w="695"/>
        <w:gridCol w:w="682"/>
        <w:gridCol w:w="423"/>
        <w:gridCol w:w="682"/>
        <w:gridCol w:w="763"/>
        <w:gridCol w:w="709"/>
        <w:gridCol w:w="682"/>
        <w:gridCol w:w="573"/>
        <w:gridCol w:w="682"/>
        <w:gridCol w:w="681"/>
        <w:gridCol w:w="696"/>
        <w:gridCol w:w="709"/>
        <w:gridCol w:w="559"/>
      </w:tblGrid>
      <w:tr w:rsidR="00157FEA">
        <w:trPr>
          <w:trHeight w:val="580"/>
          <w:jc w:val="center"/>
        </w:trPr>
        <w:tc>
          <w:tcPr>
            <w:tcW w:w="33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行政复议</w:t>
            </w:r>
          </w:p>
        </w:tc>
        <w:tc>
          <w:tcPr>
            <w:tcW w:w="673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行政诉讼</w:t>
            </w:r>
          </w:p>
        </w:tc>
      </w:tr>
      <w:tr w:rsidR="00157FEA">
        <w:trPr>
          <w:trHeight w:val="580"/>
          <w:jc w:val="center"/>
        </w:trPr>
        <w:tc>
          <w:tcPr>
            <w:tcW w:w="77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维持</w:t>
            </w:r>
          </w:p>
        </w:tc>
        <w:tc>
          <w:tcPr>
            <w:tcW w:w="7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纠正</w:t>
            </w:r>
          </w:p>
        </w:tc>
        <w:tc>
          <w:tcPr>
            <w:tcW w:w="69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tc>
        <w:tc>
          <w:tcPr>
            <w:tcW w:w="6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尚未</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审结</w:t>
            </w:r>
          </w:p>
        </w:tc>
        <w:tc>
          <w:tcPr>
            <w:tcW w:w="42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总</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计</w:t>
            </w:r>
          </w:p>
        </w:tc>
        <w:tc>
          <w:tcPr>
            <w:tcW w:w="34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未经复议直接起诉</w:t>
            </w:r>
          </w:p>
        </w:tc>
        <w:tc>
          <w:tcPr>
            <w:tcW w:w="332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复议后起诉</w:t>
            </w:r>
          </w:p>
        </w:tc>
      </w:tr>
      <w:tr w:rsidR="00157FEA">
        <w:trPr>
          <w:trHeight w:val="580"/>
          <w:jc w:val="center"/>
        </w:trPr>
        <w:tc>
          <w:tcPr>
            <w:tcW w:w="778"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750"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95"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82"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423" w:type="dxa"/>
            <w:vMerge/>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157FEA">
            <w:pPr>
              <w:jc w:val="center"/>
              <w:rPr>
                <w:rFonts w:ascii="仿宋_GB2312" w:eastAsia="仿宋_GB2312" w:hAnsi="仿宋_GB2312" w:cs="仿宋_GB2312"/>
                <w:sz w:val="24"/>
              </w:rPr>
            </w:pP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维持</w:t>
            </w:r>
          </w:p>
        </w:tc>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纠正</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尚未</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审结</w:t>
            </w:r>
          </w:p>
        </w:tc>
        <w:tc>
          <w:tcPr>
            <w:tcW w:w="573"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总计</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维持</w:t>
            </w:r>
          </w:p>
        </w:tc>
        <w:tc>
          <w:tcPr>
            <w:tcW w:w="681"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纠正</w:t>
            </w:r>
          </w:p>
        </w:tc>
        <w:tc>
          <w:tcPr>
            <w:tcW w:w="696"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结果</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尚未</w:t>
            </w:r>
          </w:p>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审结</w:t>
            </w:r>
          </w:p>
        </w:tc>
        <w:tc>
          <w:tcPr>
            <w:tcW w:w="559"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总计</w:t>
            </w:r>
          </w:p>
        </w:tc>
      </w:tr>
      <w:tr w:rsidR="00157FEA">
        <w:trPr>
          <w:trHeight w:val="601"/>
          <w:jc w:val="center"/>
        </w:trPr>
        <w:tc>
          <w:tcPr>
            <w:tcW w:w="778"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50"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95"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423"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73"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2"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81"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96"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559" w:type="dxa"/>
            <w:tcBorders>
              <w:top w:val="single" w:sz="8" w:space="0" w:color="auto"/>
              <w:left w:val="single" w:sz="8" w:space="0" w:color="auto"/>
              <w:bottom w:val="single" w:sz="8" w:space="0" w:color="auto"/>
              <w:right w:val="single" w:sz="8" w:space="0" w:color="auto"/>
            </w:tcBorders>
            <w:shd w:val="clear" w:color="auto" w:fill="auto"/>
            <w:vAlign w:val="center"/>
          </w:tcPr>
          <w:p w:rsidR="00157FEA" w:rsidRDefault="004F7B87">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157FEA" w:rsidRDefault="00157FEA">
      <w:pPr>
        <w:rPr>
          <w:rFonts w:ascii="仿宋_GB2312" w:eastAsia="仿宋_GB2312" w:hAnsi="仿宋_GB2312" w:cs="仿宋_GB2312"/>
          <w:sz w:val="32"/>
          <w:szCs w:val="32"/>
        </w:rPr>
      </w:pPr>
    </w:p>
    <w:p w:rsidR="00157FEA" w:rsidRDefault="004F7B8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五、存在的主要</w:t>
      </w:r>
      <w:r>
        <w:rPr>
          <w:rFonts w:ascii="黑体" w:eastAsia="黑体" w:hAnsi="黑体" w:cs="黑体" w:hint="eastAsia"/>
          <w:sz w:val="32"/>
          <w:szCs w:val="32"/>
        </w:rPr>
        <w:t>问题及改进情况</w:t>
      </w:r>
    </w:p>
    <w:p w:rsidR="00157FEA" w:rsidRDefault="004F7B87">
      <w:pPr>
        <w:spacing w:line="360" w:lineRule="auto"/>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2024</w:t>
      </w:r>
      <w:r>
        <w:rPr>
          <w:rFonts w:ascii="仿宋_GB2312" w:eastAsia="仿宋_GB2312" w:hAnsi="宋体" w:cs="仿宋_GB2312" w:hint="eastAsia"/>
          <w:color w:val="000000"/>
          <w:sz w:val="32"/>
          <w:szCs w:val="32"/>
          <w:shd w:val="clear" w:color="auto" w:fill="FFFFFF"/>
        </w:rPr>
        <w:t>年，政府信息公开工作仍存在不足之处，一是由于部分文件不适宜对外公开，个别栏目信息公开数量少。二是信息公开的频次有待提高，公开形式有待丰富。三是部分工作信息更新存在不及时的情况。</w:t>
      </w:r>
    </w:p>
    <w:p w:rsidR="00157FEA" w:rsidRDefault="004F7B87">
      <w:pPr>
        <w:spacing w:line="360" w:lineRule="auto"/>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仿宋_GB2312" w:cs="仿宋_GB2312" w:hint="eastAsia"/>
          <w:sz w:val="32"/>
          <w:szCs w:val="32"/>
        </w:rPr>
        <w:t>改进情况：</w:t>
      </w:r>
      <w:r>
        <w:rPr>
          <w:rFonts w:ascii="仿宋_GB2312" w:eastAsia="仿宋_GB2312" w:hAnsi="宋体" w:cs="仿宋_GB2312" w:hint="eastAsia"/>
          <w:color w:val="000000"/>
          <w:sz w:val="32"/>
          <w:szCs w:val="32"/>
          <w:shd w:val="clear" w:color="auto" w:fill="FFFFFF"/>
        </w:rPr>
        <w:t>一是加强领导，高度重视信息公开工作，保证政府信息公开得到落实</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hint="eastAsia"/>
          <w:color w:val="000000"/>
          <w:sz w:val="32"/>
          <w:szCs w:val="32"/>
          <w:shd w:val="clear" w:color="auto" w:fill="FFFFFF"/>
        </w:rPr>
        <w:t>不断加大政务信息更新力度</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hint="eastAsia"/>
          <w:color w:val="000000"/>
          <w:sz w:val="32"/>
          <w:szCs w:val="32"/>
          <w:shd w:val="clear" w:color="auto" w:fill="FFFFFF"/>
        </w:rPr>
        <w:t>二是深化公开意识，规范、细化工作流程</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hint="eastAsia"/>
          <w:color w:val="000000"/>
          <w:sz w:val="32"/>
          <w:szCs w:val="32"/>
          <w:shd w:val="clear" w:color="auto" w:fill="FFFFFF"/>
        </w:rPr>
        <w:t>保证网站信息及时更新、及时提供、定期维护，切实做好政府信息公开的准确、及时、完整。</w:t>
      </w:r>
    </w:p>
    <w:p w:rsidR="00157FEA" w:rsidRDefault="004F7B8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六、其他需要报告的事项</w:t>
      </w:r>
    </w:p>
    <w:p w:rsidR="00157FEA" w:rsidRDefault="004F7B87">
      <w:pPr>
        <w:spacing w:line="360" w:lineRule="auto"/>
        <w:ind w:firstLineChars="200" w:firstLine="640"/>
        <w:rPr>
          <w:rFonts w:ascii="仿宋_GB2312" w:eastAsia="仿宋_GB2312" w:hAnsi="宋体" w:cs="仿宋_GB2312"/>
          <w:color w:val="000000"/>
          <w:sz w:val="32"/>
          <w:szCs w:val="32"/>
        </w:rPr>
      </w:pPr>
      <w:r>
        <w:rPr>
          <w:rFonts w:ascii="仿宋_GB2312" w:eastAsia="仿宋_GB2312" w:hAnsi="仿宋_GB2312" w:cs="仿宋_GB2312" w:hint="eastAsia"/>
          <w:sz w:val="32"/>
          <w:szCs w:val="32"/>
        </w:rPr>
        <w:t>1.</w:t>
      </w:r>
      <w:r>
        <w:rPr>
          <w:rFonts w:ascii="仿宋_GB2312" w:eastAsia="仿宋_GB2312" w:hAnsi="宋体" w:cs="仿宋_GB2312"/>
          <w:color w:val="000000"/>
          <w:sz w:val="32"/>
          <w:szCs w:val="32"/>
        </w:rPr>
        <w:t>收取信息处理费情况方面。</w:t>
      </w:r>
      <w:r>
        <w:rPr>
          <w:rFonts w:ascii="仿宋_GB2312" w:eastAsia="仿宋_GB2312" w:hAnsi="宋体" w:cs="仿宋_GB2312" w:hint="eastAsia"/>
          <w:color w:val="000000"/>
          <w:sz w:val="32"/>
          <w:szCs w:val="32"/>
        </w:rPr>
        <w:t>2024</w:t>
      </w:r>
      <w:r>
        <w:rPr>
          <w:rFonts w:ascii="仿宋_GB2312" w:eastAsia="仿宋_GB2312" w:hAnsi="宋体" w:cs="仿宋_GB2312" w:hint="eastAsia"/>
          <w:color w:val="000000"/>
          <w:sz w:val="32"/>
          <w:szCs w:val="32"/>
        </w:rPr>
        <w:t>年度，本单位未收取信息处理费。</w:t>
      </w:r>
    </w:p>
    <w:p w:rsidR="00157FEA" w:rsidRDefault="004F7B87">
      <w:pPr>
        <w:spacing w:line="360" w:lineRule="auto"/>
        <w:ind w:firstLineChars="200" w:firstLine="640"/>
        <w:rPr>
          <w:rFonts w:ascii="仿宋_GB2312" w:eastAsia="仿宋_GB2312" w:hAnsi="宋体" w:cs="仿宋_GB2312"/>
          <w:color w:val="000000"/>
          <w:sz w:val="32"/>
          <w:szCs w:val="32"/>
        </w:rPr>
      </w:pPr>
      <w:r>
        <w:rPr>
          <w:rFonts w:ascii="仿宋_GB2312" w:eastAsia="仿宋_GB2312" w:hAnsi="仿宋_GB2312" w:cs="仿宋_GB2312" w:hint="eastAsia"/>
          <w:sz w:val="32"/>
          <w:szCs w:val="32"/>
        </w:rPr>
        <w:t>2.</w:t>
      </w:r>
      <w:r>
        <w:rPr>
          <w:rFonts w:ascii="仿宋_GB2312" w:eastAsia="仿宋_GB2312" w:hAnsi="宋体" w:cs="仿宋_GB2312"/>
          <w:color w:val="000000"/>
          <w:sz w:val="32"/>
          <w:szCs w:val="32"/>
        </w:rPr>
        <w:t>落实</w:t>
      </w:r>
      <w:r>
        <w:rPr>
          <w:rFonts w:ascii="仿宋_GB2312" w:eastAsia="仿宋_GB2312" w:hAnsi="宋体" w:cs="仿宋_GB2312" w:hint="eastAsia"/>
          <w:color w:val="000000"/>
          <w:sz w:val="32"/>
          <w:szCs w:val="32"/>
        </w:rPr>
        <w:t>2024</w:t>
      </w:r>
      <w:r>
        <w:rPr>
          <w:rFonts w:ascii="仿宋_GB2312" w:eastAsia="仿宋_GB2312" w:hAnsi="宋体" w:cs="仿宋_GB2312"/>
          <w:color w:val="000000"/>
          <w:sz w:val="32"/>
          <w:szCs w:val="32"/>
        </w:rPr>
        <w:t>年度政务公开工作要点情况。</w:t>
      </w:r>
      <w:r>
        <w:rPr>
          <w:rFonts w:ascii="仿宋_GB2312" w:eastAsia="仿宋_GB2312" w:hAnsi="宋体" w:cs="仿宋_GB2312" w:hint="eastAsia"/>
          <w:color w:val="000000"/>
          <w:sz w:val="32"/>
          <w:szCs w:val="32"/>
        </w:rPr>
        <w:t>对照</w:t>
      </w:r>
      <w:r>
        <w:rPr>
          <w:rFonts w:ascii="仿宋_GB2312" w:eastAsia="仿宋_GB2312" w:hAnsi="宋体" w:cs="仿宋_GB2312"/>
          <w:color w:val="000000"/>
          <w:sz w:val="32"/>
          <w:szCs w:val="32"/>
          <w:shd w:val="clear" w:color="auto" w:fill="FFFFFF"/>
        </w:rPr>
        <w:t>《滕州市</w:t>
      </w:r>
      <w:r>
        <w:rPr>
          <w:rFonts w:ascii="仿宋_GB2312" w:eastAsia="仿宋_GB2312" w:hAnsi="宋体" w:cs="仿宋_GB2312" w:hint="eastAsia"/>
          <w:color w:val="000000"/>
          <w:sz w:val="32"/>
          <w:szCs w:val="32"/>
          <w:shd w:val="clear" w:color="auto" w:fill="FFFFFF"/>
        </w:rPr>
        <w:t>2024</w:t>
      </w:r>
      <w:r>
        <w:rPr>
          <w:rFonts w:ascii="仿宋_GB2312" w:eastAsia="仿宋_GB2312" w:hAnsi="宋体" w:cs="仿宋_GB2312"/>
          <w:color w:val="000000"/>
          <w:sz w:val="32"/>
          <w:szCs w:val="32"/>
          <w:shd w:val="clear" w:color="auto" w:fill="FFFFFF"/>
        </w:rPr>
        <w:t>年政务公开工作要点》</w:t>
      </w:r>
      <w:r>
        <w:rPr>
          <w:rFonts w:ascii="仿宋_GB2312" w:eastAsia="仿宋_GB2312" w:hAnsi="宋体" w:cs="仿宋_GB2312" w:hint="eastAsia"/>
          <w:color w:val="000000"/>
          <w:sz w:val="32"/>
          <w:szCs w:val="32"/>
          <w:shd w:val="clear" w:color="auto" w:fill="FFFFFF"/>
        </w:rPr>
        <w:t>，</w:t>
      </w:r>
      <w:r>
        <w:rPr>
          <w:rFonts w:ascii="仿宋_GB2312" w:eastAsia="仿宋_GB2312" w:hAnsi="宋体" w:cs="仿宋_GB2312" w:hint="eastAsia"/>
          <w:color w:val="000000"/>
          <w:sz w:val="32"/>
          <w:szCs w:val="32"/>
        </w:rPr>
        <w:t>围绕重点领域信息公开、政务公开标准化规范化建设明确责任主体和完成时限</w:t>
      </w:r>
      <w:r>
        <w:rPr>
          <w:rFonts w:ascii="仿宋_GB2312" w:eastAsia="仿宋_GB2312" w:hAnsi="宋体" w:cs="仿宋_GB2312" w:hint="eastAsia"/>
          <w:color w:val="000000"/>
          <w:sz w:val="32"/>
          <w:szCs w:val="32"/>
        </w:rPr>
        <w:t>开展政务公开工作。</w:t>
      </w:r>
    </w:p>
    <w:p w:rsidR="00157FEA" w:rsidRDefault="004F7B8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年共办理人大代表建议</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条，办理政协提案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条，均已办理完成。</w:t>
      </w:r>
    </w:p>
    <w:p w:rsidR="00157FEA" w:rsidRDefault="004F7B87">
      <w:pPr>
        <w:numPr>
          <w:ilvl w:val="0"/>
          <w:numId w:val="1"/>
        </w:numPr>
        <w:spacing w:line="360" w:lineRule="auto"/>
        <w:ind w:firstLineChars="250" w:firstLine="800"/>
        <w:rPr>
          <w:rFonts w:ascii="仿宋_GB2312" w:eastAsia="仿宋_GB2312" w:hAnsi="仿宋_GB2312" w:cs="仿宋_GB2312"/>
          <w:sz w:val="32"/>
          <w:szCs w:val="32"/>
        </w:rPr>
      </w:pPr>
      <w:r>
        <w:rPr>
          <w:rFonts w:ascii="仿宋_GB2312" w:eastAsia="仿宋_GB2312" w:hAnsi="宋体" w:cs="仿宋_GB2312"/>
          <w:color w:val="000000"/>
          <w:sz w:val="32"/>
          <w:szCs w:val="32"/>
        </w:rPr>
        <w:lastRenderedPageBreak/>
        <w:t>开展政务公开创新方面</w:t>
      </w:r>
      <w:r>
        <w:rPr>
          <w:rFonts w:ascii="仿宋_GB2312" w:eastAsia="仿宋_GB2312" w:hAnsi="宋体" w:cs="仿宋_GB2312" w:hint="eastAsia"/>
          <w:color w:val="000000"/>
          <w:sz w:val="32"/>
          <w:szCs w:val="32"/>
        </w:rPr>
        <w:t>：无。</w:t>
      </w:r>
    </w:p>
    <w:p w:rsidR="00157FEA" w:rsidRDefault="004F7B87">
      <w:pPr>
        <w:numPr>
          <w:ilvl w:val="0"/>
          <w:numId w:val="1"/>
        </w:numPr>
        <w:spacing w:line="360" w:lineRule="auto"/>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本单位</w:t>
      </w:r>
      <w:r>
        <w:rPr>
          <w:rFonts w:ascii="仿宋_GB2312" w:eastAsia="仿宋_GB2312" w:hAnsi="仿宋_GB2312" w:cs="仿宋_GB2312" w:hint="eastAsia"/>
          <w:sz w:val="32"/>
          <w:szCs w:val="32"/>
        </w:rPr>
        <w:t>没有针对政府信息公开工作年度报告数据统计需要说明的事项。</w:t>
      </w:r>
    </w:p>
    <w:p w:rsidR="00157FEA" w:rsidRDefault="004F7B87">
      <w:pPr>
        <w:numPr>
          <w:ilvl w:val="0"/>
          <w:numId w:val="1"/>
        </w:numPr>
        <w:spacing w:line="360" w:lineRule="auto"/>
        <w:ind w:firstLineChars="250" w:firstLine="800"/>
        <w:rPr>
          <w:rFonts w:ascii="仿宋_GB2312" w:eastAsia="仿宋_GB2312" w:hAnsi="Arial" w:cs="Arial"/>
          <w:color w:val="000000"/>
          <w:sz w:val="32"/>
          <w:szCs w:val="32"/>
        </w:rPr>
      </w:pPr>
      <w:r>
        <w:rPr>
          <w:rFonts w:ascii="仿宋_GB2312" w:eastAsia="仿宋_GB2312" w:hAnsi="仿宋_GB2312" w:cs="仿宋_GB2312" w:hint="eastAsia"/>
          <w:sz w:val="32"/>
          <w:szCs w:val="32"/>
        </w:rPr>
        <w:t>本单位</w:t>
      </w:r>
      <w:r>
        <w:rPr>
          <w:rFonts w:ascii="仿宋_GB2312" w:eastAsia="仿宋_GB2312" w:hAnsi="仿宋_GB2312" w:cs="仿宋_GB2312" w:hint="eastAsia"/>
          <w:sz w:val="32"/>
          <w:szCs w:val="32"/>
        </w:rPr>
        <w:t>没有需要报告的其他事项</w:t>
      </w:r>
      <w:r>
        <w:rPr>
          <w:rFonts w:ascii="仿宋_GB2312" w:eastAsia="仿宋_GB2312" w:hAnsi="仿宋_GB2312" w:cs="仿宋_GB2312" w:hint="eastAsia"/>
          <w:sz w:val="32"/>
          <w:szCs w:val="32"/>
        </w:rPr>
        <w:t>。</w:t>
      </w:r>
    </w:p>
    <w:p w:rsidR="00157FEA" w:rsidRDefault="004F7B87">
      <w:pPr>
        <w:numPr>
          <w:ilvl w:val="0"/>
          <w:numId w:val="1"/>
        </w:numPr>
        <w:spacing w:line="360" w:lineRule="auto"/>
        <w:ind w:firstLineChars="250" w:firstLine="800"/>
        <w:rPr>
          <w:rFonts w:ascii="仿宋_GB2312" w:eastAsia="仿宋_GB2312" w:hAnsi="Arial" w:cs="Arial"/>
          <w:color w:val="000000"/>
          <w:sz w:val="32"/>
          <w:szCs w:val="32"/>
        </w:rPr>
      </w:pPr>
      <w:r>
        <w:rPr>
          <w:rFonts w:ascii="仿宋_GB2312" w:eastAsia="仿宋_GB2312" w:hAnsi="Arial" w:cs="Arial" w:hint="eastAsia"/>
          <w:color w:val="000000"/>
          <w:sz w:val="32"/>
          <w:szCs w:val="32"/>
        </w:rPr>
        <w:t>本年度政府信息公开年报中的数据真实可查。</w:t>
      </w:r>
    </w:p>
    <w:p w:rsidR="00157FEA" w:rsidRDefault="004F7B87">
      <w:pPr>
        <w:spacing w:line="360" w:lineRule="auto"/>
        <w:ind w:firstLineChars="200" w:firstLine="640"/>
        <w:rPr>
          <w:rFonts w:ascii="仿宋_GB2312" w:eastAsia="仿宋_GB2312" w:hAnsi="仿宋_GB2312" w:cs="仿宋_GB2312"/>
          <w:sz w:val="32"/>
          <w:szCs w:val="32"/>
        </w:rPr>
      </w:pPr>
      <w:r>
        <w:rPr>
          <w:rFonts w:ascii="仿宋_GB2312" w:eastAsia="仿宋_GB2312" w:hAnsi="Arial" w:cs="Arial" w:hint="eastAsia"/>
          <w:color w:val="000000"/>
          <w:sz w:val="32"/>
          <w:szCs w:val="32"/>
        </w:rPr>
        <w:t>本报告的电子版可在“中国滕州网”网站查询和下载。</w:t>
      </w:r>
      <w:r>
        <w:rPr>
          <w:rFonts w:ascii="仿宋_GB2312" w:eastAsia="仿宋_GB2312" w:hAnsi="Arial" w:cs="Arial" w:hint="eastAsia"/>
          <w:color w:val="000000"/>
          <w:sz w:val="32"/>
          <w:szCs w:val="32"/>
        </w:rPr>
        <w:t>如对本报告有任何疑问，</w:t>
      </w:r>
      <w:r>
        <w:rPr>
          <w:rFonts w:ascii="仿宋_GB2312" w:eastAsia="仿宋_GB2312" w:hAnsi="仿宋_GB2312" w:cs="仿宋_GB2312" w:hint="eastAsia"/>
          <w:sz w:val="32"/>
          <w:szCs w:val="32"/>
        </w:rPr>
        <w:t>请与</w:t>
      </w:r>
      <w:r>
        <w:rPr>
          <w:rFonts w:ascii="仿宋_GB2312" w:eastAsia="仿宋_GB2312" w:hAnsi="仿宋_GB2312" w:cs="仿宋_GB2312"/>
          <w:sz w:val="32"/>
          <w:szCs w:val="32"/>
        </w:rPr>
        <w:t>滕州市财政局办公室</w:t>
      </w:r>
      <w:r>
        <w:rPr>
          <w:rFonts w:ascii="仿宋_GB2312" w:eastAsia="仿宋_GB2312" w:hAnsi="仿宋_GB2312" w:cs="仿宋_GB2312" w:hint="eastAsia"/>
          <w:sz w:val="32"/>
          <w:szCs w:val="32"/>
        </w:rPr>
        <w:t>联系。</w:t>
      </w:r>
      <w:r>
        <w:rPr>
          <w:rFonts w:ascii="仿宋_GB2312" w:eastAsia="仿宋_GB2312" w:hAnsi="仿宋_GB2312" w:cs="仿宋_GB2312"/>
          <w:sz w:val="32"/>
          <w:szCs w:val="32"/>
        </w:rPr>
        <w:t>地址：滕州市善国南路</w:t>
      </w:r>
      <w:r>
        <w:rPr>
          <w:rFonts w:ascii="仿宋_GB2312" w:eastAsia="仿宋_GB2312" w:hAnsi="仿宋_GB2312" w:cs="仿宋_GB2312"/>
          <w:sz w:val="32"/>
          <w:szCs w:val="32"/>
        </w:rPr>
        <w:t>86</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联系电话：</w:t>
      </w:r>
      <w:r>
        <w:rPr>
          <w:rFonts w:ascii="仿宋_GB2312" w:eastAsia="仿宋_GB2312" w:hAnsi="仿宋_GB2312" w:cs="仿宋_GB2312"/>
          <w:sz w:val="32"/>
          <w:szCs w:val="32"/>
        </w:rPr>
        <w:t>0632-5583592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sectPr w:rsidR="00157FEA">
      <w:footerReference w:type="default" r:id="rId10"/>
      <w:pgSz w:w="11906" w:h="16838"/>
      <w:pgMar w:top="1157" w:right="1406" w:bottom="1157" w:left="1463"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B87" w:rsidRDefault="004F7B87">
      <w:r>
        <w:separator/>
      </w:r>
    </w:p>
  </w:endnote>
  <w:endnote w:type="continuationSeparator" w:id="0">
    <w:p w:rsidR="004F7B87" w:rsidRDefault="004F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A7F9F301-AB78-48BC-BEE4-19ED2167C075}"/>
  </w:font>
  <w:font w:name="仿宋_GB2312">
    <w:panose1 w:val="02010609030101010101"/>
    <w:charset w:val="86"/>
    <w:family w:val="modern"/>
    <w:pitch w:val="fixed"/>
    <w:sig w:usb0="00000001" w:usb1="080E0000" w:usb2="00000010" w:usb3="00000000" w:csb0="00040000" w:csb1="00000000"/>
    <w:embedRegular r:id="rId2" w:subsetted="1" w:fontKey="{86C460F7-FD12-47AE-99BE-EFDAEDB4CCB8}"/>
  </w:font>
  <w:font w:name="方正小标宋简体">
    <w:panose1 w:val="03000509000000000000"/>
    <w:charset w:val="86"/>
    <w:family w:val="script"/>
    <w:pitch w:val="fixed"/>
    <w:sig w:usb0="00000001" w:usb1="080E0000" w:usb2="00000010" w:usb3="00000000" w:csb0="00040000" w:csb1="00000000"/>
    <w:embedRegular r:id="rId3" w:subsetted="1" w:fontKey="{9AD7C4E7-E22D-4BC8-A85C-88FD129D31BF}"/>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28F5D55C-8B9C-458F-9F94-745C01B93646}"/>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EA" w:rsidRDefault="004F7B8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7FEA" w:rsidRDefault="004F7B87">
                          <w:pPr>
                            <w:pStyle w:val="a6"/>
                          </w:pPr>
                          <w:r>
                            <w:fldChar w:fldCharType="begin"/>
                          </w:r>
                          <w:r>
                            <w:instrText xml:space="preserve"> PAGE  \* MERGEFORMAT </w:instrText>
                          </w:r>
                          <w:r>
                            <w:fldChar w:fldCharType="separate"/>
                          </w:r>
                          <w:r w:rsidR="0068531B">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57FEA" w:rsidRDefault="004F7B87">
                    <w:pPr>
                      <w:pStyle w:val="a6"/>
                    </w:pPr>
                    <w:r>
                      <w:fldChar w:fldCharType="begin"/>
                    </w:r>
                    <w:r>
                      <w:instrText xml:space="preserve"> PAGE  \* MERGEFORMAT </w:instrText>
                    </w:r>
                    <w:r>
                      <w:fldChar w:fldCharType="separate"/>
                    </w:r>
                    <w:r w:rsidR="0068531B">
                      <w:rPr>
                        <w:noProof/>
                      </w:rPr>
                      <w:t>- 2 -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B87" w:rsidRDefault="004F7B87">
      <w:r>
        <w:separator/>
      </w:r>
    </w:p>
  </w:footnote>
  <w:footnote w:type="continuationSeparator" w:id="0">
    <w:p w:rsidR="004F7B87" w:rsidRDefault="004F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721EE"/>
    <w:multiLevelType w:val="singleLevel"/>
    <w:tmpl w:val="240721EE"/>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MzUxMWE1YzllNmFlYmU1ZTEzMzU0OTRhYTVjNGQifQ=="/>
  </w:docVars>
  <w:rsids>
    <w:rsidRoot w:val="678B13FD"/>
    <w:rsid w:val="DB67F746"/>
    <w:rsid w:val="000F7DC7"/>
    <w:rsid w:val="001008BE"/>
    <w:rsid w:val="00157FEA"/>
    <w:rsid w:val="001600C5"/>
    <w:rsid w:val="004F7B87"/>
    <w:rsid w:val="005D7667"/>
    <w:rsid w:val="0068531B"/>
    <w:rsid w:val="006971BF"/>
    <w:rsid w:val="007827C5"/>
    <w:rsid w:val="00883ED9"/>
    <w:rsid w:val="009F49CC"/>
    <w:rsid w:val="00AB6BB4"/>
    <w:rsid w:val="00B970F7"/>
    <w:rsid w:val="00C73588"/>
    <w:rsid w:val="00D1449B"/>
    <w:rsid w:val="00D84190"/>
    <w:rsid w:val="00E34B1D"/>
    <w:rsid w:val="00FC65F1"/>
    <w:rsid w:val="02487AB4"/>
    <w:rsid w:val="05DA02F8"/>
    <w:rsid w:val="073E518E"/>
    <w:rsid w:val="08E32BBB"/>
    <w:rsid w:val="0AFD6A2F"/>
    <w:rsid w:val="0C9949B9"/>
    <w:rsid w:val="0CC710AB"/>
    <w:rsid w:val="0CC7358B"/>
    <w:rsid w:val="0DEB0BBD"/>
    <w:rsid w:val="100B7B64"/>
    <w:rsid w:val="1613133B"/>
    <w:rsid w:val="164F17E0"/>
    <w:rsid w:val="16C94348"/>
    <w:rsid w:val="1A5D2481"/>
    <w:rsid w:val="1A944BF5"/>
    <w:rsid w:val="1B855497"/>
    <w:rsid w:val="1B966EEF"/>
    <w:rsid w:val="1CAD6754"/>
    <w:rsid w:val="1CAE503A"/>
    <w:rsid w:val="1EE5125A"/>
    <w:rsid w:val="1FF20DFB"/>
    <w:rsid w:val="208316E6"/>
    <w:rsid w:val="20AB7ECD"/>
    <w:rsid w:val="20C932CD"/>
    <w:rsid w:val="21132B7C"/>
    <w:rsid w:val="24287EDB"/>
    <w:rsid w:val="25137802"/>
    <w:rsid w:val="25981AB5"/>
    <w:rsid w:val="26A635CB"/>
    <w:rsid w:val="26FC034A"/>
    <w:rsid w:val="274A4557"/>
    <w:rsid w:val="28CB2BA5"/>
    <w:rsid w:val="2931789B"/>
    <w:rsid w:val="2932200E"/>
    <w:rsid w:val="2A4B40AE"/>
    <w:rsid w:val="2ACF55E4"/>
    <w:rsid w:val="2C142823"/>
    <w:rsid w:val="2E0777D8"/>
    <w:rsid w:val="30F81EA6"/>
    <w:rsid w:val="31B9703B"/>
    <w:rsid w:val="32613669"/>
    <w:rsid w:val="32BB215C"/>
    <w:rsid w:val="35A53371"/>
    <w:rsid w:val="361F6A2E"/>
    <w:rsid w:val="3683376A"/>
    <w:rsid w:val="36F100CE"/>
    <w:rsid w:val="373C33F6"/>
    <w:rsid w:val="383E4AD7"/>
    <w:rsid w:val="38D72272"/>
    <w:rsid w:val="397311D7"/>
    <w:rsid w:val="3C135571"/>
    <w:rsid w:val="3C763BDF"/>
    <w:rsid w:val="3CA332BD"/>
    <w:rsid w:val="3CA84554"/>
    <w:rsid w:val="3CC53ECB"/>
    <w:rsid w:val="3DE43543"/>
    <w:rsid w:val="40730CFD"/>
    <w:rsid w:val="422250E7"/>
    <w:rsid w:val="43DC3D25"/>
    <w:rsid w:val="44177C0F"/>
    <w:rsid w:val="45DE5870"/>
    <w:rsid w:val="463D7DE3"/>
    <w:rsid w:val="4652735B"/>
    <w:rsid w:val="47536CF9"/>
    <w:rsid w:val="476E55D0"/>
    <w:rsid w:val="47AD13CF"/>
    <w:rsid w:val="486C78C6"/>
    <w:rsid w:val="4B215F25"/>
    <w:rsid w:val="4B420C7A"/>
    <w:rsid w:val="4CFB40DB"/>
    <w:rsid w:val="4DBC7167"/>
    <w:rsid w:val="4E284DAF"/>
    <w:rsid w:val="50D81F61"/>
    <w:rsid w:val="51E70B3A"/>
    <w:rsid w:val="52F46F3B"/>
    <w:rsid w:val="54D062C6"/>
    <w:rsid w:val="56692707"/>
    <w:rsid w:val="57530294"/>
    <w:rsid w:val="58C633EA"/>
    <w:rsid w:val="58CD02B9"/>
    <w:rsid w:val="58DC4756"/>
    <w:rsid w:val="59D6437F"/>
    <w:rsid w:val="5A000461"/>
    <w:rsid w:val="5A3410A5"/>
    <w:rsid w:val="5AF41016"/>
    <w:rsid w:val="5C394FAE"/>
    <w:rsid w:val="5EA54309"/>
    <w:rsid w:val="5F533996"/>
    <w:rsid w:val="5FFC63AF"/>
    <w:rsid w:val="60694ACA"/>
    <w:rsid w:val="609C184C"/>
    <w:rsid w:val="614554EA"/>
    <w:rsid w:val="622E4B9C"/>
    <w:rsid w:val="62AE7F66"/>
    <w:rsid w:val="64414AEB"/>
    <w:rsid w:val="6549565F"/>
    <w:rsid w:val="661172C1"/>
    <w:rsid w:val="66B46942"/>
    <w:rsid w:val="678B13FD"/>
    <w:rsid w:val="69C36A75"/>
    <w:rsid w:val="6A993671"/>
    <w:rsid w:val="6ABD052C"/>
    <w:rsid w:val="6B517D09"/>
    <w:rsid w:val="6BEA5A68"/>
    <w:rsid w:val="6C38636B"/>
    <w:rsid w:val="6CDB3FEF"/>
    <w:rsid w:val="6DCE3893"/>
    <w:rsid w:val="6F397B08"/>
    <w:rsid w:val="6F79782E"/>
    <w:rsid w:val="71054B0E"/>
    <w:rsid w:val="71DA7865"/>
    <w:rsid w:val="73564087"/>
    <w:rsid w:val="73F710CD"/>
    <w:rsid w:val="7578789B"/>
    <w:rsid w:val="763B293A"/>
    <w:rsid w:val="78CC0FF1"/>
    <w:rsid w:val="79477948"/>
    <w:rsid w:val="7ADE0E8D"/>
    <w:rsid w:val="7D2C4E96"/>
    <w:rsid w:val="7DDE64AF"/>
    <w:rsid w:val="7FB0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5F4C3B-CDEE-4EA4-BD81-8FC5AFA5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rFonts w:ascii="仿宋_GB2312" w:eastAsia="仿宋_GB2312" w:hAnsi="仿宋_GB2312" w:cs="仿宋_GB2312"/>
      <w:sz w:val="32"/>
      <w:szCs w:val="32"/>
      <w:lang w:val="zh-CN" w:bidi="zh-CN"/>
    </w:rPr>
  </w:style>
  <w:style w:type="paragraph" w:styleId="a4">
    <w:name w:val="Balloon Text"/>
    <w:basedOn w:val="a"/>
    <w:link w:val="a5"/>
    <w:autoRedefine/>
    <w:qFormat/>
    <w:rPr>
      <w:sz w:val="18"/>
      <w:szCs w:val="18"/>
    </w:rPr>
  </w:style>
  <w:style w:type="paragraph" w:styleId="a6">
    <w:name w:val="footer"/>
    <w:basedOn w:val="a"/>
    <w:link w:val="a7"/>
    <w:autoRedefine/>
    <w:qFormat/>
    <w:pPr>
      <w:tabs>
        <w:tab w:val="center" w:pos="4153"/>
        <w:tab w:val="right" w:pos="8306"/>
      </w:tabs>
      <w:snapToGrid w:val="0"/>
      <w:jc w:val="left"/>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qFormat/>
    <w:pPr>
      <w:spacing w:line="660" w:lineRule="exact"/>
      <w:ind w:firstLine="705"/>
    </w:pPr>
    <w:rPr>
      <w:rFonts w:ascii="仿宋_GB2312" w:eastAsia="仿宋_GB2312"/>
      <w:color w:val="000000"/>
      <w:sz w:val="36"/>
      <w:szCs w:val="36"/>
    </w:rPr>
  </w:style>
  <w:style w:type="paragraph" w:styleId="aa">
    <w:name w:val="Normal (Web)"/>
    <w:basedOn w:val="a"/>
    <w:autoRedefine/>
    <w:qFormat/>
    <w:pPr>
      <w:spacing w:beforeAutospacing="1" w:afterAutospacing="1"/>
      <w:jc w:val="left"/>
    </w:pPr>
    <w:rPr>
      <w:rFonts w:cs="Times New Roman"/>
      <w:kern w:val="0"/>
      <w:sz w:val="24"/>
    </w:rPr>
  </w:style>
  <w:style w:type="character" w:styleId="ab">
    <w:name w:val="Strong"/>
    <w:basedOn w:val="a0"/>
    <w:autoRedefine/>
    <w:qFormat/>
    <w:rPr>
      <w:b/>
    </w:rPr>
  </w:style>
  <w:style w:type="character" w:styleId="ac">
    <w:name w:val="Emphasis"/>
    <w:basedOn w:val="a0"/>
    <w:autoRedefine/>
    <w:qFormat/>
    <w:rPr>
      <w:i/>
    </w:rPr>
  </w:style>
  <w:style w:type="character" w:customStyle="1" w:styleId="a9">
    <w:name w:val="页眉 字符"/>
    <w:basedOn w:val="a0"/>
    <w:link w:val="a8"/>
    <w:autoRedefine/>
    <w:qFormat/>
    <w:rPr>
      <w:rFonts w:asciiTheme="minorHAnsi" w:eastAsiaTheme="minorEastAsia" w:hAnsiTheme="minorHAnsi" w:cstheme="minorBidi"/>
      <w:kern w:val="2"/>
      <w:sz w:val="18"/>
      <w:szCs w:val="18"/>
    </w:rPr>
  </w:style>
  <w:style w:type="character" w:customStyle="1" w:styleId="a7">
    <w:name w:val="页脚 字符"/>
    <w:basedOn w:val="a0"/>
    <w:link w:val="a6"/>
    <w:autoRedefine/>
    <w:qFormat/>
    <w:rPr>
      <w:rFonts w:asciiTheme="minorHAnsi" w:eastAsiaTheme="minorEastAsia" w:hAnsiTheme="minorHAnsi" w:cstheme="minorBidi"/>
      <w:kern w:val="2"/>
      <w:sz w:val="18"/>
      <w:szCs w:val="18"/>
    </w:rPr>
  </w:style>
  <w:style w:type="character" w:customStyle="1" w:styleId="a5">
    <w:name w:val="批注框文本 字符"/>
    <w:basedOn w:val="a0"/>
    <w:link w:val="a4"/>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近</a:t>
            </a:r>
            <a:r>
              <a:rPr lang="en-US" altLang="zh-CN"/>
              <a:t>3</a:t>
            </a:r>
            <a:r>
              <a:rPr lang="zh-CN" altLang="en-US"/>
              <a:t>年依申请公开数量变化</a:t>
            </a:r>
          </a:p>
        </c:rich>
      </c:tx>
      <c:overlay val="0"/>
      <c:spPr>
        <a:noFill/>
        <a:ln>
          <a:noFill/>
        </a:ln>
        <a:effectLst/>
      </c:spPr>
      <c:txPr>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title>
    <c:autoTitleDeleted val="0"/>
    <c:plotArea>
      <c:layout/>
      <c:barChart>
        <c:barDir val="col"/>
        <c:grouping val="stacked"/>
        <c:varyColors val="0"/>
        <c:ser>
          <c:idx val="0"/>
          <c:order val="0"/>
          <c:tx>
            <c:strRef>
              <c:f>Sheet1!$B$1</c:f>
              <c:strCache>
                <c:ptCount val="1"/>
                <c:pt idx="0">
                  <c:v>系列 1</c:v>
                </c:pt>
              </c:strCache>
            </c:strRef>
          </c:tx>
          <c:spPr>
            <a:solidFill>
              <a:srgbClr val="ED7D31"/>
            </a:solidFill>
            <a:ln>
              <a:noFill/>
            </a:ln>
            <a:effectLst/>
          </c:spPr>
          <c:invertIfNegative val="0"/>
          <c:dPt>
            <c:idx val="1"/>
            <c:invertIfNegative val="0"/>
            <c:bubble3D val="0"/>
            <c:spPr>
              <a:solidFill>
                <a:srgbClr val="4472C4">
                  <a:lumMod val="60000"/>
                  <a:lumOff val="40000"/>
                </a:srgbClr>
              </a:solidFill>
              <a:ln>
                <a:noFill/>
              </a:ln>
              <a:effectLst/>
            </c:spPr>
            <c:extLst>
              <c:ext xmlns:c16="http://schemas.microsoft.com/office/drawing/2014/chart" uri="{C3380CC4-5D6E-409C-BE32-E72D297353CC}">
                <c16:uniqueId val="{00000001-E0F6-48AB-8284-F764A220CE83}"/>
              </c:ext>
            </c:extLst>
          </c:dPt>
          <c:dPt>
            <c:idx val="2"/>
            <c:invertIfNegative val="0"/>
            <c:bubble3D val="0"/>
            <c:spPr>
              <a:solidFill>
                <a:srgbClr val="70AD47"/>
              </a:solidFill>
              <a:ln>
                <a:noFill/>
              </a:ln>
              <a:effectLst/>
            </c:spPr>
            <c:extLst>
              <c:ext xmlns:c16="http://schemas.microsoft.com/office/drawing/2014/chart" uri="{C3380CC4-5D6E-409C-BE32-E72D297353CC}">
                <c16:uniqueId val="{00000003-E0F6-48AB-8284-F764A220CE83}"/>
              </c:ext>
            </c:extLst>
          </c:dPt>
          <c:cat>
            <c:strRef>
              <c:f>Sheet1!$A$2:$A$4</c:f>
              <c:strCache>
                <c:ptCount val="3"/>
                <c:pt idx="0">
                  <c:v>2022年</c:v>
                </c:pt>
                <c:pt idx="1">
                  <c:v>2023年</c:v>
                </c:pt>
                <c:pt idx="2">
                  <c:v>2024年</c:v>
                </c:pt>
              </c:strCache>
            </c:strRef>
          </c:cat>
          <c:val>
            <c:numRef>
              <c:f>Sheet1!$B$2:$B$4</c:f>
              <c:numCache>
                <c:formatCode>General</c:formatCode>
                <c:ptCount val="3"/>
                <c:pt idx="0">
                  <c:v>1</c:v>
                </c:pt>
                <c:pt idx="1">
                  <c:v>4</c:v>
                </c:pt>
                <c:pt idx="2">
                  <c:v>3</c:v>
                </c:pt>
              </c:numCache>
            </c:numRef>
          </c:val>
          <c:extLst>
            <c:ext xmlns:c16="http://schemas.microsoft.com/office/drawing/2014/chart" uri="{C3380CC4-5D6E-409C-BE32-E72D297353CC}">
              <c16:uniqueId val="{00000004-E0F6-48AB-8284-F764A220CE83}"/>
            </c:ext>
          </c:extLst>
        </c:ser>
        <c:ser>
          <c:idx val="1"/>
          <c:order val="1"/>
          <c:tx>
            <c:strRef>
              <c:f>Sheet1!#REF!</c:f>
              <c:strCache>
                <c:ptCount val="1"/>
              </c:strCache>
            </c:strRef>
          </c:tx>
          <c:spPr>
            <a:solidFill>
              <a:srgbClr val="ED7D31"/>
            </a:solidFill>
            <a:ln>
              <a:noFill/>
            </a:ln>
            <a:effectLst/>
          </c:spPr>
          <c:invertIfNegative val="0"/>
          <c:cat>
            <c:strRef>
              <c:f>Sheet1!$A$2:$A$4</c:f>
              <c:strCache>
                <c:ptCount val="3"/>
                <c:pt idx="0">
                  <c:v>2022年</c:v>
                </c:pt>
                <c:pt idx="1">
                  <c:v>2023年</c:v>
                </c:pt>
                <c:pt idx="2">
                  <c:v>2024年</c:v>
                </c:pt>
              </c:strCache>
            </c:strRef>
          </c:cat>
          <c:val>
            <c:numRef>
              <c:f>Sheet1!#REF!</c:f>
              <c:numCache>
                <c:formatCode>General</c:formatCode>
                <c:ptCount val="1"/>
                <c:pt idx="0">
                  <c:v>1</c:v>
                </c:pt>
              </c:numCache>
            </c:numRef>
          </c:val>
          <c:extLst>
            <c:ext xmlns:c16="http://schemas.microsoft.com/office/drawing/2014/chart" uri="{C3380CC4-5D6E-409C-BE32-E72D297353CC}">
              <c16:uniqueId val="{00000005-E0F6-48AB-8284-F764A220CE83}"/>
            </c:ext>
          </c:extLst>
        </c:ser>
        <c:ser>
          <c:idx val="2"/>
          <c:order val="2"/>
          <c:tx>
            <c:strRef>
              <c:f>Sheet1!#REF!</c:f>
              <c:strCache>
                <c:ptCount val="1"/>
              </c:strCache>
            </c:strRef>
          </c:tx>
          <c:spPr>
            <a:solidFill>
              <a:srgbClr val="ED7D31"/>
            </a:solidFill>
            <a:ln>
              <a:noFill/>
            </a:ln>
            <a:effectLst/>
          </c:spPr>
          <c:invertIfNegative val="0"/>
          <c:cat>
            <c:strRef>
              <c:f>Sheet1!$A$2:$A$4</c:f>
              <c:strCache>
                <c:ptCount val="3"/>
                <c:pt idx="0">
                  <c:v>2022年</c:v>
                </c:pt>
                <c:pt idx="1">
                  <c:v>2023年</c:v>
                </c:pt>
                <c:pt idx="2">
                  <c:v>2024年</c:v>
                </c:pt>
              </c:strCache>
            </c:strRef>
          </c:cat>
          <c:val>
            <c:numRef>
              <c:f>Sheet1!#REF!</c:f>
              <c:numCache>
                <c:formatCode>General</c:formatCode>
                <c:ptCount val="1"/>
                <c:pt idx="0">
                  <c:v>1</c:v>
                </c:pt>
              </c:numCache>
            </c:numRef>
          </c:val>
          <c:extLst>
            <c:ext xmlns:c16="http://schemas.microsoft.com/office/drawing/2014/chart" uri="{C3380CC4-5D6E-409C-BE32-E72D297353CC}">
              <c16:uniqueId val="{00000006-E0F6-48AB-8284-F764A220CE83}"/>
            </c:ext>
          </c:extLst>
        </c:ser>
        <c:dLbls>
          <c:showLegendKey val="0"/>
          <c:showVal val="0"/>
          <c:showCatName val="0"/>
          <c:showSerName val="0"/>
          <c:showPercent val="0"/>
          <c:showBubbleSize val="0"/>
        </c:dLbls>
        <c:gapWidth val="200"/>
        <c:overlap val="100"/>
        <c:axId val="782504061"/>
        <c:axId val="153093917"/>
      </c:barChart>
      <c:catAx>
        <c:axId val="782504061"/>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153093917"/>
        <c:crosses val="autoZero"/>
        <c:auto val="1"/>
        <c:lblAlgn val="ctr"/>
        <c:lblOffset val="100"/>
        <c:noMultiLvlLbl val="0"/>
      </c:catAx>
      <c:valAx>
        <c:axId val="153093917"/>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782504061"/>
        <c:crosses val="autoZero"/>
        <c:crossBetween val="between"/>
      </c:valAx>
      <c:spPr>
        <a:noFill/>
        <a:ln>
          <a:noFill/>
        </a:ln>
        <a:effectLst/>
      </c:spPr>
    </c:plotArea>
    <c:plotVisOnly val="1"/>
    <c:dispBlanksAs val="gap"/>
    <c:showDLblsOverMax val="0"/>
    <c:extLst>
      <c:ext uri="{0b15fc19-7d7d-44ad-8c2d-2c3a37ce22c3}">
        <chartProps xmlns="https://web.wps.cn/et/2018/main" chartId="{3e676528-dd39-43f2-bb08-7bc4daeb08de}"/>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自定义 86">
    <a:dk1>
      <a:srgbClr val="000000"/>
    </a:dk1>
    <a:lt1>
      <a:srgbClr val="FFFFFF"/>
    </a:lt1>
    <a:dk2>
      <a:srgbClr val="44546A"/>
    </a:dk2>
    <a:lt2>
      <a:srgbClr val="E7E6E6"/>
    </a:lt2>
    <a:accent1>
      <a:srgbClr val="ED9682"/>
    </a:accent1>
    <a:accent2>
      <a:srgbClr val="BC3E54"/>
    </a:accent2>
    <a:accent3>
      <a:srgbClr val="EE7755"/>
    </a:accent3>
    <a:accent4>
      <a:srgbClr val="FED593"/>
    </a:accent4>
    <a:accent5>
      <a:srgbClr val="F4C0B4"/>
    </a:accent5>
    <a:accent6>
      <a:srgbClr val="EDA031"/>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423</Words>
  <Characters>2412</Characters>
  <Application>Microsoft Office Word</Application>
  <DocSecurity>0</DocSecurity>
  <Lines>20</Lines>
  <Paragraphs>5</Paragraphs>
  <ScaleCrop>false</ScaleCrop>
  <Company>微软中国</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2023-01-16T10:54:00Z</cp:lastPrinted>
  <dcterms:created xsi:type="dcterms:W3CDTF">2021-01-25T09:43:00Z</dcterms:created>
  <dcterms:modified xsi:type="dcterms:W3CDTF">2026-02-11T03:33:00Z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F248933D35414829902AAB89F3D34E0B_13</vt:lpwstr>
  </property>
  <property fmtid="{D5CDD505-2E9C-101B-9397-08002B2CF9AE}" pid="4" name="KSOTemplateDocerSaveRecord">
    <vt:lpwstr>eyJoZGlkIjoiZGVjMzUxMWE1YzllNmFlYmU1ZTEzMzU0OTRhYTVjNGQiLCJ1c2VySWQiOiI5NjMyOTUxOTQifQ==</vt:lpwstr>
  </property>
</Properties>
</file>