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420"/>
        <w:jc w:val="right"/>
        <w:textAlignment w:val="auto"/>
        <w:rPr>
          <w:rFonts w:hint="eastAsia" w:ascii="方正小标宋简体" w:hAnsi="方正小标宋简体" w:eastAsia="方正小标宋简体" w:cs="方正小标宋简体"/>
          <w:color w:val="auto"/>
          <w:kern w:val="2"/>
          <w:sz w:val="44"/>
          <w:szCs w:val="44"/>
          <w:lang w:val="en-US" w:eastAsia="zh-CN" w:bidi="ar-SA"/>
        </w:rPr>
      </w:pP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420"/>
        <w:jc w:val="center"/>
        <w:textAlignment w:val="auto"/>
        <w:rPr>
          <w:rFonts w:hint="eastAsia" w:ascii="方正小标宋简体" w:hAnsi="方正小标宋简体" w:eastAsia="方正小标宋简体" w:cs="方正小标宋简体"/>
          <w:color w:val="auto"/>
          <w:kern w:val="2"/>
          <w:sz w:val="44"/>
          <w:szCs w:val="44"/>
          <w:lang w:val="en-US" w:eastAsia="zh-CN" w:bidi="ar-SA"/>
        </w:rPr>
      </w:pPr>
      <w:r>
        <w:rPr>
          <w:rFonts w:hint="eastAsia" w:ascii="方正小标宋简体" w:hAnsi="方正小标宋简体" w:eastAsia="方正小标宋简体" w:cs="方正小标宋简体"/>
          <w:color w:val="auto"/>
          <w:kern w:val="2"/>
          <w:sz w:val="44"/>
          <w:szCs w:val="44"/>
          <w:lang w:val="en-US" w:eastAsia="zh-CN" w:bidi="ar-SA"/>
        </w:rPr>
        <w:t>滕州市人民政府办公室</w:t>
      </w: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420"/>
        <w:jc w:val="center"/>
        <w:textAlignment w:val="auto"/>
        <w:rPr>
          <w:rFonts w:hint="eastAsia" w:ascii="方正小标宋简体" w:hAnsi="方正小标宋简体" w:eastAsia="方正小标宋简体" w:cs="方正小标宋简体"/>
          <w:color w:val="auto"/>
          <w:kern w:val="2"/>
          <w:sz w:val="44"/>
          <w:szCs w:val="44"/>
          <w:lang w:val="en-US" w:eastAsia="zh-CN" w:bidi="ar-SA"/>
        </w:rPr>
      </w:pPr>
      <w:r>
        <w:rPr>
          <w:rFonts w:hint="eastAsia" w:ascii="方正小标宋简体" w:hAnsi="方正小标宋简体" w:eastAsia="方正小标宋简体" w:cs="方正小标宋简体"/>
          <w:color w:val="auto"/>
          <w:kern w:val="2"/>
          <w:sz w:val="44"/>
          <w:szCs w:val="44"/>
          <w:lang w:val="en-US" w:eastAsia="zh-CN" w:bidi="ar-SA"/>
        </w:rPr>
        <w:t>2024年政府信息公开工作年度报告</w:t>
      </w: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640"/>
        <w:jc w:val="both"/>
        <w:textAlignment w:val="auto"/>
        <w:rPr>
          <w:rFonts w:hint="eastAsia" w:ascii="仿宋_GB2312" w:eastAsia="仿宋_GB2312" w:hAnsiTheme="minorHAnsi" w:cstheme="minorBidi"/>
          <w:kern w:val="2"/>
          <w:sz w:val="32"/>
          <w:szCs w:val="32"/>
          <w:lang w:val="en-US" w:eastAsia="zh-CN" w:bidi="ar-SA"/>
        </w:rPr>
      </w:pP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640"/>
        <w:jc w:val="both"/>
        <w:textAlignment w:val="auto"/>
        <w:rPr>
          <w:rFonts w:hint="eastAsia" w:ascii="仿宋_GB2312" w:eastAsia="仿宋_GB2312" w:hAnsiTheme="minorHAnsi" w:cstheme="minorBidi"/>
          <w:kern w:val="2"/>
          <w:sz w:val="32"/>
          <w:szCs w:val="32"/>
          <w:lang w:val="en-US" w:eastAsia="zh-CN" w:bidi="ar-SA"/>
        </w:rPr>
      </w:pPr>
      <w:r>
        <w:rPr>
          <w:rFonts w:hint="eastAsia" w:ascii="仿宋_GB2312" w:eastAsia="仿宋_GB2312" w:hAnsiTheme="minorHAnsi" w:cstheme="minorBidi"/>
          <w:kern w:val="2"/>
          <w:sz w:val="32"/>
          <w:szCs w:val="32"/>
          <w:lang w:val="en-US" w:eastAsia="zh-CN" w:bidi="ar-SA"/>
        </w:rPr>
        <w:t>按照《中华人民共和国政府信息公开条例》和《国务院办公厅政府信息与政务公开办公室关于印发</w:t>
      </w:r>
      <w:r>
        <w:rPr>
          <w:rFonts w:hint="default" w:ascii="仿宋_GB2312" w:eastAsia="仿宋_GB2312" w:cstheme="minorBidi"/>
          <w:kern w:val="2"/>
          <w:sz w:val="32"/>
          <w:szCs w:val="32"/>
          <w:lang w:val="en" w:eastAsia="zh-CN" w:bidi="ar-SA"/>
        </w:rPr>
        <w:t>&lt;</w:t>
      </w:r>
      <w:r>
        <w:rPr>
          <w:rFonts w:hint="eastAsia" w:ascii="仿宋_GB2312" w:eastAsia="仿宋_GB2312" w:hAnsiTheme="minorHAnsi" w:cstheme="minorBidi"/>
          <w:kern w:val="2"/>
          <w:sz w:val="32"/>
          <w:szCs w:val="32"/>
          <w:lang w:val="en-US" w:eastAsia="zh-CN" w:bidi="ar-SA"/>
        </w:rPr>
        <w:t>中华人民共和国政府信息公开工作年度报告格式</w:t>
      </w:r>
      <w:r>
        <w:rPr>
          <w:rFonts w:hint="default" w:ascii="仿宋_GB2312" w:eastAsia="仿宋_GB2312" w:cstheme="minorBidi"/>
          <w:kern w:val="2"/>
          <w:sz w:val="32"/>
          <w:szCs w:val="32"/>
          <w:lang w:val="en" w:eastAsia="zh-CN" w:bidi="ar-SA"/>
        </w:rPr>
        <w:t>&gt;</w:t>
      </w:r>
      <w:r>
        <w:rPr>
          <w:rFonts w:hint="eastAsia" w:ascii="仿宋_GB2312" w:eastAsia="仿宋_GB2312" w:hAnsiTheme="minorHAnsi" w:cstheme="minorBidi"/>
          <w:kern w:val="2"/>
          <w:sz w:val="32"/>
          <w:szCs w:val="32"/>
          <w:lang w:val="en-US" w:eastAsia="zh-CN" w:bidi="ar-SA"/>
        </w:rPr>
        <w:t>的通知》（国办公开办函〔</w:t>
      </w:r>
      <w:r>
        <w:rPr>
          <w:rFonts w:hint="eastAsia" w:ascii="仿宋_GB2312" w:eastAsia="仿宋_GB2312" w:cstheme="minorBidi"/>
          <w:kern w:val="2"/>
          <w:sz w:val="32"/>
          <w:szCs w:val="32"/>
          <w:lang w:val="en-US" w:eastAsia="zh-CN" w:bidi="ar-SA"/>
        </w:rPr>
        <w:t>202</w:t>
      </w:r>
      <w:r>
        <w:rPr>
          <w:rFonts w:hint="default" w:ascii="仿宋_GB2312" w:eastAsia="仿宋_GB2312" w:cstheme="minorBidi"/>
          <w:kern w:val="2"/>
          <w:sz w:val="32"/>
          <w:szCs w:val="32"/>
          <w:lang w:val="en" w:eastAsia="zh-CN" w:bidi="ar-SA"/>
        </w:rPr>
        <w:t>1</w:t>
      </w:r>
      <w:r>
        <w:rPr>
          <w:rFonts w:hint="eastAsia" w:ascii="仿宋_GB2312" w:eastAsia="仿宋_GB2312" w:hAnsiTheme="minorHAnsi" w:cstheme="minorBidi"/>
          <w:kern w:val="2"/>
          <w:sz w:val="32"/>
          <w:szCs w:val="32"/>
          <w:lang w:val="en-US" w:eastAsia="zh-CN" w:bidi="ar-SA"/>
        </w:rPr>
        <w:t>〕</w:t>
      </w:r>
      <w:r>
        <w:rPr>
          <w:rFonts w:hint="default" w:ascii="仿宋_GB2312" w:eastAsia="仿宋_GB2312" w:cstheme="minorBidi"/>
          <w:kern w:val="2"/>
          <w:sz w:val="32"/>
          <w:szCs w:val="32"/>
          <w:lang w:val="en" w:eastAsia="zh-CN" w:bidi="ar-SA"/>
        </w:rPr>
        <w:t>30</w:t>
      </w:r>
      <w:r>
        <w:rPr>
          <w:rFonts w:hint="eastAsia" w:ascii="仿宋_GB2312" w:eastAsia="仿宋_GB2312" w:hAnsiTheme="minorHAnsi" w:cstheme="minorBidi"/>
          <w:kern w:val="2"/>
          <w:sz w:val="32"/>
          <w:szCs w:val="32"/>
          <w:lang w:val="en-US" w:eastAsia="zh-CN" w:bidi="ar-SA"/>
        </w:rPr>
        <w:t>号）</w:t>
      </w:r>
      <w:r>
        <w:rPr>
          <w:rFonts w:hint="eastAsia" w:ascii="仿宋_GB2312" w:eastAsia="仿宋_GB2312" w:cstheme="minorBidi"/>
          <w:kern w:val="2"/>
          <w:sz w:val="32"/>
          <w:szCs w:val="32"/>
          <w:lang w:val="en-US" w:eastAsia="zh-CN" w:bidi="ar-SA"/>
        </w:rPr>
        <w:t>以及</w:t>
      </w:r>
      <w:r>
        <w:rPr>
          <w:rFonts w:hint="eastAsia" w:ascii="仿宋_GB2312" w:eastAsia="仿宋_GB2312" w:hAnsiTheme="minorHAnsi" w:cstheme="minorBidi"/>
          <w:kern w:val="2"/>
          <w:sz w:val="32"/>
          <w:szCs w:val="32"/>
          <w:lang w:val="en-US" w:eastAsia="zh-CN" w:bidi="ar-SA"/>
        </w:rPr>
        <w:t>有关文件要求，</w:t>
      </w:r>
      <w:r>
        <w:rPr>
          <w:rFonts w:hint="eastAsia" w:ascii="仿宋_GB2312" w:eastAsia="仿宋_GB2312" w:cstheme="minorBidi"/>
          <w:kern w:val="2"/>
          <w:sz w:val="32"/>
          <w:szCs w:val="32"/>
          <w:lang w:val="en-US" w:eastAsia="zh-CN" w:bidi="ar-SA"/>
        </w:rPr>
        <w:t>结合</w:t>
      </w:r>
      <w:r>
        <w:rPr>
          <w:rFonts w:hint="eastAsia" w:ascii="仿宋_GB2312" w:eastAsia="仿宋_GB2312" w:hAnsiTheme="minorHAnsi" w:cstheme="minorBidi"/>
          <w:kern w:val="2"/>
          <w:sz w:val="32"/>
          <w:szCs w:val="32"/>
          <w:lang w:val="en-US" w:eastAsia="zh-CN" w:bidi="ar-SA"/>
        </w:rPr>
        <w:t>滕州市人民政府办公室202</w:t>
      </w:r>
      <w:r>
        <w:rPr>
          <w:rFonts w:hint="eastAsia" w:ascii="仿宋_GB2312" w:eastAsia="仿宋_GB2312" w:cstheme="minorBidi"/>
          <w:kern w:val="2"/>
          <w:sz w:val="32"/>
          <w:szCs w:val="32"/>
          <w:lang w:val="en-US" w:eastAsia="zh-CN" w:bidi="ar-SA"/>
        </w:rPr>
        <w:t>4</w:t>
      </w:r>
      <w:r>
        <w:rPr>
          <w:rFonts w:hint="eastAsia" w:ascii="仿宋_GB2312" w:eastAsia="仿宋_GB2312" w:hAnsiTheme="minorHAnsi" w:cstheme="minorBidi"/>
          <w:kern w:val="2"/>
          <w:sz w:val="32"/>
          <w:szCs w:val="32"/>
          <w:lang w:val="en-US" w:eastAsia="zh-CN" w:bidi="ar-SA"/>
        </w:rPr>
        <w:t>年度信息公开工作实际，编制了本报告。报告主要内容包括：总体情况、主动公开政府信息情况、收到和处理政府信息公开申请情况、政府信息公开行政复议、行政诉讼情况、存在的主要问题</w:t>
      </w:r>
      <w:r>
        <w:rPr>
          <w:rFonts w:hint="eastAsia" w:ascii="仿宋_GB2312" w:eastAsia="仿宋_GB2312" w:cstheme="minorBidi"/>
          <w:kern w:val="2"/>
          <w:sz w:val="32"/>
          <w:szCs w:val="32"/>
          <w:lang w:val="en-US" w:eastAsia="zh-CN" w:bidi="ar-SA"/>
        </w:rPr>
        <w:t>及</w:t>
      </w:r>
      <w:r>
        <w:rPr>
          <w:rFonts w:hint="eastAsia" w:ascii="仿宋_GB2312" w:eastAsia="仿宋_GB2312" w:hAnsiTheme="minorHAnsi" w:cstheme="minorBidi"/>
          <w:kern w:val="2"/>
          <w:sz w:val="32"/>
          <w:szCs w:val="32"/>
          <w:lang w:val="en-US" w:eastAsia="zh-CN" w:bidi="ar-SA"/>
        </w:rPr>
        <w:t>改进情况</w:t>
      </w:r>
      <w:r>
        <w:rPr>
          <w:rFonts w:hint="eastAsia" w:ascii="仿宋_GB2312" w:eastAsia="仿宋_GB2312" w:cstheme="minorBidi"/>
          <w:kern w:val="2"/>
          <w:sz w:val="32"/>
          <w:szCs w:val="32"/>
          <w:lang w:val="en-US" w:eastAsia="zh-CN" w:bidi="ar-SA"/>
        </w:rPr>
        <w:t>和</w:t>
      </w:r>
      <w:r>
        <w:rPr>
          <w:rFonts w:hint="eastAsia" w:ascii="仿宋_GB2312" w:eastAsia="仿宋_GB2312" w:hAnsiTheme="minorHAnsi" w:cstheme="minorBidi"/>
          <w:kern w:val="2"/>
          <w:sz w:val="32"/>
          <w:szCs w:val="32"/>
          <w:lang w:val="en-US" w:eastAsia="zh-CN" w:bidi="ar-SA"/>
        </w:rPr>
        <w:t>其他需要报告的事项。本报告所列数据的统计时限自</w:t>
      </w:r>
      <w:r>
        <w:rPr>
          <w:rFonts w:hint="eastAsia" w:ascii="仿宋_GB2312" w:eastAsia="仿宋_GB2312" w:cstheme="minorBidi"/>
          <w:kern w:val="2"/>
          <w:sz w:val="32"/>
          <w:szCs w:val="32"/>
          <w:lang w:val="en-US" w:eastAsia="zh-CN" w:bidi="ar-SA"/>
        </w:rPr>
        <w:t>2024</w:t>
      </w:r>
      <w:r>
        <w:rPr>
          <w:rFonts w:hint="eastAsia" w:ascii="仿宋_GB2312" w:eastAsia="仿宋_GB2312" w:hAnsiTheme="minorHAnsi" w:cstheme="minorBidi"/>
          <w:kern w:val="2"/>
          <w:sz w:val="32"/>
          <w:szCs w:val="32"/>
          <w:lang w:val="en-US" w:eastAsia="zh-CN" w:bidi="ar-SA"/>
        </w:rPr>
        <w:t>年1月1日起至</w:t>
      </w:r>
      <w:r>
        <w:rPr>
          <w:rFonts w:hint="eastAsia" w:ascii="仿宋_GB2312" w:eastAsia="仿宋_GB2312" w:cstheme="minorBidi"/>
          <w:kern w:val="2"/>
          <w:sz w:val="32"/>
          <w:szCs w:val="32"/>
          <w:lang w:val="en-US" w:eastAsia="zh-CN" w:bidi="ar-SA"/>
        </w:rPr>
        <w:t>2024</w:t>
      </w:r>
      <w:r>
        <w:rPr>
          <w:rFonts w:hint="eastAsia" w:ascii="仿宋_GB2312" w:eastAsia="仿宋_GB2312" w:hAnsiTheme="minorHAnsi" w:cstheme="minorBidi"/>
          <w:kern w:val="2"/>
          <w:sz w:val="32"/>
          <w:szCs w:val="32"/>
          <w:lang w:val="en-US" w:eastAsia="zh-CN" w:bidi="ar-SA"/>
        </w:rPr>
        <w:t>年12月31日止。</w:t>
      </w: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640"/>
        <w:jc w:val="both"/>
        <w:textAlignment w:val="auto"/>
        <w:rPr>
          <w:rFonts w:hint="eastAsia" w:ascii="黑体" w:hAnsi="黑体" w:eastAsia="黑体" w:cs="黑体"/>
          <w:color w:val="333333"/>
          <w:sz w:val="32"/>
          <w:szCs w:val="32"/>
          <w:shd w:val="clear" w:color="auto" w:fill="FFFFFF"/>
        </w:rPr>
      </w:pPr>
      <w:r>
        <w:rPr>
          <w:rFonts w:hint="eastAsia" w:ascii="黑体" w:hAnsi="黑体" w:eastAsia="黑体" w:cs="黑体"/>
          <w:color w:val="333333"/>
          <w:sz w:val="32"/>
          <w:szCs w:val="32"/>
          <w:shd w:val="clear" w:color="auto" w:fill="FFFFFF"/>
        </w:rPr>
        <w:t>一、总体情况</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仿宋_GB2312" w:eastAsia="仿宋_GB2312" w:cstheme="minorBidi"/>
          <w:kern w:val="2"/>
          <w:sz w:val="32"/>
          <w:szCs w:val="32"/>
          <w:highlight w:val="none"/>
          <w:lang w:val="en-US" w:eastAsia="zh-CN" w:bidi="ar-SA"/>
        </w:rPr>
      </w:pPr>
      <w:r>
        <w:rPr>
          <w:rFonts w:hint="eastAsia" w:ascii="仿宋_GB2312" w:eastAsia="仿宋_GB2312" w:cstheme="minorBidi"/>
          <w:kern w:val="2"/>
          <w:sz w:val="32"/>
          <w:szCs w:val="32"/>
          <w:highlight w:val="none"/>
          <w:lang w:val="en-US" w:eastAsia="zh-CN" w:bidi="ar-SA"/>
        </w:rPr>
        <w:t>2024年，滕州市人民政府办公室认真贯彻落实党中央、国务院和省、市政府关于政务公开的系列部署，进一步调整优化公开目录，拓展公开渠道，增强政民互动，深化公开的力度和深度，充分保障公众知情权、参与权和监督权，努力打造阳光、透明、开放、服务型政府。</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楷体" w:hAnsi="楷体" w:eastAsia="楷体" w:cs="楷体"/>
          <w:kern w:val="2"/>
          <w:sz w:val="32"/>
          <w:szCs w:val="32"/>
          <w:highlight w:val="none"/>
          <w:lang w:val="en-US" w:eastAsia="zh-CN" w:bidi="ar-SA"/>
        </w:rPr>
      </w:pPr>
      <w:r>
        <w:rPr>
          <w:rFonts w:hint="eastAsia" w:ascii="楷体" w:hAnsi="楷体" w:eastAsia="楷体" w:cs="楷体"/>
          <w:kern w:val="2"/>
          <w:sz w:val="32"/>
          <w:szCs w:val="32"/>
          <w:highlight w:val="none"/>
          <w:lang w:val="en-US" w:eastAsia="zh-CN" w:bidi="ar-SA"/>
        </w:rPr>
        <w:t>（一）主动公开情况</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rPr>
          <w:rFonts w:hint="eastAsia" w:ascii="仿宋_GB2312" w:hAnsi="宋体" w:eastAsia="仿宋_GB2312" w:cs="仿宋_GB2312"/>
          <w:i w:val="0"/>
          <w:iCs w:val="0"/>
          <w:caps w:val="0"/>
          <w:color w:val="000000"/>
          <w:spacing w:val="0"/>
          <w:sz w:val="32"/>
          <w:szCs w:val="32"/>
          <w:lang w:val="en-US" w:eastAsia="zh-CN"/>
        </w:rPr>
      </w:pPr>
      <w:r>
        <w:rPr>
          <w:rFonts w:hint="eastAsia" w:ascii="仿宋_GB2312" w:eastAsia="仿宋_GB2312" w:cstheme="minorBidi"/>
          <w:b/>
          <w:bCs/>
          <w:kern w:val="2"/>
          <w:sz w:val="32"/>
          <w:szCs w:val="32"/>
          <w:highlight w:val="none"/>
          <w:lang w:val="en-US" w:eastAsia="zh-CN" w:bidi="ar-SA"/>
        </w:rPr>
        <w:t>1.推进政策文件发布和解读。</w:t>
      </w:r>
      <w:r>
        <w:rPr>
          <w:rFonts w:hint="eastAsia" w:ascii="仿宋_GB2312" w:eastAsia="仿宋_GB2312" w:cstheme="minorBidi"/>
          <w:kern w:val="2"/>
          <w:sz w:val="32"/>
          <w:szCs w:val="32"/>
          <w:highlight w:val="none"/>
          <w:lang w:val="en-US" w:eastAsia="zh-CN" w:bidi="ar-SA"/>
        </w:rPr>
        <w:t>认真落实政府信息公开保密审查制度，规范政策文件发布，全年通过滕州市人民政府官网政务公开专栏发布政策</w:t>
      </w:r>
      <w:r>
        <w:rPr>
          <w:rFonts w:hint="eastAsia" w:ascii="仿宋_GB2312" w:eastAsia="仿宋_GB2312" w:cstheme="minorBidi"/>
          <w:kern w:val="2"/>
          <w:sz w:val="32"/>
          <w:szCs w:val="32"/>
          <w:highlight w:val="none"/>
          <w:shd w:val="clear"/>
          <w:lang w:val="en-US" w:eastAsia="zh-CN" w:bidi="ar-SA"/>
        </w:rPr>
        <w:t>文</w:t>
      </w:r>
      <w:r>
        <w:rPr>
          <w:rFonts w:hint="eastAsia" w:ascii="仿宋_GB2312" w:hAnsi="ÃƒÂ¥Ã‚Â¾Ã‚Â®ÃƒÂ¨Ã‚Â½Ã‚Â¯ÃƒÂ©Ã¢â" w:eastAsia="仿宋_GB2312" w:cs="仿宋_GB2312"/>
          <w:i w:val="0"/>
          <w:caps w:val="0"/>
          <w:color w:val="000000"/>
          <w:spacing w:val="0"/>
          <w:kern w:val="0"/>
          <w:sz w:val="32"/>
          <w:szCs w:val="32"/>
          <w:highlight w:val="none"/>
          <w:shd w:val="clear" w:fill="FFFFFF"/>
          <w:lang w:val="en-US" w:eastAsia="zh-CN" w:bidi="ar"/>
        </w:rPr>
        <w:t>件18条，</w:t>
      </w:r>
      <w:r>
        <w:rPr>
          <w:rFonts w:ascii="仿宋_GB2312" w:hAnsi="宋体" w:eastAsia="仿宋_GB2312" w:cs="仿宋_GB2312"/>
          <w:i w:val="0"/>
          <w:iCs w:val="0"/>
          <w:caps w:val="0"/>
          <w:color w:val="000000"/>
          <w:spacing w:val="0"/>
          <w:sz w:val="32"/>
          <w:szCs w:val="32"/>
        </w:rPr>
        <w:t>所有政策性文件开展负责人解读、专家解读、动漫</w:t>
      </w:r>
      <w:r>
        <w:rPr>
          <w:rFonts w:hint="eastAsia" w:ascii="仿宋_GB2312" w:hAnsi="宋体" w:eastAsia="仿宋_GB2312" w:cs="仿宋_GB2312"/>
          <w:i w:val="0"/>
          <w:iCs w:val="0"/>
          <w:caps w:val="0"/>
          <w:color w:val="000000"/>
          <w:spacing w:val="0"/>
          <w:sz w:val="32"/>
          <w:szCs w:val="32"/>
        </w:rPr>
        <w:t>解读等多种形式的解读</w:t>
      </w:r>
      <w:r>
        <w:rPr>
          <w:rFonts w:hint="eastAsia" w:ascii="仿宋_GB2312" w:hAnsi="宋体" w:eastAsia="仿宋_GB2312" w:cs="仿宋_GB2312"/>
          <w:i w:val="0"/>
          <w:iCs w:val="0"/>
          <w:caps w:val="0"/>
          <w:color w:val="000000"/>
          <w:spacing w:val="0"/>
          <w:sz w:val="32"/>
          <w:szCs w:val="32"/>
          <w:lang w:eastAsia="zh-CN"/>
        </w:rPr>
        <w:t>，</w:t>
      </w:r>
      <w:r>
        <w:rPr>
          <w:rFonts w:hint="eastAsia" w:ascii="仿宋_GB2312" w:eastAsia="仿宋_GB2312" w:cstheme="minorBidi"/>
          <w:kern w:val="2"/>
          <w:sz w:val="32"/>
          <w:szCs w:val="32"/>
          <w:highlight w:val="none"/>
          <w:lang w:val="en-US" w:eastAsia="zh-CN" w:bidi="ar-SA"/>
        </w:rPr>
        <w:t>实现政策解读与政策文件相互关联，提高政策到达率和知晓度。</w:t>
      </w:r>
      <w:r>
        <w:rPr>
          <w:rFonts w:hint="eastAsia" w:ascii="仿宋_GB2312" w:hAnsi="宋体" w:eastAsia="仿宋_GB2312" w:cs="仿宋_GB2312"/>
          <w:i w:val="0"/>
          <w:iCs w:val="0"/>
          <w:caps w:val="0"/>
          <w:color w:val="000000"/>
          <w:spacing w:val="0"/>
          <w:sz w:val="32"/>
          <w:szCs w:val="32"/>
          <w:lang w:val="en-US" w:eastAsia="zh-CN"/>
        </w:rPr>
        <w:t>具体可参阅“政策解读专栏”http://www.tengzhou.gov.</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仿宋_GB2312" w:hAnsi="宋体" w:eastAsia="仿宋_GB2312" w:cs="仿宋_GB2312"/>
          <w:i w:val="0"/>
          <w:iCs w:val="0"/>
          <w:caps w:val="0"/>
          <w:color w:val="000000"/>
          <w:spacing w:val="0"/>
          <w:sz w:val="32"/>
          <w:szCs w:val="32"/>
          <w:lang w:val="en-US" w:eastAsia="zh-CN"/>
        </w:rPr>
      </w:pPr>
      <w:r>
        <w:rPr>
          <w:rFonts w:hint="eastAsia" w:ascii="仿宋_GB2312" w:hAnsi="宋体" w:eastAsia="仿宋_GB2312" w:cs="仿宋_GB2312"/>
          <w:i w:val="0"/>
          <w:iCs w:val="0"/>
          <w:caps w:val="0"/>
          <w:color w:val="000000"/>
          <w:spacing w:val="0"/>
          <w:sz w:val="32"/>
          <w:szCs w:val="32"/>
          <w:lang w:val="en-US" w:eastAsia="zh-CN"/>
        </w:rPr>
        <w:t>cn/zwgk/zwgkzt/zcjdzl/</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eastAsiaTheme="minorEastAsia"/>
          <w:lang w:eastAsia="zh-CN"/>
        </w:rPr>
      </w:pPr>
      <w:r>
        <w:rPr>
          <w:rFonts w:hint="eastAsia" w:eastAsiaTheme="minorEastAsia"/>
          <w:lang w:eastAsia="zh-CN"/>
        </w:rPr>
        <w:drawing>
          <wp:inline distT="0" distB="0" distL="114300" distR="114300">
            <wp:extent cx="5273040" cy="2232025"/>
            <wp:effectExtent l="0" t="0" r="3810" b="15875"/>
            <wp:docPr id="4" name="图片 4" descr="截图-www.tengzhou.gov.cn-2025.01.06-16_47_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截图-www.tengzhou.gov.cn-2025.01.06-16_47_24"/>
                    <pic:cNvPicPr>
                      <a:picLocks noChangeAspect="true"/>
                    </pic:cNvPicPr>
                  </pic:nvPicPr>
                  <pic:blipFill>
                    <a:blip r:embed="rId6"/>
                    <a:stretch>
                      <a:fillRect/>
                    </a:stretch>
                  </pic:blipFill>
                  <pic:spPr>
                    <a:xfrm>
                      <a:off x="0" y="0"/>
                      <a:ext cx="5273040" cy="2232025"/>
                    </a:xfrm>
                    <a:prstGeom prst="rect">
                      <a:avLst/>
                    </a:prstGeom>
                  </pic:spPr>
                </pic:pic>
              </a:graphicData>
            </a:graphic>
          </wp:inline>
        </w:drawing>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default"/>
          <w:lang w:val="en-US" w:eastAsia="zh-CN"/>
        </w:rPr>
      </w:pP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仿宋_GB2312" w:eastAsia="仿宋_GB2312" w:hAnsiTheme="minorHAnsi" w:cstheme="minorBidi"/>
          <w:kern w:val="2"/>
          <w:sz w:val="32"/>
          <w:szCs w:val="32"/>
          <w:highlight w:val="none"/>
          <w:lang w:val="en-US" w:eastAsia="zh-CN" w:bidi="ar-SA"/>
        </w:rPr>
      </w:pPr>
      <w:r>
        <w:rPr>
          <w:rFonts w:hint="default" w:ascii="仿宋_GB2312" w:hAnsi="宋体" w:eastAsia="仿宋_GB2312" w:cs="仿宋_GB2312"/>
          <w:i w:val="0"/>
          <w:iCs w:val="0"/>
          <w:caps w:val="0"/>
          <w:color w:val="000000"/>
          <w:spacing w:val="0"/>
          <w:sz w:val="32"/>
          <w:szCs w:val="32"/>
          <w:lang w:val="en-US" w:eastAsia="zh-CN"/>
        </w:rPr>
        <w:drawing>
          <wp:inline distT="0" distB="0" distL="114300" distR="114300">
            <wp:extent cx="5266690" cy="2967990"/>
            <wp:effectExtent l="0" t="0" r="10160" b="3810"/>
            <wp:docPr id="5" name="图片 5" descr="截图-www.tengzhou.gov.cn-2025.01.06-16_48_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截图-www.tengzhou.gov.cn-2025.01.06-16_48_53"/>
                    <pic:cNvPicPr>
                      <a:picLocks noChangeAspect="true"/>
                    </pic:cNvPicPr>
                  </pic:nvPicPr>
                  <pic:blipFill>
                    <a:blip r:embed="rId7"/>
                    <a:stretch>
                      <a:fillRect/>
                    </a:stretch>
                  </pic:blipFill>
                  <pic:spPr>
                    <a:xfrm>
                      <a:off x="0" y="0"/>
                      <a:ext cx="5266690" cy="296799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ascii="仿宋_GB2312" w:hAnsi="微软雅黑" w:eastAsia="仿宋_GB2312" w:cs="仿宋_GB2312"/>
          <w:b/>
          <w:bCs/>
          <w:i w:val="0"/>
          <w:iCs w:val="0"/>
          <w:caps w:val="0"/>
          <w:color w:val="auto"/>
          <w:spacing w:val="0"/>
          <w:kern w:val="0"/>
          <w:sz w:val="32"/>
          <w:szCs w:val="32"/>
          <w:highlight w:val="none"/>
          <w:lang w:val="en-US" w:eastAsia="zh-CN" w:bidi="ar"/>
        </w:rPr>
      </w:pPr>
      <w:r>
        <w:rPr>
          <w:rFonts w:hint="eastAsia" w:ascii="仿宋_GB2312" w:eastAsia="仿宋_GB2312" w:hAnsiTheme="minorHAnsi" w:cstheme="minorBidi"/>
          <w:color w:val="auto"/>
          <w:kern w:val="2"/>
          <w:sz w:val="32"/>
          <w:szCs w:val="32"/>
          <w:highlight w:val="none"/>
          <w:lang w:val="en-US" w:eastAsia="zh-CN" w:bidi="ar-SA"/>
        </w:rPr>
        <w:t>及时发布政府全体会议、常务会议信息，并发布事项解读、会议要点回放；</w:t>
      </w:r>
      <w:r>
        <w:rPr>
          <w:rFonts w:hint="eastAsia" w:ascii="仿宋_GB2312" w:hAnsi="ÃƒÂ¥Ã‚Â¾Ã‚Â®ÃƒÂ¨Ã‚Â½Ã‚Â¯ÃƒÂ©Ã¢â" w:eastAsia="仿宋_GB2312" w:cs="仿宋_GB2312"/>
          <w:i w:val="0"/>
          <w:caps w:val="0"/>
          <w:color w:val="auto"/>
          <w:spacing w:val="0"/>
          <w:kern w:val="0"/>
          <w:sz w:val="32"/>
          <w:szCs w:val="32"/>
          <w:highlight w:val="none"/>
          <w:shd w:val="clear" w:fill="FFFFFF"/>
          <w:lang w:val="en-US" w:eastAsia="zh-CN" w:bidi="ar"/>
        </w:rPr>
        <w:t>全年解读会议</w:t>
      </w:r>
      <w:r>
        <w:rPr>
          <w:rFonts w:hint="eastAsia" w:ascii="仿宋_GB2312" w:hAnsi="Calibri" w:eastAsia="仿宋_GB2312" w:cs="仿宋_GB2312"/>
          <w:i w:val="0"/>
          <w:caps w:val="0"/>
          <w:color w:val="auto"/>
          <w:spacing w:val="0"/>
          <w:kern w:val="0"/>
          <w:sz w:val="32"/>
          <w:szCs w:val="32"/>
          <w:highlight w:val="none"/>
          <w:shd w:val="clear" w:fill="FFFFFF"/>
          <w:lang w:val="en-US" w:eastAsia="zh-CN" w:bidi="ar"/>
        </w:rPr>
        <w:t>17</w:t>
      </w:r>
      <w:r>
        <w:rPr>
          <w:rFonts w:hint="eastAsia" w:ascii="仿宋_GB2312" w:hAnsi="ÃƒÂ¥Ã‚Â¾Ã‚Â®ÃƒÂ¨Ã‚Â½Ã‚Â¯ÃƒÂ©Ã¢â" w:eastAsia="仿宋_GB2312" w:cs="仿宋_GB2312"/>
          <w:i w:val="0"/>
          <w:caps w:val="0"/>
          <w:color w:val="auto"/>
          <w:spacing w:val="0"/>
          <w:kern w:val="0"/>
          <w:sz w:val="32"/>
          <w:szCs w:val="32"/>
          <w:highlight w:val="none"/>
          <w:shd w:val="clear" w:fill="FFFFFF"/>
          <w:lang w:val="en-US" w:eastAsia="zh-CN" w:bidi="ar"/>
        </w:rPr>
        <w:t>次。解读政策</w:t>
      </w:r>
      <w:r>
        <w:rPr>
          <w:rFonts w:hint="eastAsia" w:ascii="仿宋_GB2312" w:hAnsi="Calibri" w:eastAsia="仿宋_GB2312" w:cs="仿宋_GB2312"/>
          <w:i w:val="0"/>
          <w:caps w:val="0"/>
          <w:color w:val="auto"/>
          <w:spacing w:val="0"/>
          <w:kern w:val="0"/>
          <w:sz w:val="32"/>
          <w:szCs w:val="32"/>
          <w:highlight w:val="none"/>
          <w:shd w:val="clear" w:fill="FFFFFF"/>
          <w:lang w:val="en-US" w:eastAsia="zh-CN" w:bidi="ar"/>
        </w:rPr>
        <w:t>18</w:t>
      </w:r>
      <w:r>
        <w:rPr>
          <w:rFonts w:hint="eastAsia" w:ascii="仿宋_GB2312" w:hAnsi="ÃƒÂ¥Ã‚Â¾Ã‚Â®ÃƒÂ¨Ã‚Â½Ã‚Â¯ÃƒÂ©Ã¢â" w:eastAsia="仿宋_GB2312" w:cs="仿宋_GB2312"/>
          <w:i w:val="0"/>
          <w:caps w:val="0"/>
          <w:color w:val="auto"/>
          <w:spacing w:val="0"/>
          <w:kern w:val="0"/>
          <w:sz w:val="32"/>
          <w:szCs w:val="32"/>
          <w:highlight w:val="none"/>
          <w:shd w:val="clear" w:fill="FFFFFF"/>
          <w:lang w:val="en-US" w:eastAsia="zh-CN" w:bidi="ar"/>
        </w:rPr>
        <w:t>篇，其中文字解读</w:t>
      </w:r>
      <w:r>
        <w:rPr>
          <w:rFonts w:hint="eastAsia" w:ascii="仿宋_GB2312" w:hAnsi="Calibri" w:eastAsia="仿宋_GB2312" w:cs="仿宋_GB2312"/>
          <w:i w:val="0"/>
          <w:caps w:val="0"/>
          <w:color w:val="auto"/>
          <w:spacing w:val="0"/>
          <w:kern w:val="0"/>
          <w:sz w:val="32"/>
          <w:szCs w:val="32"/>
          <w:highlight w:val="none"/>
          <w:shd w:val="clear" w:fill="FFFFFF"/>
          <w:lang w:val="en-US" w:eastAsia="zh-CN" w:bidi="ar"/>
        </w:rPr>
        <w:t>10</w:t>
      </w:r>
      <w:r>
        <w:rPr>
          <w:rFonts w:hint="eastAsia" w:ascii="仿宋_GB2312" w:hAnsi="ÃƒÂ¥Ã‚Â¾Ã‚Â®ÃƒÂ¨Ã‚Â½Ã‚Â¯ÃƒÂ©Ã¢â" w:eastAsia="仿宋_GB2312" w:cs="仿宋_GB2312"/>
          <w:i w:val="0"/>
          <w:caps w:val="0"/>
          <w:color w:val="auto"/>
          <w:spacing w:val="0"/>
          <w:kern w:val="0"/>
          <w:sz w:val="32"/>
          <w:szCs w:val="32"/>
          <w:highlight w:val="none"/>
          <w:shd w:val="clear" w:fill="FFFFFF"/>
          <w:lang w:val="en-US" w:eastAsia="zh-CN" w:bidi="ar"/>
        </w:rPr>
        <w:t>篇，主要负责人解读</w:t>
      </w:r>
      <w:r>
        <w:rPr>
          <w:rFonts w:hint="eastAsia" w:ascii="仿宋_GB2312" w:hAnsi="Calibri" w:eastAsia="仿宋_GB2312" w:cs="仿宋_GB2312"/>
          <w:i w:val="0"/>
          <w:caps w:val="0"/>
          <w:color w:val="auto"/>
          <w:spacing w:val="0"/>
          <w:kern w:val="0"/>
          <w:sz w:val="32"/>
          <w:szCs w:val="32"/>
          <w:highlight w:val="none"/>
          <w:shd w:val="clear" w:fill="FFFFFF"/>
          <w:lang w:val="en-US" w:eastAsia="zh-CN" w:bidi="ar"/>
        </w:rPr>
        <w:t>5</w:t>
      </w:r>
      <w:r>
        <w:rPr>
          <w:rFonts w:hint="eastAsia" w:ascii="仿宋_GB2312" w:hAnsi="ÃƒÂ¥Ã‚Â¾Ã‚Â®ÃƒÂ¨Ã‚Â½Ã‚Â¯ÃƒÂ©Ã¢â" w:eastAsia="仿宋_GB2312" w:cs="仿宋_GB2312"/>
          <w:i w:val="0"/>
          <w:caps w:val="0"/>
          <w:color w:val="auto"/>
          <w:spacing w:val="0"/>
          <w:kern w:val="0"/>
          <w:sz w:val="32"/>
          <w:szCs w:val="32"/>
          <w:highlight w:val="none"/>
          <w:shd w:val="clear" w:fill="FFFFFF"/>
          <w:lang w:val="en-US" w:eastAsia="zh-CN" w:bidi="ar"/>
        </w:rPr>
        <w:t>篇，专家解读2篇，媒体解读8篇，新闻发布会</w:t>
      </w:r>
      <w:r>
        <w:rPr>
          <w:rFonts w:hint="eastAsia" w:ascii="仿宋_GB2312" w:hAnsi="Calibri" w:eastAsia="仿宋_GB2312" w:cs="仿宋_GB2312"/>
          <w:i w:val="0"/>
          <w:caps w:val="0"/>
          <w:color w:val="auto"/>
          <w:spacing w:val="0"/>
          <w:kern w:val="0"/>
          <w:sz w:val="32"/>
          <w:szCs w:val="32"/>
          <w:highlight w:val="none"/>
          <w:shd w:val="clear" w:fill="FFFFFF"/>
          <w:lang w:val="en-US" w:eastAsia="zh-CN" w:bidi="ar"/>
        </w:rPr>
        <w:t>4</w:t>
      </w:r>
      <w:r>
        <w:rPr>
          <w:rFonts w:hint="eastAsia" w:ascii="仿宋_GB2312" w:hAnsi="ÃƒÂ¥Ã‚Â¾Ã‚Â®ÃƒÂ¨Ã‚Â½Ã‚Â¯ÃƒÂ©Ã¢â" w:eastAsia="仿宋_GB2312" w:cs="仿宋_GB2312"/>
          <w:i w:val="0"/>
          <w:caps w:val="0"/>
          <w:color w:val="auto"/>
          <w:spacing w:val="0"/>
          <w:kern w:val="0"/>
          <w:sz w:val="32"/>
          <w:szCs w:val="32"/>
          <w:highlight w:val="none"/>
          <w:shd w:val="clear" w:fill="FFFFFF"/>
          <w:lang w:val="en-US" w:eastAsia="zh-CN" w:bidi="ar"/>
        </w:rPr>
        <w:t>篇，简明问答</w:t>
      </w:r>
      <w:r>
        <w:rPr>
          <w:rFonts w:hint="eastAsia" w:ascii="仿宋_GB2312" w:hAnsi="Calibri" w:eastAsia="仿宋_GB2312" w:cs="仿宋_GB2312"/>
          <w:i w:val="0"/>
          <w:caps w:val="0"/>
          <w:color w:val="auto"/>
          <w:spacing w:val="0"/>
          <w:kern w:val="0"/>
          <w:sz w:val="32"/>
          <w:szCs w:val="32"/>
          <w:highlight w:val="none"/>
          <w:shd w:val="clear" w:fill="FFFFFF"/>
          <w:lang w:val="en-US" w:eastAsia="zh-CN" w:bidi="ar"/>
        </w:rPr>
        <w:t>2</w:t>
      </w:r>
      <w:r>
        <w:rPr>
          <w:rFonts w:hint="eastAsia" w:ascii="仿宋_GB2312" w:hAnsi="ÃƒÂ¥Ã‚Â¾Ã‚Â®ÃƒÂ¨Ã‚Â½Ã‚Â¯ÃƒÂ©Ã¢â" w:eastAsia="仿宋_GB2312" w:cs="仿宋_GB2312"/>
          <w:i w:val="0"/>
          <w:caps w:val="0"/>
          <w:color w:val="auto"/>
          <w:spacing w:val="0"/>
          <w:kern w:val="0"/>
          <w:sz w:val="32"/>
          <w:szCs w:val="32"/>
          <w:highlight w:val="none"/>
          <w:shd w:val="clear" w:fill="FFFFFF"/>
          <w:lang w:val="en-US" w:eastAsia="zh-CN" w:bidi="ar"/>
        </w:rPr>
        <w:t>篇，图文解读</w:t>
      </w:r>
      <w:r>
        <w:rPr>
          <w:rFonts w:hint="eastAsia" w:ascii="仿宋_GB2312" w:hAnsi="Calibri" w:eastAsia="仿宋_GB2312" w:cs="仿宋_GB2312"/>
          <w:i w:val="0"/>
          <w:caps w:val="0"/>
          <w:color w:val="auto"/>
          <w:spacing w:val="0"/>
          <w:kern w:val="0"/>
          <w:sz w:val="32"/>
          <w:szCs w:val="32"/>
          <w:highlight w:val="none"/>
          <w:shd w:val="clear" w:fill="FFFFFF"/>
          <w:lang w:val="en-US" w:eastAsia="zh-CN" w:bidi="ar"/>
        </w:rPr>
        <w:t>13</w:t>
      </w:r>
      <w:r>
        <w:rPr>
          <w:rFonts w:hint="eastAsia" w:ascii="仿宋_GB2312" w:hAnsi="ÃƒÂ¥Ã‚Â¾Ã‚Â®ÃƒÂ¨Ã‚Â½Ã‚Â¯ÃƒÂ©Ã¢â" w:eastAsia="仿宋_GB2312" w:cs="仿宋_GB2312"/>
          <w:i w:val="0"/>
          <w:caps w:val="0"/>
          <w:color w:val="auto"/>
          <w:spacing w:val="0"/>
          <w:kern w:val="0"/>
          <w:sz w:val="32"/>
          <w:szCs w:val="32"/>
          <w:highlight w:val="none"/>
          <w:shd w:val="clear" w:fill="FFFFFF"/>
          <w:lang w:val="en-US" w:eastAsia="zh-CN" w:bidi="ar"/>
        </w:rPr>
        <w:t>篇，视频解读7篇。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both"/>
        <w:rPr>
          <w:rFonts w:hint="eastAsia" w:ascii="仿宋_GB2312" w:hAnsi="微软雅黑" w:eastAsia="仿宋_GB2312" w:cs="仿宋_GB2312"/>
          <w:i w:val="0"/>
          <w:iCs w:val="0"/>
          <w:caps w:val="0"/>
          <w:color w:val="000000"/>
          <w:spacing w:val="0"/>
          <w:sz w:val="32"/>
          <w:szCs w:val="32"/>
        </w:rPr>
      </w:pPr>
      <w:r>
        <w:rPr>
          <w:rFonts w:hint="eastAsia" w:ascii="仿宋_GB2312" w:hAnsi="宋体" w:eastAsia="仿宋_GB2312" w:cs="仿宋_GB2312"/>
          <w:i w:val="0"/>
          <w:caps w:val="0"/>
          <w:color w:val="000000"/>
          <w:spacing w:val="0"/>
          <w:kern w:val="0"/>
          <w:sz w:val="32"/>
          <w:szCs w:val="32"/>
          <w:highlight w:val="none"/>
          <w:lang w:val="en-US" w:eastAsia="zh-CN" w:bidi="ar"/>
        </w:rPr>
        <w:drawing>
          <wp:anchor distT="0" distB="0" distL="114300" distR="114300" simplePos="0" relativeHeight="251659264" behindDoc="0" locked="0" layoutInCell="1" allowOverlap="1">
            <wp:simplePos x="0" y="0"/>
            <wp:positionH relativeFrom="column">
              <wp:posOffset>167005</wp:posOffset>
            </wp:positionH>
            <wp:positionV relativeFrom="paragraph">
              <wp:posOffset>64770</wp:posOffset>
            </wp:positionV>
            <wp:extent cx="5080000" cy="2954655"/>
            <wp:effectExtent l="4445" t="4445" r="5715" b="43180"/>
            <wp:wrapTopAndBottom/>
            <wp:docPr id="3" name="图表 3" descr="7b0a202020202263686172745265734964223a20223230343734393631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ascii="仿宋_GB2312" w:hAnsi="微软雅黑" w:eastAsia="仿宋_GB2312" w:cs="仿宋_GB2312"/>
          <w:b/>
          <w:bCs/>
          <w:i w:val="0"/>
          <w:iCs w:val="0"/>
          <w:caps w:val="0"/>
          <w:color w:val="000000"/>
          <w:spacing w:val="0"/>
          <w:kern w:val="0"/>
          <w:sz w:val="32"/>
          <w:szCs w:val="32"/>
          <w:lang w:val="en-US" w:eastAsia="zh-CN" w:bidi="ar"/>
        </w:rPr>
        <w:t>2</w:t>
      </w:r>
      <w:r>
        <w:rPr>
          <w:rFonts w:hint="eastAsia" w:ascii="仿宋_GB2312" w:hAnsi="微软雅黑" w:eastAsia="仿宋_GB2312" w:cs="仿宋_GB2312"/>
          <w:b/>
          <w:bCs/>
          <w:i w:val="0"/>
          <w:iCs w:val="0"/>
          <w:caps w:val="0"/>
          <w:color w:val="000000"/>
          <w:spacing w:val="0"/>
          <w:kern w:val="0"/>
          <w:sz w:val="32"/>
          <w:szCs w:val="32"/>
          <w:lang w:val="en-US" w:eastAsia="zh-CN" w:bidi="ar"/>
        </w:rPr>
        <w:t>.加强政民互动与交流。</w:t>
      </w:r>
      <w:r>
        <w:rPr>
          <w:rFonts w:hint="eastAsia" w:ascii="仿宋_GB2312" w:hAnsi="微软雅黑" w:eastAsia="仿宋_GB2312" w:cs="仿宋_GB2312"/>
          <w:i w:val="0"/>
          <w:iCs w:val="0"/>
          <w:caps w:val="0"/>
          <w:color w:val="000000"/>
          <w:spacing w:val="0"/>
          <w:sz w:val="32"/>
          <w:szCs w:val="32"/>
        </w:rPr>
        <w:t>发布202</w:t>
      </w:r>
      <w:r>
        <w:rPr>
          <w:rFonts w:hint="eastAsia" w:ascii="仿宋_GB2312" w:hAnsi="微软雅黑" w:eastAsia="仿宋_GB2312" w:cs="仿宋_GB2312"/>
          <w:i w:val="0"/>
          <w:iCs w:val="0"/>
          <w:caps w:val="0"/>
          <w:color w:val="000000"/>
          <w:spacing w:val="0"/>
          <w:sz w:val="32"/>
          <w:szCs w:val="32"/>
          <w:lang w:val="en-US" w:eastAsia="zh-CN"/>
        </w:rPr>
        <w:t>4</w:t>
      </w:r>
      <w:r>
        <w:rPr>
          <w:rFonts w:hint="eastAsia" w:ascii="仿宋_GB2312" w:hAnsi="微软雅黑" w:eastAsia="仿宋_GB2312" w:cs="仿宋_GB2312"/>
          <w:i w:val="0"/>
          <w:iCs w:val="0"/>
          <w:caps w:val="0"/>
          <w:color w:val="000000"/>
          <w:spacing w:val="0"/>
          <w:sz w:val="32"/>
          <w:szCs w:val="32"/>
        </w:rPr>
        <w:t>年重大行政决策意见征集，归集展示决策草案、草案解读、意见征集采纳情况，对于群众提出的意见建议严谨评估，加强反馈；开展“政府开放月活动”，</w:t>
      </w:r>
      <w:r>
        <w:rPr>
          <w:rFonts w:hint="eastAsia" w:ascii="仿宋_GB2312" w:hAnsi="微软雅黑" w:eastAsia="仿宋_GB2312" w:cs="仿宋_GB2312"/>
          <w:i w:val="0"/>
          <w:iCs w:val="0"/>
          <w:caps w:val="0"/>
          <w:color w:val="000000"/>
          <w:spacing w:val="0"/>
          <w:sz w:val="32"/>
          <w:szCs w:val="32"/>
          <w:lang w:val="en-US" w:eastAsia="zh-CN"/>
        </w:rPr>
        <w:t>举办活动34场次，</w:t>
      </w:r>
      <w:r>
        <w:rPr>
          <w:rFonts w:hint="eastAsia" w:ascii="仿宋_GB2312" w:hAnsi="微软雅黑" w:eastAsia="仿宋_GB2312" w:cs="仿宋_GB2312"/>
          <w:i w:val="0"/>
          <w:iCs w:val="0"/>
          <w:caps w:val="0"/>
          <w:color w:val="000000"/>
          <w:spacing w:val="0"/>
          <w:sz w:val="32"/>
          <w:szCs w:val="32"/>
        </w:rPr>
        <w:t>邀请企业、群众、社会各界代表走进政府机关了解机构职能、工作流程。</w:t>
      </w:r>
    </w:p>
    <w:p>
      <w:pPr>
        <w:pStyle w:val="2"/>
        <w:rPr>
          <w:rFonts w:hint="eastAsia" w:eastAsia="仿宋_GB2312"/>
          <w:lang w:eastAsia="zh-CN"/>
        </w:rPr>
      </w:pPr>
      <w:r>
        <w:rPr>
          <w:rFonts w:hint="eastAsia" w:eastAsia="仿宋_GB2312"/>
          <w:lang w:eastAsia="zh-CN"/>
        </w:rPr>
        <w:drawing>
          <wp:anchor distT="0" distB="0" distL="114300" distR="114300" simplePos="0" relativeHeight="251664384" behindDoc="0" locked="0" layoutInCell="1" allowOverlap="1">
            <wp:simplePos x="0" y="0"/>
            <wp:positionH relativeFrom="column">
              <wp:posOffset>-240030</wp:posOffset>
            </wp:positionH>
            <wp:positionV relativeFrom="paragraph">
              <wp:posOffset>20955</wp:posOffset>
            </wp:positionV>
            <wp:extent cx="5785485" cy="3308985"/>
            <wp:effectExtent l="0" t="0" r="5715" b="5715"/>
            <wp:wrapNone/>
            <wp:docPr id="9" name="图片 9" descr="截图-www.tengzhou.gov.cn-2025.01.08-14_38_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截图-www.tengzhou.gov.cn-2025.01.08-14_38_28"/>
                    <pic:cNvPicPr>
                      <a:picLocks noChangeAspect="true"/>
                    </pic:cNvPicPr>
                  </pic:nvPicPr>
                  <pic:blipFill>
                    <a:blip r:embed="rId9"/>
                    <a:stretch>
                      <a:fillRect/>
                    </a:stretch>
                  </pic:blipFill>
                  <pic:spPr>
                    <a:xfrm>
                      <a:off x="0" y="0"/>
                      <a:ext cx="5785485" cy="3308985"/>
                    </a:xfrm>
                    <a:prstGeom prst="rect">
                      <a:avLst/>
                    </a:prstGeom>
                  </pic:spPr>
                </pic:pic>
              </a:graphicData>
            </a:graphic>
          </wp:anchor>
        </w:drawing>
      </w:r>
    </w:p>
    <w:p>
      <w:pPr>
        <w:pStyle w:val="2"/>
        <w:rPr>
          <w:rFonts w:hint="eastAsia" w:eastAsia="仿宋_GB2312"/>
          <w:lang w:eastAsia="zh-CN"/>
        </w:rPr>
      </w:pPr>
    </w:p>
    <w:p>
      <w:pPr>
        <w:pStyle w:val="2"/>
        <w:rPr>
          <w:rFonts w:hint="eastAsia" w:eastAsia="仿宋_GB2312"/>
          <w:lang w:eastAsia="zh-CN"/>
        </w:rPr>
      </w:pPr>
    </w:p>
    <w:p>
      <w:pPr>
        <w:pStyle w:val="2"/>
        <w:rPr>
          <w:rFonts w:hint="eastAsia" w:eastAsia="仿宋_GB2312"/>
          <w:lang w:eastAsia="zh-CN"/>
        </w:rPr>
      </w:pPr>
    </w:p>
    <w:p>
      <w:pPr>
        <w:pStyle w:val="2"/>
        <w:rPr>
          <w:rFonts w:hint="eastAsia" w:eastAsia="仿宋_GB2312"/>
          <w:lang w:eastAsia="zh-CN"/>
        </w:rPr>
      </w:pPr>
    </w:p>
    <w:p>
      <w:pPr>
        <w:pStyle w:val="2"/>
        <w:rPr>
          <w:rFonts w:hint="eastAsia" w:eastAsia="仿宋_GB2312"/>
          <w:lang w:eastAsia="zh-CN"/>
        </w:rPr>
      </w:pPr>
    </w:p>
    <w:p>
      <w:pPr>
        <w:rPr>
          <w:rFonts w:hint="eastAsia" w:eastAsia="仿宋_GB2312"/>
          <w:lang w:eastAsia="zh-CN"/>
        </w:rPr>
      </w:pPr>
    </w:p>
    <w:p>
      <w:pPr>
        <w:pStyle w:val="2"/>
        <w:rPr>
          <w:rFonts w:hint="eastAsia"/>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jc w:val="left"/>
        <w:rPr>
          <w:rFonts w:ascii="仿宋_GB2312" w:hAnsi="微软雅黑" w:eastAsia="仿宋_GB2312" w:cs="仿宋_GB2312"/>
          <w:b/>
          <w:bCs/>
          <w:i w:val="0"/>
          <w:iCs w:val="0"/>
          <w:caps w:val="0"/>
          <w:color w:val="000000"/>
          <w:spacing w:val="0"/>
          <w:kern w:val="0"/>
          <w:sz w:val="32"/>
          <w:szCs w:val="32"/>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hint="eastAsia" w:ascii="微软雅黑" w:hAnsi="微软雅黑" w:eastAsia="微软雅黑" w:cs="微软雅黑"/>
          <w:i w:val="0"/>
          <w:iCs w:val="0"/>
          <w:caps w:val="0"/>
          <w:color w:val="000000"/>
          <w:spacing w:val="0"/>
          <w:sz w:val="19"/>
          <w:szCs w:val="19"/>
        </w:rPr>
      </w:pPr>
      <w:r>
        <w:rPr>
          <w:rFonts w:ascii="仿宋_GB2312" w:hAnsi="微软雅黑" w:eastAsia="仿宋_GB2312" w:cs="仿宋_GB2312"/>
          <w:b/>
          <w:bCs/>
          <w:i w:val="0"/>
          <w:iCs w:val="0"/>
          <w:caps w:val="0"/>
          <w:color w:val="000000"/>
          <w:spacing w:val="0"/>
          <w:kern w:val="0"/>
          <w:sz w:val="32"/>
          <w:szCs w:val="32"/>
          <w:lang w:val="en-US" w:eastAsia="zh-CN" w:bidi="ar"/>
        </w:rPr>
        <w:t>3.完善基础信息公开</w:t>
      </w:r>
      <w:r>
        <w:rPr>
          <w:rFonts w:hint="eastAsia" w:ascii="仿宋_GB2312" w:hAnsi="微软雅黑" w:eastAsia="仿宋_GB2312" w:cs="仿宋_GB2312"/>
          <w:b/>
          <w:bCs/>
          <w:i w:val="0"/>
          <w:iCs w:val="0"/>
          <w:caps w:val="0"/>
          <w:color w:val="000000"/>
          <w:spacing w:val="0"/>
          <w:kern w:val="0"/>
          <w:sz w:val="32"/>
          <w:szCs w:val="32"/>
          <w:lang w:val="en-US" w:eastAsia="zh-CN" w:bidi="ar"/>
        </w:rPr>
        <w:t>。</w:t>
      </w:r>
      <w:r>
        <w:rPr>
          <w:rFonts w:hint="eastAsia" w:ascii="仿宋_GB2312" w:hAnsi="微软雅黑" w:eastAsia="仿宋_GB2312" w:cs="仿宋_GB2312"/>
          <w:i w:val="0"/>
          <w:iCs w:val="0"/>
          <w:caps w:val="0"/>
          <w:color w:val="000000"/>
          <w:spacing w:val="0"/>
          <w:sz w:val="32"/>
          <w:szCs w:val="32"/>
        </w:rPr>
        <w:t>及时发布并实时更新规划信息、机构职能、财务信息、政务公开培训信息等法定基础公开内容，全年共发布信息</w:t>
      </w:r>
      <w:r>
        <w:rPr>
          <w:rFonts w:hint="eastAsia" w:ascii="仿宋_GB2312" w:hAnsi="微软雅黑" w:eastAsia="仿宋_GB2312" w:cs="仿宋_GB2312"/>
          <w:i w:val="0"/>
          <w:iCs w:val="0"/>
          <w:caps w:val="0"/>
          <w:color w:val="000000"/>
          <w:spacing w:val="0"/>
          <w:sz w:val="32"/>
          <w:szCs w:val="32"/>
          <w:lang w:val="en-US" w:eastAsia="zh-CN"/>
        </w:rPr>
        <w:t>491</w:t>
      </w:r>
      <w:r>
        <w:rPr>
          <w:rFonts w:hint="eastAsia" w:ascii="仿宋_GB2312" w:hAnsi="微软雅黑" w:eastAsia="仿宋_GB2312" w:cs="仿宋_GB2312"/>
          <w:i w:val="0"/>
          <w:iCs w:val="0"/>
          <w:caps w:val="0"/>
          <w:color w:val="000000"/>
          <w:spacing w:val="0"/>
          <w:sz w:val="32"/>
          <w:szCs w:val="32"/>
        </w:rPr>
        <w:t>条。</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（二）依申请公开情况</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宋体" w:eastAsia="仿宋_GB2312" w:cs="仿宋_GB2312"/>
          <w:i w:val="0"/>
          <w:caps w:val="0"/>
          <w:color w:val="000000"/>
          <w:spacing w:val="0"/>
          <w:kern w:val="0"/>
          <w:sz w:val="32"/>
          <w:szCs w:val="32"/>
          <w:highlight w:val="none"/>
          <w:lang w:val="en-US" w:eastAsia="zh-CN" w:bidi="ar"/>
        </w:rPr>
      </w:pPr>
      <w:r>
        <w:rPr>
          <w:rFonts w:hint="eastAsia" w:ascii="仿宋_GB2312" w:hAnsi="宋体" w:eastAsia="仿宋_GB2312" w:cs="仿宋_GB2312"/>
          <w:i w:val="0"/>
          <w:caps w:val="0"/>
          <w:color w:val="000000"/>
          <w:spacing w:val="0"/>
          <w:kern w:val="0"/>
          <w:sz w:val="32"/>
          <w:szCs w:val="32"/>
          <w:highlight w:val="none"/>
          <w:lang w:val="en-US" w:eastAsia="zh-CN" w:bidi="ar"/>
        </w:rPr>
        <w:t>2024年全年新收到政府信息公开申请</w:t>
      </w:r>
      <w:r>
        <w:rPr>
          <w:rFonts w:hint="eastAsia" w:ascii="仿宋_GB2312" w:hAnsi="宋体" w:eastAsia="仿宋_GB2312" w:cs="仿宋_GB2312"/>
          <w:i w:val="0"/>
          <w:caps w:val="0"/>
          <w:color w:val="auto"/>
          <w:spacing w:val="0"/>
          <w:kern w:val="0"/>
          <w:sz w:val="32"/>
          <w:szCs w:val="32"/>
          <w:highlight w:val="none"/>
          <w:lang w:val="en-US" w:eastAsia="zh-CN" w:bidi="ar"/>
        </w:rPr>
        <w:t>68</w:t>
      </w:r>
      <w:r>
        <w:rPr>
          <w:rFonts w:hint="eastAsia" w:ascii="仿宋_GB2312" w:hAnsi="宋体" w:eastAsia="仿宋_GB2312" w:cs="仿宋_GB2312"/>
          <w:i w:val="0"/>
          <w:caps w:val="0"/>
          <w:color w:val="000000"/>
          <w:spacing w:val="0"/>
          <w:kern w:val="0"/>
          <w:sz w:val="32"/>
          <w:szCs w:val="32"/>
          <w:highlight w:val="none"/>
          <w:lang w:val="en-US" w:eastAsia="zh-CN" w:bidi="ar"/>
        </w:rPr>
        <w:t>件，上年结转4件，总计72件。其中，自然人申请71件，商业企业1件。办理总体数量与上年相比大幅度缩减，下降44.6%。从申请内容看，主要涉及土地征收、房屋拆迁等方面。从申请答复看，予以公开22件；部分公开21件；本机关不掌握相关信息16件；涉及商业秘密2件；重复申请1件；逾期未缴费3件；不予处理1件。</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仿宋_GB2312" w:hAnsi="宋体" w:eastAsia="仿宋_GB2312" w:cs="仿宋_GB2312"/>
          <w:i w:val="0"/>
          <w:caps w:val="0"/>
          <w:color w:val="000000"/>
          <w:spacing w:val="0"/>
          <w:kern w:val="0"/>
          <w:sz w:val="32"/>
          <w:szCs w:val="32"/>
          <w:highlight w:val="none"/>
          <w:lang w:val="en-US" w:eastAsia="zh-CN" w:bidi="ar"/>
        </w:rPr>
      </w:pPr>
      <w:r>
        <w:rPr>
          <w:rFonts w:hint="eastAsia" w:ascii="仿宋_GB2312" w:hAnsi="宋体" w:eastAsia="仿宋_GB2312" w:cs="仿宋_GB2312"/>
          <w:i w:val="0"/>
          <w:caps w:val="0"/>
          <w:color w:val="000000"/>
          <w:spacing w:val="0"/>
          <w:kern w:val="0"/>
          <w:sz w:val="32"/>
          <w:szCs w:val="32"/>
          <w:highlight w:val="none"/>
          <w:lang w:val="en-US" w:eastAsia="zh-CN" w:bidi="ar"/>
        </w:rPr>
        <w:t>共办理政府信息公开行政复议2件，尚未审结1件，撤销1件；行政诉讼4件，结果维持4件。</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800" w:firstLineChars="200"/>
        <w:jc w:val="left"/>
        <w:textAlignment w:val="auto"/>
        <w:rPr>
          <w:rFonts w:hint="eastAsia" w:ascii="仿宋_GB2312" w:hAnsi="宋体" w:eastAsia="仿宋_GB2312" w:cs="仿宋_GB2312"/>
          <w:i w:val="0"/>
          <w:caps w:val="0"/>
          <w:color w:val="000000"/>
          <w:spacing w:val="0"/>
          <w:kern w:val="0"/>
          <w:sz w:val="32"/>
          <w:szCs w:val="32"/>
          <w:highlight w:val="none"/>
          <w:lang w:val="en-US" w:eastAsia="zh-CN" w:bidi="ar"/>
        </w:rPr>
      </w:pPr>
      <w:r>
        <w:rPr>
          <w:rFonts w:hint="eastAsia" w:ascii="仿宋_GB2312" w:hAnsi="宋体" w:eastAsia="仿宋_GB2312" w:cs="仿宋_GB2312"/>
          <w:i w:val="0"/>
          <w:caps w:val="0"/>
          <w:color w:val="FF0000"/>
          <w:spacing w:val="0"/>
          <w:kern w:val="0"/>
          <w:sz w:val="40"/>
          <w:szCs w:val="40"/>
          <w:highlight w:val="yellow"/>
          <w:lang w:val="en-US" w:eastAsia="zh-CN" w:bidi="ar"/>
        </w:rPr>
        <w:drawing>
          <wp:anchor distT="0" distB="0" distL="114300" distR="114300" simplePos="0" relativeHeight="251661312" behindDoc="0" locked="0" layoutInCell="1" allowOverlap="1">
            <wp:simplePos x="0" y="0"/>
            <wp:positionH relativeFrom="column">
              <wp:posOffset>142875</wp:posOffset>
            </wp:positionH>
            <wp:positionV relativeFrom="paragraph">
              <wp:posOffset>-468630</wp:posOffset>
            </wp:positionV>
            <wp:extent cx="4779010" cy="3493135"/>
            <wp:effectExtent l="0" t="0" r="2540" b="12065"/>
            <wp:wrapTopAndBottom/>
            <wp:docPr id="14" name="图表 14" descr="7b0a202020202263686172745265734964223a20223230343732333131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640" w:firstLineChars="200"/>
        <w:jc w:val="left"/>
        <w:textAlignment w:val="auto"/>
        <w:rPr>
          <w:rFonts w:hint="eastAsia" w:ascii="仿宋_GB2312" w:hAnsi="宋体" w:eastAsia="仿宋_GB2312" w:cs="仿宋_GB2312"/>
          <w:i w:val="0"/>
          <w:caps w:val="0"/>
          <w:color w:val="000000"/>
          <w:spacing w:val="0"/>
          <w:kern w:val="0"/>
          <w:sz w:val="32"/>
          <w:szCs w:val="32"/>
          <w:highlight w:val="none"/>
          <w:lang w:val="en-US" w:eastAsia="zh-CN" w:bidi="ar"/>
        </w:rPr>
      </w:pP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center"/>
        <w:textAlignment w:val="auto"/>
        <w:rPr>
          <w:rFonts w:hint="eastAsia" w:ascii="仿宋_GB2312" w:hAnsi="宋体" w:eastAsia="仿宋_GB2312" w:cs="仿宋_GB2312"/>
          <w:i w:val="0"/>
          <w:caps w:val="0"/>
          <w:color w:val="000000"/>
          <w:spacing w:val="0"/>
          <w:kern w:val="0"/>
          <w:sz w:val="28"/>
          <w:szCs w:val="28"/>
          <w:highlight w:val="none"/>
          <w:lang w:val="en-US" w:eastAsia="zh-CN" w:bidi="ar"/>
        </w:rPr>
      </w:pPr>
      <w:r>
        <w:rPr>
          <w:rFonts w:hint="eastAsia" w:ascii="仿宋_GB2312" w:hAnsi="宋体" w:eastAsia="仿宋_GB2312" w:cs="仿宋_GB2312"/>
          <w:i w:val="0"/>
          <w:caps w:val="0"/>
          <w:color w:val="000000"/>
          <w:spacing w:val="0"/>
          <w:kern w:val="0"/>
          <w:sz w:val="28"/>
          <w:szCs w:val="28"/>
          <w:highlight w:val="none"/>
          <w:lang w:val="en-US" w:eastAsia="zh-CN" w:bidi="ar"/>
        </w:rPr>
        <w:t xml:space="preserve">     2020—2024年滕州市人民政府办公室依申请公开办理数据对比</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480" w:firstLineChars="200"/>
        <w:jc w:val="left"/>
        <w:textAlignment w:val="auto"/>
        <w:rPr>
          <w:rFonts w:hint="eastAsia" w:ascii="仿宋_GB2312" w:hAnsi="宋体" w:eastAsia="仿宋_GB2312" w:cs="仿宋_GB2312"/>
          <w:i w:val="0"/>
          <w:caps w:val="0"/>
          <w:color w:val="000000"/>
          <w:spacing w:val="0"/>
          <w:kern w:val="0"/>
          <w:sz w:val="32"/>
          <w:szCs w:val="32"/>
          <w:highlight w:val="none"/>
          <w:lang w:val="en-US" w:eastAsia="zh-CN" w:bidi="ar"/>
        </w:rPr>
      </w:pPr>
      <w:r>
        <w:drawing>
          <wp:inline distT="0" distB="0" distL="114300" distR="114300">
            <wp:extent cx="4924425" cy="2733675"/>
            <wp:effectExtent l="4445" t="4445" r="5080" b="508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宋体" w:eastAsia="仿宋_GB2312" w:cs="仿宋_GB2312"/>
          <w:i w:val="0"/>
          <w:caps w:val="0"/>
          <w:color w:val="000000"/>
          <w:spacing w:val="0"/>
          <w:kern w:val="0"/>
          <w:sz w:val="32"/>
          <w:szCs w:val="32"/>
          <w:lang w:val="en-US" w:eastAsia="zh-CN" w:bidi="ar"/>
        </w:rPr>
      </w:pPr>
      <w:r>
        <w:rPr>
          <w:rFonts w:hint="eastAsia" w:ascii="仿宋_GB2312" w:hAnsi="宋体" w:eastAsia="仿宋_GB2312" w:cs="仿宋_GB2312"/>
          <w:i w:val="0"/>
          <w:iCs w:val="0"/>
          <w:caps w:val="0"/>
          <w:color w:val="000000"/>
          <w:spacing w:val="0"/>
          <w:sz w:val="32"/>
          <w:szCs w:val="32"/>
          <w:lang w:val="en-US" w:eastAsia="zh-CN"/>
        </w:rPr>
        <w:t>同时，</w:t>
      </w:r>
      <w:r>
        <w:rPr>
          <w:rFonts w:ascii="仿宋_GB2312" w:hAnsi="宋体" w:eastAsia="仿宋_GB2312" w:cs="仿宋_GB2312"/>
          <w:i w:val="0"/>
          <w:iCs w:val="0"/>
          <w:caps w:val="0"/>
          <w:color w:val="000000"/>
          <w:spacing w:val="0"/>
          <w:sz w:val="32"/>
          <w:szCs w:val="32"/>
        </w:rPr>
        <w:t>为</w:t>
      </w:r>
      <w:r>
        <w:rPr>
          <w:rFonts w:hint="eastAsia" w:ascii="仿宋_GB2312" w:hAnsi="宋体" w:eastAsia="仿宋_GB2312" w:cs="仿宋_GB2312"/>
          <w:i w:val="0"/>
          <w:iCs w:val="0"/>
          <w:caps w:val="0"/>
          <w:color w:val="000000"/>
          <w:spacing w:val="0"/>
          <w:sz w:val="32"/>
          <w:szCs w:val="32"/>
          <w:lang w:eastAsia="zh-CN"/>
        </w:rPr>
        <w:t>加强</w:t>
      </w:r>
      <w:r>
        <w:rPr>
          <w:rFonts w:hint="eastAsia" w:ascii="仿宋_GB2312" w:hAnsi="宋体" w:eastAsia="仿宋_GB2312" w:cs="仿宋_GB2312"/>
          <w:i w:val="0"/>
          <w:iCs w:val="0"/>
          <w:caps w:val="0"/>
          <w:color w:val="000000"/>
          <w:spacing w:val="0"/>
          <w:sz w:val="32"/>
          <w:szCs w:val="32"/>
        </w:rPr>
        <w:t>政府信息告知书规范性，</w:t>
      </w:r>
      <w:r>
        <w:rPr>
          <w:rFonts w:hint="eastAsia" w:ascii="仿宋_GB2312" w:hAnsi="宋体" w:eastAsia="仿宋_GB2312" w:cs="仿宋_GB2312"/>
          <w:i w:val="0"/>
          <w:iCs w:val="0"/>
          <w:caps w:val="0"/>
          <w:color w:val="000000"/>
          <w:spacing w:val="0"/>
          <w:sz w:val="32"/>
          <w:szCs w:val="32"/>
          <w:lang w:eastAsia="zh-CN"/>
        </w:rPr>
        <w:t>通过</w:t>
      </w:r>
      <w:r>
        <w:rPr>
          <w:rFonts w:hint="eastAsia" w:ascii="仿宋_GB2312" w:hAnsi="宋体" w:eastAsia="仿宋_GB2312" w:cs="仿宋_GB2312"/>
          <w:i w:val="0"/>
          <w:iCs w:val="0"/>
          <w:caps w:val="0"/>
          <w:color w:val="000000"/>
          <w:spacing w:val="0"/>
          <w:sz w:val="32"/>
          <w:szCs w:val="32"/>
          <w:lang w:val="en-US" w:eastAsia="zh-CN"/>
        </w:rPr>
        <w:t>严格</w:t>
      </w:r>
      <w:r>
        <w:rPr>
          <w:rFonts w:hint="eastAsia" w:ascii="仿宋_GB2312" w:hAnsi="宋体" w:eastAsia="仿宋_GB2312" w:cs="仿宋_GB2312"/>
          <w:i w:val="0"/>
          <w:iCs w:val="0"/>
          <w:caps w:val="0"/>
          <w:color w:val="000000"/>
          <w:spacing w:val="0"/>
          <w:sz w:val="32"/>
          <w:szCs w:val="32"/>
        </w:rPr>
        <w:t>审核</w:t>
      </w:r>
      <w:r>
        <w:rPr>
          <w:rFonts w:hint="eastAsia" w:ascii="仿宋_GB2312" w:hAnsi="宋体" w:eastAsia="仿宋_GB2312" w:cs="仿宋_GB2312"/>
          <w:i w:val="0"/>
          <w:iCs w:val="0"/>
          <w:caps w:val="0"/>
          <w:color w:val="000000"/>
          <w:spacing w:val="0"/>
          <w:sz w:val="32"/>
          <w:szCs w:val="32"/>
          <w:lang w:eastAsia="zh-CN"/>
        </w:rPr>
        <w:t>把关、集中办公及</w:t>
      </w:r>
      <w:r>
        <w:rPr>
          <w:rFonts w:hint="eastAsia" w:ascii="仿宋_GB2312" w:hAnsi="宋体" w:eastAsia="仿宋_GB2312" w:cs="仿宋_GB2312"/>
          <w:i w:val="0"/>
          <w:iCs w:val="0"/>
          <w:caps w:val="0"/>
          <w:color w:val="000000"/>
          <w:spacing w:val="0"/>
          <w:sz w:val="32"/>
          <w:szCs w:val="32"/>
          <w:lang w:val="en-US" w:eastAsia="zh-CN"/>
        </w:rPr>
        <w:t>“一对一”指导</w:t>
      </w:r>
      <w:r>
        <w:rPr>
          <w:rFonts w:hint="eastAsia" w:ascii="仿宋_GB2312" w:hAnsi="宋体" w:eastAsia="仿宋_GB2312" w:cs="仿宋_GB2312"/>
          <w:i w:val="0"/>
          <w:iCs w:val="0"/>
          <w:caps w:val="0"/>
          <w:color w:val="000000"/>
          <w:spacing w:val="0"/>
          <w:sz w:val="32"/>
          <w:szCs w:val="32"/>
        </w:rPr>
        <w:t>等方式，提升依申请公开答复水平。</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楷体" w:hAnsi="楷体" w:eastAsia="楷体" w:cs="楷体"/>
          <w:kern w:val="2"/>
          <w:sz w:val="32"/>
          <w:szCs w:val="32"/>
          <w:highlight w:val="yellow"/>
          <w:lang w:val="en-US" w:eastAsia="zh-CN" w:bidi="ar-SA"/>
        </w:rPr>
      </w:pPr>
      <w:r>
        <w:rPr>
          <w:rFonts w:hint="eastAsia" w:ascii="楷体" w:hAnsi="楷体" w:eastAsia="楷体" w:cs="楷体"/>
          <w:kern w:val="2"/>
          <w:sz w:val="32"/>
          <w:szCs w:val="32"/>
          <w:highlight w:val="none"/>
          <w:lang w:val="en-US" w:eastAsia="zh-CN" w:bidi="ar-SA"/>
        </w:rPr>
        <w:t>（三）政府信息管理情况</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rPr>
          <w:rFonts w:hint="default" w:ascii="仿宋_GB2312" w:hAnsi="宋体" w:eastAsia="仿宋_GB2312" w:cs="仿宋_GB2312"/>
          <w:i w:val="0"/>
          <w:caps w:val="0"/>
          <w:color w:val="000000"/>
          <w:spacing w:val="0"/>
          <w:kern w:val="0"/>
          <w:sz w:val="32"/>
          <w:szCs w:val="32"/>
          <w:lang w:val="en-US" w:eastAsia="zh-CN" w:bidi="ar"/>
        </w:rPr>
      </w:pPr>
      <w:r>
        <w:rPr>
          <w:rFonts w:hint="eastAsia" w:ascii="仿宋_GB2312" w:hAnsi="宋体" w:eastAsia="仿宋_GB2312" w:cs="仿宋_GB2312"/>
          <w:b/>
          <w:bCs/>
          <w:i w:val="0"/>
          <w:iCs w:val="0"/>
          <w:caps w:val="0"/>
          <w:color w:val="000000"/>
          <w:spacing w:val="0"/>
          <w:sz w:val="32"/>
          <w:szCs w:val="32"/>
          <w:lang w:val="en-US" w:eastAsia="zh-CN"/>
        </w:rPr>
        <w:t>一是</w:t>
      </w:r>
      <w:r>
        <w:rPr>
          <w:rFonts w:hint="eastAsia" w:ascii="仿宋_GB2312" w:hAnsi="Arial" w:eastAsia="仿宋_GB2312" w:cs="仿宋_GB2312"/>
          <w:i w:val="0"/>
          <w:caps w:val="0"/>
          <w:color w:val="000000"/>
          <w:spacing w:val="0"/>
          <w:sz w:val="32"/>
          <w:szCs w:val="32"/>
          <w:shd w:val="clear" w:color="auto" w:fill="FFFFFF"/>
          <w:lang w:val="en-US" w:eastAsia="zh-CN"/>
        </w:rPr>
        <w:t>根据省重点工作部署要求，积极开展法定主动公开事项目录梳理编制工作，完成30个部门、21个镇街法定主动公开事项目录编制工作，对于主动公开事项目录的优化提升起到规范促进作用，对规范化建设长远发展奠定坚实基础；</w:t>
      </w:r>
      <w:r>
        <w:rPr>
          <w:rFonts w:hint="eastAsia" w:ascii="仿宋_GB2312" w:hAnsi="宋体" w:eastAsia="仿宋_GB2312" w:cs="仿宋_GB2312"/>
          <w:b/>
          <w:bCs/>
          <w:i w:val="0"/>
          <w:iCs w:val="0"/>
          <w:caps w:val="0"/>
          <w:color w:val="000000"/>
          <w:spacing w:val="0"/>
          <w:sz w:val="32"/>
          <w:szCs w:val="32"/>
          <w:lang w:val="en-US" w:eastAsia="zh-CN"/>
        </w:rPr>
        <w:t>二是</w:t>
      </w:r>
      <w:r>
        <w:rPr>
          <w:rFonts w:hint="eastAsia" w:ascii="仿宋_GB2312" w:hAnsi="宋体" w:eastAsia="仿宋_GB2312" w:cs="仿宋_GB2312"/>
          <w:i w:val="0"/>
          <w:caps w:val="0"/>
          <w:color w:val="000000"/>
          <w:spacing w:val="0"/>
          <w:kern w:val="0"/>
          <w:sz w:val="32"/>
          <w:szCs w:val="32"/>
          <w:lang w:val="en-US" w:eastAsia="zh-CN" w:bidi="ar"/>
        </w:rPr>
        <w:t>定期清理失效、废止的市政府规章以及行政规范性文件，做到与省文件库实时同步更新。</w:t>
      </w:r>
      <w:r>
        <w:rPr>
          <w:rFonts w:hint="eastAsia" w:ascii="仿宋_GB2312" w:hAnsi="宋体" w:eastAsia="仿宋_GB2312" w:cs="仿宋_GB2312"/>
          <w:b/>
          <w:bCs/>
          <w:i w:val="0"/>
          <w:caps w:val="0"/>
          <w:color w:val="000000"/>
          <w:spacing w:val="0"/>
          <w:kern w:val="0"/>
          <w:sz w:val="32"/>
          <w:szCs w:val="32"/>
          <w:lang w:val="en-US" w:eastAsia="zh-CN" w:bidi="ar"/>
        </w:rPr>
        <w:t>三是</w:t>
      </w:r>
      <w:r>
        <w:rPr>
          <w:rFonts w:ascii="仿宋_GB2312" w:hAnsi="宋体" w:eastAsia="仿宋_GB2312" w:cs="仿宋_GB2312"/>
          <w:i w:val="0"/>
          <w:caps w:val="0"/>
          <w:color w:val="000000"/>
          <w:spacing w:val="0"/>
          <w:kern w:val="0"/>
          <w:sz w:val="32"/>
          <w:szCs w:val="32"/>
          <w:lang w:val="en-US" w:eastAsia="zh-CN" w:bidi="ar"/>
        </w:rPr>
        <w:t>严格落实保密审查工作机制</w:t>
      </w:r>
      <w:r>
        <w:rPr>
          <w:rFonts w:hint="eastAsia" w:ascii="仿宋_GB2312" w:hAnsi="宋体" w:eastAsia="仿宋_GB2312" w:cs="仿宋_GB2312"/>
          <w:i w:val="0"/>
          <w:caps w:val="0"/>
          <w:color w:val="000000"/>
          <w:spacing w:val="0"/>
          <w:kern w:val="0"/>
          <w:sz w:val="32"/>
          <w:szCs w:val="32"/>
          <w:lang w:val="en-US" w:eastAsia="zh-CN" w:bidi="ar"/>
        </w:rPr>
        <w:t>，</w:t>
      </w:r>
      <w:r>
        <w:rPr>
          <w:rFonts w:ascii="仿宋_GB2312" w:hAnsi="宋体" w:eastAsia="仿宋_GB2312" w:cs="仿宋_GB2312"/>
          <w:i w:val="0"/>
          <w:caps w:val="0"/>
          <w:color w:val="000000"/>
          <w:spacing w:val="0"/>
          <w:kern w:val="0"/>
          <w:sz w:val="32"/>
          <w:szCs w:val="32"/>
          <w:lang w:val="en-US" w:eastAsia="zh-CN" w:bidi="ar"/>
        </w:rPr>
        <w:t>加强内部协同合作，严把政府信息公开保密审查关，确保应公开尽公开的同时不泄密</w:t>
      </w:r>
      <w:r>
        <w:rPr>
          <w:rFonts w:hint="eastAsia" w:ascii="仿宋_GB2312" w:hAnsi="宋体" w:eastAsia="仿宋_GB2312" w:cs="仿宋_GB2312"/>
          <w:i w:val="0"/>
          <w:caps w:val="0"/>
          <w:color w:val="000000"/>
          <w:spacing w:val="0"/>
          <w:kern w:val="0"/>
          <w:sz w:val="32"/>
          <w:szCs w:val="32"/>
          <w:lang w:val="en-US" w:eastAsia="zh-CN" w:bidi="ar"/>
        </w:rPr>
        <w:t>；</w:t>
      </w:r>
      <w:r>
        <w:rPr>
          <w:rFonts w:hint="eastAsia" w:ascii="仿宋_GB2312" w:hAnsi="宋体" w:eastAsia="仿宋_GB2312" w:cs="仿宋_GB2312"/>
          <w:b/>
          <w:bCs/>
          <w:i w:val="0"/>
          <w:caps w:val="0"/>
          <w:color w:val="000000"/>
          <w:spacing w:val="0"/>
          <w:kern w:val="0"/>
          <w:sz w:val="32"/>
          <w:szCs w:val="32"/>
          <w:lang w:val="en-US" w:eastAsia="zh-CN" w:bidi="ar"/>
        </w:rPr>
        <w:t>四</w:t>
      </w:r>
      <w:r>
        <w:rPr>
          <w:rFonts w:hint="eastAsia" w:ascii="仿宋_GB2312" w:hAnsi="宋体" w:eastAsia="仿宋_GB2312" w:cs="仿宋_GB2312"/>
          <w:b/>
          <w:bCs/>
          <w:i w:val="0"/>
          <w:iCs w:val="0"/>
          <w:caps w:val="0"/>
          <w:color w:val="000000"/>
          <w:spacing w:val="0"/>
          <w:sz w:val="32"/>
          <w:szCs w:val="32"/>
          <w:lang w:val="en-US" w:eastAsia="zh-CN"/>
        </w:rPr>
        <w:t>是</w:t>
      </w:r>
      <w:r>
        <w:rPr>
          <w:rFonts w:hint="eastAsia" w:ascii="仿宋_GB2312" w:hAnsi="宋体" w:eastAsia="仿宋_GB2312" w:cs="仿宋_GB2312"/>
          <w:i w:val="0"/>
          <w:iCs w:val="0"/>
          <w:caps w:val="0"/>
          <w:color w:val="000000"/>
          <w:spacing w:val="0"/>
          <w:sz w:val="32"/>
          <w:szCs w:val="32"/>
          <w:lang w:val="en-US" w:eastAsia="zh-CN"/>
        </w:rPr>
        <w:t>文件库归集管理，</w:t>
      </w:r>
      <w:r>
        <w:rPr>
          <w:rFonts w:hint="eastAsia" w:ascii="仿宋_GB2312" w:hAnsi="宋体" w:eastAsia="仿宋_GB2312" w:cs="仿宋_GB2312"/>
          <w:i w:val="0"/>
          <w:iCs w:val="0"/>
          <w:caps w:val="0"/>
          <w:color w:val="000000"/>
          <w:spacing w:val="0"/>
          <w:sz w:val="32"/>
          <w:szCs w:val="32"/>
        </w:rPr>
        <w:t>将201</w:t>
      </w:r>
      <w:r>
        <w:rPr>
          <w:rFonts w:hint="eastAsia" w:ascii="仿宋_GB2312" w:hAnsi="宋体" w:eastAsia="仿宋_GB2312" w:cs="仿宋_GB2312"/>
          <w:i w:val="0"/>
          <w:iCs w:val="0"/>
          <w:caps w:val="0"/>
          <w:color w:val="000000"/>
          <w:spacing w:val="0"/>
          <w:sz w:val="32"/>
          <w:szCs w:val="32"/>
          <w:lang w:val="en-US" w:eastAsia="zh-CN"/>
        </w:rPr>
        <w:t>7</w:t>
      </w:r>
      <w:r>
        <w:rPr>
          <w:rFonts w:hint="eastAsia" w:ascii="仿宋_GB2312" w:hAnsi="宋体" w:eastAsia="仿宋_GB2312" w:cs="仿宋_GB2312"/>
          <w:i w:val="0"/>
          <w:iCs w:val="0"/>
          <w:caps w:val="0"/>
          <w:color w:val="000000"/>
          <w:spacing w:val="0"/>
          <w:sz w:val="32"/>
          <w:szCs w:val="32"/>
        </w:rPr>
        <w:t>年至今的</w:t>
      </w:r>
      <w:r>
        <w:rPr>
          <w:rFonts w:hint="eastAsia" w:ascii="仿宋_GB2312" w:hAnsi="宋体" w:eastAsia="仿宋_GB2312" w:cs="仿宋_GB2312"/>
          <w:i w:val="0"/>
          <w:iCs w:val="0"/>
          <w:caps w:val="0"/>
          <w:color w:val="000000"/>
          <w:spacing w:val="0"/>
          <w:sz w:val="32"/>
          <w:szCs w:val="32"/>
          <w:lang w:val="en-US" w:eastAsia="zh-CN"/>
        </w:rPr>
        <w:t>市</w:t>
      </w:r>
      <w:r>
        <w:rPr>
          <w:rFonts w:hint="eastAsia" w:ascii="仿宋_GB2312" w:hAnsi="宋体" w:eastAsia="仿宋_GB2312" w:cs="仿宋_GB2312"/>
          <w:i w:val="0"/>
          <w:iCs w:val="0"/>
          <w:caps w:val="0"/>
          <w:color w:val="000000"/>
          <w:spacing w:val="0"/>
          <w:sz w:val="32"/>
          <w:szCs w:val="32"/>
        </w:rPr>
        <w:t>政府文件、</w:t>
      </w:r>
      <w:r>
        <w:rPr>
          <w:rFonts w:hint="eastAsia" w:ascii="仿宋_GB2312" w:hAnsi="宋体" w:eastAsia="仿宋_GB2312" w:cs="仿宋_GB2312"/>
          <w:i w:val="0"/>
          <w:iCs w:val="0"/>
          <w:caps w:val="0"/>
          <w:color w:val="000000"/>
          <w:spacing w:val="0"/>
          <w:sz w:val="32"/>
          <w:szCs w:val="32"/>
          <w:lang w:val="en-US" w:eastAsia="zh-CN"/>
        </w:rPr>
        <w:t>市</w:t>
      </w:r>
      <w:r>
        <w:rPr>
          <w:rFonts w:hint="eastAsia" w:ascii="仿宋_GB2312" w:hAnsi="宋体" w:eastAsia="仿宋_GB2312" w:cs="仿宋_GB2312"/>
          <w:i w:val="0"/>
          <w:iCs w:val="0"/>
          <w:caps w:val="0"/>
          <w:color w:val="000000"/>
          <w:spacing w:val="0"/>
          <w:sz w:val="32"/>
          <w:szCs w:val="32"/>
        </w:rPr>
        <w:t>政府办公室</w:t>
      </w:r>
      <w:r>
        <w:rPr>
          <w:rFonts w:hint="eastAsia" w:ascii="仿宋_GB2312" w:hAnsi="宋体" w:eastAsia="仿宋_GB2312" w:cs="仿宋_GB2312"/>
          <w:i w:val="0"/>
          <w:iCs w:val="0"/>
          <w:caps w:val="0"/>
          <w:color w:val="000000"/>
          <w:spacing w:val="0"/>
          <w:sz w:val="32"/>
          <w:szCs w:val="32"/>
          <w:lang w:val="en-US" w:eastAsia="zh-CN"/>
        </w:rPr>
        <w:t>文件</w:t>
      </w:r>
      <w:r>
        <w:rPr>
          <w:rFonts w:hint="eastAsia" w:ascii="仿宋_GB2312" w:hAnsi="宋体" w:eastAsia="仿宋_GB2312" w:cs="仿宋_GB2312"/>
          <w:i w:val="0"/>
          <w:iCs w:val="0"/>
          <w:caps w:val="0"/>
          <w:color w:val="000000"/>
          <w:spacing w:val="0"/>
          <w:sz w:val="32"/>
          <w:szCs w:val="32"/>
        </w:rPr>
        <w:t>集中规范上传至政府文件库，实现更加便捷、人性化的检索服务。</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楷体" w:hAnsi="楷体" w:eastAsia="楷体" w:cs="楷体"/>
          <w:kern w:val="2"/>
          <w:sz w:val="32"/>
          <w:szCs w:val="32"/>
          <w:highlight w:val="none"/>
          <w:lang w:val="en-US" w:eastAsia="zh-CN" w:bidi="ar-SA"/>
        </w:rPr>
      </w:pPr>
      <w:r>
        <w:rPr>
          <w:rFonts w:hint="eastAsia" w:ascii="楷体" w:hAnsi="楷体" w:eastAsia="楷体" w:cs="楷体"/>
          <w:kern w:val="2"/>
          <w:sz w:val="32"/>
          <w:szCs w:val="32"/>
          <w:highlight w:val="none"/>
          <w:lang w:val="en-US" w:eastAsia="zh-CN" w:bidi="ar-SA"/>
        </w:rPr>
        <w:t>（四）平台建设情况</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rPr>
          <w:rFonts w:hint="eastAsia" w:ascii="仿宋_GB2312" w:hAnsi="宋体" w:eastAsia="仿宋_GB2312" w:cs="仿宋_GB2312"/>
          <w:i w:val="0"/>
          <w:caps w:val="0"/>
          <w:color w:val="000000"/>
          <w:spacing w:val="0"/>
          <w:kern w:val="0"/>
          <w:sz w:val="32"/>
          <w:szCs w:val="32"/>
          <w:lang w:val="en-US" w:eastAsia="zh-CN" w:bidi="ar"/>
        </w:rPr>
      </w:pPr>
      <w:r>
        <w:rPr>
          <w:rFonts w:hint="eastAsia" w:ascii="仿宋_GB2312" w:hAnsi="宋体" w:eastAsia="仿宋_GB2312" w:cs="仿宋_GB2312"/>
          <w:b/>
          <w:bCs/>
          <w:i w:val="0"/>
          <w:caps w:val="0"/>
          <w:color w:val="000000"/>
          <w:spacing w:val="0"/>
          <w:kern w:val="0"/>
          <w:sz w:val="32"/>
          <w:szCs w:val="32"/>
          <w:highlight w:val="none"/>
          <w:lang w:val="en-US" w:eastAsia="zh-CN" w:bidi="ar"/>
        </w:rPr>
        <w:t>一是</w:t>
      </w:r>
      <w:r>
        <w:rPr>
          <w:rFonts w:hint="eastAsia" w:ascii="仿宋_GB2312" w:hAnsi="宋体" w:eastAsia="仿宋_GB2312" w:cs="仿宋_GB2312"/>
          <w:i w:val="0"/>
          <w:caps w:val="0"/>
          <w:color w:val="000000"/>
          <w:spacing w:val="0"/>
          <w:kern w:val="0"/>
          <w:sz w:val="32"/>
          <w:szCs w:val="32"/>
          <w:highlight w:val="none"/>
          <w:lang w:val="en-US" w:eastAsia="zh-CN" w:bidi="ar"/>
        </w:rPr>
        <w:t>着力政府网站和政务新媒体日常监管运维，定期组织三方检测普查，全年共完成政府网站检测普查4次，新媒体检测普查4次；一年来，未出现被市政府通报的不合格页面和政务新媒体；</w:t>
      </w:r>
      <w:r>
        <w:rPr>
          <w:rFonts w:hint="eastAsia" w:ascii="仿宋_GB2312" w:hAnsi="宋体" w:eastAsia="仿宋_GB2312" w:cs="仿宋_GB2312"/>
          <w:b/>
          <w:bCs/>
          <w:i w:val="0"/>
          <w:caps w:val="0"/>
          <w:color w:val="000000"/>
          <w:spacing w:val="0"/>
          <w:kern w:val="0"/>
          <w:sz w:val="32"/>
          <w:szCs w:val="32"/>
          <w:highlight w:val="none"/>
          <w:lang w:val="en-US" w:eastAsia="zh-CN" w:bidi="ar"/>
        </w:rPr>
        <w:t>二是</w:t>
      </w:r>
      <w:r>
        <w:rPr>
          <w:rFonts w:hint="eastAsia" w:ascii="仿宋_GB2312" w:hAnsi="Arial" w:eastAsia="仿宋_GB2312" w:cs="仿宋_GB2312"/>
          <w:i w:val="0"/>
          <w:caps w:val="0"/>
          <w:color w:val="000000"/>
          <w:spacing w:val="0"/>
          <w:sz w:val="32"/>
          <w:szCs w:val="32"/>
          <w:shd w:val="clear" w:color="auto" w:fill="FFFFFF"/>
          <w:lang w:val="en-US" w:eastAsia="zh-CN"/>
        </w:rPr>
        <w:t>规范升级政务公开专区，优化政府信息查询、信息公开申请、办事咨询答复等服务，拓展政务公开专区功能，积极开展重要政策现场解读、综合政策咨询等活动，提升为民服务效能。至行政审批服务中心、界河镇、西岗镇等三级网络5个政务公开专区开展调研推动活动；</w:t>
      </w:r>
      <w:r>
        <w:rPr>
          <w:rFonts w:hint="eastAsia" w:ascii="仿宋_GB2312" w:hAnsi="宋体" w:eastAsia="仿宋_GB2312" w:cs="仿宋_GB2312"/>
          <w:b/>
          <w:bCs/>
          <w:i w:val="0"/>
          <w:caps w:val="0"/>
          <w:color w:val="000000"/>
          <w:spacing w:val="0"/>
          <w:kern w:val="0"/>
          <w:sz w:val="32"/>
          <w:szCs w:val="32"/>
          <w:lang w:val="en-US" w:eastAsia="zh-CN" w:bidi="ar"/>
        </w:rPr>
        <w:t>三是</w:t>
      </w:r>
      <w:r>
        <w:rPr>
          <w:rFonts w:hint="eastAsia" w:ascii="仿宋_GB2312" w:hAnsi="Arial" w:eastAsia="仿宋_GB2312" w:cs="仿宋_GB2312"/>
          <w:i w:val="0"/>
          <w:caps w:val="0"/>
          <w:color w:val="000000"/>
          <w:spacing w:val="0"/>
          <w:sz w:val="32"/>
          <w:szCs w:val="32"/>
          <w:shd w:val="clear" w:color="auto" w:fill="FFFFFF"/>
          <w:lang w:eastAsia="zh-CN"/>
        </w:rPr>
        <w:t>持续发挥政府公报功能。编制印发政府公报</w:t>
      </w:r>
      <w:r>
        <w:rPr>
          <w:rFonts w:hint="eastAsia" w:ascii="仿宋_GB2312" w:hAnsi="Arial" w:eastAsia="仿宋_GB2312" w:cs="仿宋_GB2312"/>
          <w:i w:val="0"/>
          <w:caps w:val="0"/>
          <w:color w:val="000000"/>
          <w:spacing w:val="0"/>
          <w:sz w:val="32"/>
          <w:szCs w:val="32"/>
          <w:highlight w:val="none"/>
          <w:shd w:val="clear" w:color="auto" w:fill="FFFFFF"/>
          <w:lang w:val="en-US" w:eastAsia="zh-CN"/>
        </w:rPr>
        <w:t>5</w:t>
      </w:r>
      <w:r>
        <w:rPr>
          <w:rFonts w:hint="eastAsia" w:ascii="仿宋_GB2312" w:hAnsi="Arial" w:eastAsia="仿宋_GB2312" w:cs="仿宋_GB2312"/>
          <w:i w:val="0"/>
          <w:caps w:val="0"/>
          <w:color w:val="000000"/>
          <w:spacing w:val="0"/>
          <w:sz w:val="32"/>
          <w:szCs w:val="32"/>
          <w:shd w:val="clear" w:color="auto" w:fill="FFFFFF"/>
          <w:lang w:val="en-US" w:eastAsia="zh-CN"/>
        </w:rPr>
        <w:t>期</w:t>
      </w:r>
      <w:r>
        <w:rPr>
          <w:rFonts w:hint="eastAsia" w:ascii="仿宋_GB2312" w:hAnsi="Arial" w:eastAsia="仿宋_GB2312" w:cs="仿宋_GB2312"/>
          <w:i w:val="0"/>
          <w:caps w:val="0"/>
          <w:color w:val="000000"/>
          <w:spacing w:val="0"/>
          <w:sz w:val="32"/>
          <w:szCs w:val="32"/>
          <w:shd w:val="clear" w:color="auto" w:fill="FFFFFF"/>
          <w:lang w:eastAsia="zh-CN"/>
        </w:rPr>
        <w:t>，除在政府公报专题页面和微信公众号发布外，及时送至各政务公开体验区、</w:t>
      </w:r>
      <w:r>
        <w:rPr>
          <w:rFonts w:hint="eastAsia" w:ascii="仿宋_GB2312" w:hAnsi="仿宋_GB2312" w:eastAsia="仿宋_GB2312" w:cs="仿宋_GB2312"/>
          <w:color w:val="auto"/>
          <w:sz w:val="32"/>
          <w:szCs w:val="32"/>
          <w:highlight w:val="none"/>
        </w:rPr>
        <w:t>档案馆</w:t>
      </w:r>
      <w:r>
        <w:rPr>
          <w:rFonts w:hint="eastAsia" w:ascii="仿宋_GB2312" w:hAnsi="仿宋_GB2312" w:eastAsia="仿宋_GB2312" w:cs="仿宋_GB2312"/>
          <w:color w:val="auto"/>
          <w:sz w:val="32"/>
          <w:szCs w:val="32"/>
          <w:highlight w:val="none"/>
          <w:lang w:eastAsia="zh-CN"/>
        </w:rPr>
        <w:t>和</w:t>
      </w:r>
      <w:r>
        <w:rPr>
          <w:rFonts w:hint="eastAsia" w:ascii="仿宋_GB2312" w:hAnsi="仿宋_GB2312" w:eastAsia="仿宋_GB2312" w:cs="仿宋_GB2312"/>
          <w:color w:val="auto"/>
          <w:sz w:val="32"/>
          <w:szCs w:val="32"/>
          <w:highlight w:val="none"/>
        </w:rPr>
        <w:t>图书馆政府信息公开查阅中心</w:t>
      </w:r>
      <w:r>
        <w:rPr>
          <w:rFonts w:hint="eastAsia" w:ascii="仿宋_GB2312" w:hAnsi="Arial" w:eastAsia="仿宋_GB2312" w:cs="仿宋_GB2312"/>
          <w:i w:val="0"/>
          <w:caps w:val="0"/>
          <w:color w:val="000000"/>
          <w:spacing w:val="0"/>
          <w:sz w:val="32"/>
          <w:szCs w:val="32"/>
          <w:shd w:val="clear" w:color="auto" w:fill="FFFFFF"/>
        </w:rPr>
        <w:t>，实现“网上”“网下”同步发布。</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楷体" w:hAnsi="楷体" w:eastAsia="楷体" w:cs="楷体"/>
          <w:b w:val="0"/>
          <w:bCs w:val="0"/>
          <w:sz w:val="32"/>
          <w:szCs w:val="32"/>
          <w:highlight w:val="none"/>
          <w:lang w:val="en-US" w:eastAsia="zh-CN"/>
        </w:rPr>
      </w:pPr>
      <w:r>
        <w:rPr>
          <w:rFonts w:hint="eastAsia" w:ascii="楷体" w:hAnsi="楷体" w:eastAsia="楷体" w:cs="楷体"/>
          <w:kern w:val="2"/>
          <w:sz w:val="32"/>
          <w:szCs w:val="32"/>
          <w:highlight w:val="none"/>
          <w:lang w:val="en-US" w:eastAsia="zh-CN" w:bidi="ar-SA"/>
        </w:rPr>
        <w:t>（五）监督保障情况　</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rPr>
          <w:rFonts w:hint="eastAsia" w:ascii="仿宋_GB2312" w:hAnsi="宋体" w:eastAsia="仿宋_GB2312" w:cs="仿宋_GB2312"/>
          <w:i w:val="0"/>
          <w:caps w:val="0"/>
          <w:color w:val="000000"/>
          <w:spacing w:val="0"/>
          <w:kern w:val="0"/>
          <w:sz w:val="32"/>
          <w:szCs w:val="32"/>
          <w:lang w:val="en-US" w:eastAsia="zh-CN" w:bidi="ar"/>
        </w:rPr>
      </w:pPr>
      <w:r>
        <w:rPr>
          <w:rFonts w:ascii="仿宋_GB2312" w:hAnsi="宋体" w:eastAsia="仿宋_GB2312" w:cs="仿宋_GB2312"/>
          <w:b/>
          <w:bCs/>
          <w:i w:val="0"/>
          <w:caps w:val="0"/>
          <w:color w:val="000000"/>
          <w:spacing w:val="0"/>
          <w:kern w:val="0"/>
          <w:sz w:val="32"/>
          <w:szCs w:val="32"/>
          <w:highlight w:val="none"/>
          <w:lang w:val="en-US" w:eastAsia="zh-CN" w:bidi="ar"/>
        </w:rPr>
        <w:t>一是加强组织领导</w:t>
      </w:r>
      <w:r>
        <w:rPr>
          <w:rFonts w:ascii="仿宋_GB2312" w:hAnsi="宋体" w:eastAsia="仿宋_GB2312" w:cs="仿宋_GB2312"/>
          <w:b/>
          <w:bCs/>
          <w:i w:val="0"/>
          <w:caps w:val="0"/>
          <w:color w:val="000000"/>
          <w:spacing w:val="0"/>
          <w:kern w:val="0"/>
          <w:sz w:val="32"/>
          <w:szCs w:val="32"/>
          <w:lang w:val="en-US" w:eastAsia="zh-CN" w:bidi="ar"/>
        </w:rPr>
        <w:t>。</w:t>
      </w:r>
      <w:r>
        <w:rPr>
          <w:rFonts w:hint="eastAsia" w:ascii="仿宋_GB2312" w:hAnsi="宋体" w:eastAsia="仿宋_GB2312" w:cs="仿宋_GB2312"/>
          <w:i w:val="0"/>
          <w:caps w:val="0"/>
          <w:color w:val="000000"/>
          <w:spacing w:val="0"/>
          <w:kern w:val="0"/>
          <w:sz w:val="32"/>
          <w:szCs w:val="32"/>
          <w:lang w:val="en-US" w:eastAsia="zh-CN" w:bidi="ar"/>
        </w:rPr>
        <w:t>配齐配优政务公开工作人员，统筹推进、指导、协调、监督全市政务公开工作。根据工作开展情况进一步完善体制机制，推进政务公开工作再提升。</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rPr>
          <w:rFonts w:hint="eastAsia" w:ascii="仿宋_GB2312" w:hAnsi="宋体" w:eastAsia="仿宋_GB2312" w:cs="仿宋_GB2312"/>
          <w:i w:val="0"/>
          <w:caps w:val="0"/>
          <w:color w:val="000000"/>
          <w:spacing w:val="0"/>
          <w:kern w:val="0"/>
          <w:sz w:val="32"/>
          <w:szCs w:val="32"/>
          <w:highlight w:val="none"/>
          <w:lang w:val="en-US" w:eastAsia="zh-CN" w:bidi="ar"/>
        </w:rPr>
      </w:pPr>
      <w:r>
        <w:rPr>
          <w:rFonts w:hint="eastAsia" w:ascii="仿宋_GB2312" w:hAnsi="宋体" w:eastAsia="仿宋_GB2312" w:cs="仿宋_GB2312"/>
          <w:b/>
          <w:bCs/>
          <w:i w:val="0"/>
          <w:caps w:val="0"/>
          <w:color w:val="000000"/>
          <w:spacing w:val="0"/>
          <w:kern w:val="0"/>
          <w:sz w:val="32"/>
          <w:szCs w:val="32"/>
          <w:highlight w:val="none"/>
          <w:lang w:val="en-US" w:eastAsia="zh-CN" w:bidi="ar"/>
        </w:rPr>
        <w:t>二是</w:t>
      </w:r>
      <w:r>
        <w:rPr>
          <w:rFonts w:hint="eastAsia" w:ascii="仿宋_GB2312" w:hAnsi="Arial" w:eastAsia="仿宋_GB2312" w:cs="仿宋_GB2312"/>
          <w:b/>
          <w:bCs/>
          <w:i w:val="0"/>
          <w:caps w:val="0"/>
          <w:color w:val="000000"/>
          <w:spacing w:val="0"/>
          <w:sz w:val="32"/>
          <w:szCs w:val="32"/>
          <w:highlight w:val="none"/>
          <w:shd w:val="clear" w:color="auto" w:fill="FFFFFF"/>
          <w:lang w:eastAsia="zh-CN"/>
        </w:rPr>
        <w:t>抓住重点，兼顾全面</w:t>
      </w:r>
      <w:r>
        <w:rPr>
          <w:rFonts w:hint="eastAsia" w:ascii="仿宋_GB2312" w:hAnsi="Arial" w:eastAsia="仿宋_GB2312" w:cs="仿宋_GB2312"/>
          <w:b/>
          <w:bCs/>
          <w:i w:val="0"/>
          <w:caps w:val="0"/>
          <w:color w:val="000000"/>
          <w:spacing w:val="0"/>
          <w:sz w:val="32"/>
          <w:szCs w:val="32"/>
          <w:highlight w:val="none"/>
          <w:shd w:val="clear" w:color="auto" w:fill="FFFFFF"/>
        </w:rPr>
        <w:t>。</w:t>
      </w:r>
      <w:r>
        <w:rPr>
          <w:rFonts w:hint="eastAsia" w:ascii="仿宋_GB2312" w:hAnsi="宋体" w:eastAsia="仿宋_GB2312" w:cs="仿宋_GB2312"/>
          <w:i w:val="0"/>
          <w:caps w:val="0"/>
          <w:color w:val="000000"/>
          <w:spacing w:val="0"/>
          <w:kern w:val="0"/>
          <w:sz w:val="32"/>
          <w:szCs w:val="32"/>
          <w:lang w:val="en-US" w:eastAsia="zh-CN" w:bidi="ar"/>
        </w:rPr>
        <w:t>发挥好考核指挥棒作用，</w:t>
      </w:r>
      <w:r>
        <w:rPr>
          <w:rFonts w:hint="eastAsia" w:ascii="仿宋_GB2312" w:hAnsi="微软雅黑" w:eastAsia="仿宋_GB2312" w:cs="仿宋_GB2312"/>
          <w:b w:val="0"/>
          <w:bCs w:val="0"/>
          <w:i w:val="0"/>
          <w:caps w:val="0"/>
          <w:color w:val="auto"/>
          <w:spacing w:val="0"/>
          <w:kern w:val="2"/>
          <w:sz w:val="31"/>
          <w:szCs w:val="31"/>
          <w:shd w:val="clear" w:color="auto" w:fill="FFFFFF"/>
          <w:lang w:val="en-US" w:eastAsia="zh-CN" w:bidi="ar-SA"/>
        </w:rPr>
        <w:t>全面提升政策解读质量。按照“谁起草、谁解读”的原则，</w:t>
      </w:r>
      <w:r>
        <w:rPr>
          <w:rFonts w:hint="eastAsia" w:ascii="仿宋_GB2312" w:hAnsi="微软雅黑" w:eastAsia="仿宋_GB2312" w:cs="仿宋_GB2312"/>
          <w:i w:val="0"/>
          <w:caps w:val="0"/>
          <w:color w:val="auto"/>
          <w:spacing w:val="0"/>
          <w:kern w:val="2"/>
          <w:sz w:val="31"/>
          <w:szCs w:val="31"/>
          <w:shd w:val="clear" w:color="auto" w:fill="FFFFFF"/>
          <w:lang w:val="en-US" w:eastAsia="zh-CN" w:bidi="ar-SA"/>
        </w:rPr>
        <w:t>实施“三同步”审签，聚焦重要政策，做到政策文件与解读关联同步。</w:t>
      </w:r>
      <w:r>
        <w:rPr>
          <w:rFonts w:hint="eastAsia" w:ascii="仿宋_GB2312" w:hAnsi="宋体" w:eastAsia="仿宋_GB2312" w:cs="仿宋_GB2312"/>
          <w:i w:val="0"/>
          <w:caps w:val="0"/>
          <w:color w:val="000000"/>
          <w:spacing w:val="0"/>
          <w:kern w:val="0"/>
          <w:sz w:val="32"/>
          <w:szCs w:val="32"/>
          <w:lang w:val="en-US" w:eastAsia="zh-CN" w:bidi="ar"/>
        </w:rPr>
        <w:t>将政府信息公开工作纳入全市高质量发展考核大盘子，制定考核指标和细则，促进年度工作任务落地落实，高效完成。</w:t>
      </w:r>
      <w:r>
        <w:rPr>
          <w:rFonts w:hint="eastAsia" w:ascii="仿宋_GB2312" w:hAnsi="Arial" w:eastAsia="仿宋_GB2312" w:cs="仿宋_GB2312"/>
          <w:i w:val="0"/>
          <w:caps w:val="0"/>
          <w:color w:val="000000"/>
          <w:spacing w:val="0"/>
          <w:sz w:val="32"/>
          <w:szCs w:val="32"/>
          <w:shd w:val="clear" w:color="auto" w:fill="FFFFFF"/>
        </w:rPr>
        <w:t>结合日常巡查、网站普查等，推进政务公开测评工作常态化开展</w:t>
      </w:r>
      <w:r>
        <w:rPr>
          <w:rFonts w:hint="eastAsia" w:ascii="仿宋_GB2312" w:hAnsi="宋体" w:eastAsia="仿宋_GB2312" w:cs="仿宋_GB2312"/>
          <w:i w:val="0"/>
          <w:caps w:val="0"/>
          <w:color w:val="000000"/>
          <w:spacing w:val="0"/>
          <w:kern w:val="0"/>
          <w:sz w:val="32"/>
          <w:szCs w:val="32"/>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rPr>
          <w:rFonts w:hint="default" w:ascii="楷体" w:hAnsi="楷体" w:eastAsia="楷体" w:cs="楷体"/>
          <w:sz w:val="32"/>
          <w:szCs w:val="32"/>
          <w:highlight w:val="none"/>
          <w:lang w:val="en-US" w:eastAsia="zh-CN"/>
        </w:rPr>
      </w:pPr>
      <w:r>
        <w:rPr>
          <w:rFonts w:hint="eastAsia" w:ascii="仿宋_GB2312" w:hAnsi="宋体" w:eastAsia="仿宋_GB2312" w:cs="仿宋_GB2312"/>
          <w:b/>
          <w:bCs/>
          <w:i w:val="0"/>
          <w:caps w:val="0"/>
          <w:color w:val="000000"/>
          <w:spacing w:val="0"/>
          <w:kern w:val="0"/>
          <w:sz w:val="32"/>
          <w:szCs w:val="32"/>
          <w:highlight w:val="none"/>
          <w:lang w:val="en-US" w:eastAsia="zh-CN" w:bidi="ar"/>
        </w:rPr>
        <w:t>三是</w:t>
      </w:r>
      <w:r>
        <w:rPr>
          <w:rFonts w:hint="eastAsia" w:ascii="仿宋_GB2312" w:hAnsi="仿宋_GB2312" w:eastAsia="仿宋_GB2312" w:cs="仿宋_GB2312"/>
          <w:b/>
          <w:bCs/>
          <w:i w:val="0"/>
          <w:caps w:val="0"/>
          <w:color w:val="auto"/>
          <w:spacing w:val="0"/>
          <w:sz w:val="32"/>
          <w:szCs w:val="32"/>
          <w:highlight w:val="none"/>
          <w:shd w:val="clear" w:color="auto" w:fill="FFFFFF"/>
          <w:lang w:eastAsia="zh-CN"/>
        </w:rPr>
        <w:t>做好业务培训</w:t>
      </w:r>
      <w:r>
        <w:rPr>
          <w:rFonts w:hint="eastAsia" w:ascii="仿宋_GB2312" w:hAnsi="仿宋_GB2312" w:eastAsia="仿宋_GB2312" w:cs="仿宋_GB2312"/>
          <w:b/>
          <w:bCs/>
          <w:i w:val="0"/>
          <w:caps w:val="0"/>
          <w:color w:val="auto"/>
          <w:spacing w:val="0"/>
          <w:sz w:val="32"/>
          <w:szCs w:val="32"/>
          <w:shd w:val="clear" w:color="auto" w:fill="FFFFFF"/>
          <w:lang w:eastAsia="zh-CN"/>
        </w:rPr>
        <w:t>。</w:t>
      </w:r>
      <w:r>
        <w:rPr>
          <w:rFonts w:hint="eastAsia" w:ascii="仿宋_GB2312" w:hAnsi="宋体" w:eastAsia="仿宋_GB2312" w:cs="仿宋_GB2312"/>
          <w:i w:val="0"/>
          <w:caps w:val="0"/>
          <w:color w:val="000000"/>
          <w:spacing w:val="0"/>
          <w:kern w:val="0"/>
          <w:sz w:val="32"/>
          <w:szCs w:val="32"/>
          <w:lang w:val="en-US" w:eastAsia="zh-CN" w:bidi="ar"/>
        </w:rPr>
        <w:t>高度重视业务培训，提升业务系统工作人员业务能力。分别于6</w:t>
      </w:r>
      <w:r>
        <w:rPr>
          <w:rFonts w:hint="eastAsia" w:ascii="仿宋_GB2312" w:hAnsi="Arial" w:eastAsia="仿宋_GB2312" w:cs="仿宋_GB2312"/>
          <w:i w:val="0"/>
          <w:caps w:val="0"/>
          <w:color w:val="000000"/>
          <w:spacing w:val="0"/>
          <w:sz w:val="32"/>
          <w:szCs w:val="32"/>
          <w:highlight w:val="none"/>
          <w:shd w:val="clear" w:color="auto" w:fill="FFFFFF"/>
          <w:lang w:val="en-US" w:eastAsia="zh-CN"/>
        </w:rPr>
        <w:t>月6日至6月12日召集56家</w:t>
      </w:r>
      <w:r>
        <w:rPr>
          <w:rFonts w:hint="eastAsia" w:ascii="仿宋_GB2312" w:hAnsi="Arial" w:eastAsia="仿宋_GB2312" w:cs="仿宋_GB2312"/>
          <w:i w:val="0"/>
          <w:caps w:val="0"/>
          <w:color w:val="000000"/>
          <w:spacing w:val="0"/>
          <w:sz w:val="32"/>
          <w:szCs w:val="32"/>
          <w:shd w:val="clear" w:color="auto" w:fill="FFFFFF"/>
          <w:lang w:val="en-US" w:eastAsia="zh-CN"/>
        </w:rPr>
        <w:t>公共企事业单位开展集中办公；于</w:t>
      </w:r>
      <w:r>
        <w:rPr>
          <w:rFonts w:hint="eastAsia" w:ascii="仿宋_GB2312" w:hAnsi="Arial" w:eastAsia="仿宋_GB2312" w:cs="仿宋_GB2312"/>
          <w:i w:val="0"/>
          <w:caps w:val="0"/>
          <w:color w:val="000000"/>
          <w:spacing w:val="0"/>
          <w:sz w:val="32"/>
          <w:szCs w:val="32"/>
          <w:highlight w:val="none"/>
          <w:shd w:val="clear" w:color="auto" w:fill="FFFFFF"/>
          <w:lang w:val="en-US" w:eastAsia="zh-CN"/>
        </w:rPr>
        <w:t>11月25日至11月29</w:t>
      </w:r>
      <w:r>
        <w:rPr>
          <w:rFonts w:hint="eastAsia" w:ascii="仿宋_GB2312" w:hAnsi="Arial" w:eastAsia="仿宋_GB2312" w:cs="仿宋_GB2312"/>
          <w:i w:val="0"/>
          <w:caps w:val="0"/>
          <w:color w:val="000000"/>
          <w:spacing w:val="0"/>
          <w:sz w:val="32"/>
          <w:szCs w:val="32"/>
          <w:shd w:val="clear" w:color="auto" w:fill="FFFFFF"/>
          <w:lang w:val="en-US" w:eastAsia="zh-CN"/>
        </w:rPr>
        <w:t>日开展部门镇街集中办公，对需主动公开信息指标进行讲解完善，对考核指标和法定主动公开事项目录编制工作进行培训指导，切实提升部门镇街及企事业单位信息公开水平。</w:t>
      </w:r>
    </w:p>
    <w:p>
      <w:pPr>
        <w:pStyle w:val="7"/>
        <w:widowControl/>
        <w:shd w:val="clear" w:color="auto" w:fill="FFFFFF"/>
        <w:spacing w:beforeAutospacing="0" w:after="240" w:afterAutospacing="0"/>
        <w:ind w:firstLine="640" w:firstLineChars="200"/>
        <w:jc w:val="both"/>
        <w:rPr>
          <w:rFonts w:ascii="黑体" w:hAnsi="黑体" w:eastAsia="黑体" w:cs="黑体"/>
          <w:color w:val="333333"/>
          <w:sz w:val="32"/>
          <w:szCs w:val="32"/>
        </w:rPr>
      </w:pPr>
      <w:r>
        <w:rPr>
          <w:rFonts w:hint="eastAsia" w:ascii="黑体" w:hAnsi="黑体" w:eastAsia="黑体" w:cs="黑体"/>
          <w:color w:val="333333"/>
          <w:sz w:val="32"/>
          <w:szCs w:val="32"/>
          <w:shd w:val="clear" w:color="auto" w:fill="FFFFFF"/>
        </w:rPr>
        <w:t>二、主动公开政府信息情况</w:t>
      </w:r>
    </w:p>
    <w:tbl>
      <w:tblPr>
        <w:tblStyle w:val="8"/>
        <w:tblW w:w="8824" w:type="dxa"/>
        <w:tblInd w:w="0" w:type="dxa"/>
        <w:tblLayout w:type="fixed"/>
        <w:tblCellMar>
          <w:top w:w="0" w:type="dxa"/>
          <w:left w:w="108" w:type="dxa"/>
          <w:bottom w:w="0" w:type="dxa"/>
          <w:right w:w="108" w:type="dxa"/>
        </w:tblCellMar>
      </w:tblPr>
      <w:tblGrid>
        <w:gridCol w:w="2206"/>
        <w:gridCol w:w="2206"/>
        <w:gridCol w:w="2206"/>
        <w:gridCol w:w="2206"/>
      </w:tblGrid>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第二十条第（一）项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本年制发件数</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本年废止件数</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现行有效件数</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规章</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行政规范性文件</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3</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1</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highlight w:val="none"/>
                <w:lang w:val="en-US" w:eastAsia="zh-CN"/>
              </w:rPr>
              <w:t xml:space="preserve">3 </w:t>
            </w:r>
          </w:p>
        </w:tc>
      </w:tr>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第二十条第（五）项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行政许可</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第二十条第（六）项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4"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行政处罚</w:t>
            </w:r>
          </w:p>
        </w:tc>
        <w:tc>
          <w:tcPr>
            <w:tcW w:w="6618" w:type="dxa"/>
            <w:gridSpan w:val="3"/>
            <w:tcBorders>
              <w:top w:val="single" w:color="auto" w:sz="8" w:space="0"/>
              <w:left w:val="nil"/>
              <w:bottom w:val="single" w:color="auto" w:sz="4" w:space="0"/>
              <w:right w:val="single" w:color="000000"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2206" w:type="dxa"/>
            <w:tcBorders>
              <w:top w:val="single" w:color="auto" w:sz="4" w:space="0"/>
              <w:left w:val="single" w:color="auto" w:sz="4" w:space="0"/>
              <w:bottom w:val="single" w:color="auto" w:sz="4"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行政强制</w:t>
            </w:r>
          </w:p>
        </w:tc>
        <w:tc>
          <w:tcPr>
            <w:tcW w:w="6618" w:type="dxa"/>
            <w:gridSpan w:val="3"/>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8824" w:type="dxa"/>
            <w:gridSpan w:val="4"/>
            <w:tcBorders>
              <w:top w:val="single" w:color="auto" w:sz="4"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第二十条第（八）项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本年收费金额（单位：万元）</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行政事业性收费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bl>
    <w:p>
      <w:pPr>
        <w:pStyle w:val="7"/>
        <w:widowControl/>
        <w:shd w:val="clear" w:color="auto" w:fill="FFFFFF"/>
        <w:spacing w:beforeAutospacing="0" w:after="240" w:afterAutospacing="0"/>
        <w:ind w:firstLine="320" w:firstLineChars="100"/>
        <w:jc w:val="both"/>
        <w:rPr>
          <w:rFonts w:hint="eastAsia" w:ascii="黑体" w:hAnsi="黑体" w:eastAsia="黑体" w:cs="黑体"/>
          <w:b w:val="0"/>
          <w:bCs/>
          <w:color w:val="333333"/>
          <w:sz w:val="32"/>
          <w:szCs w:val="32"/>
          <w:shd w:val="clear" w:color="auto" w:fill="FFFFFF"/>
        </w:rPr>
      </w:pPr>
      <w:r>
        <w:rPr>
          <w:rFonts w:hint="eastAsia" w:ascii="黑体" w:hAnsi="黑体" w:eastAsia="黑体" w:cs="黑体"/>
          <w:b w:val="0"/>
          <w:bCs/>
          <w:color w:val="333333"/>
          <w:sz w:val="32"/>
          <w:szCs w:val="32"/>
          <w:shd w:val="clear" w:color="auto" w:fill="FFFFFF"/>
        </w:rPr>
        <w:t>三、收到和处理政府信息公开申请情况</w:t>
      </w:r>
    </w:p>
    <w:p>
      <w:pPr>
        <w:pStyle w:val="7"/>
        <w:widowControl/>
        <w:shd w:val="clear" w:color="auto" w:fill="FFFFFF"/>
        <w:spacing w:beforeAutospacing="0" w:after="240" w:afterAutospacing="0"/>
        <w:ind w:firstLine="320" w:firstLineChars="100"/>
        <w:jc w:val="both"/>
        <w:rPr>
          <w:rFonts w:hint="eastAsia" w:ascii="黑体" w:hAnsi="黑体" w:eastAsia="黑体" w:cs="黑体"/>
          <w:b w:val="0"/>
          <w:bCs/>
          <w:color w:val="333333"/>
          <w:sz w:val="32"/>
          <w:szCs w:val="32"/>
          <w:shd w:val="clear" w:color="auto" w:fill="FFFFFF"/>
          <w:lang w:val="en-US" w:eastAsia="zh-CN"/>
        </w:rPr>
      </w:pPr>
    </w:p>
    <w:tbl>
      <w:tblPr>
        <w:tblStyle w:val="8"/>
        <w:tblW w:w="99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6"/>
        <w:gridCol w:w="1701"/>
        <w:gridCol w:w="2976"/>
        <w:gridCol w:w="829"/>
        <w:gridCol w:w="567"/>
        <w:gridCol w:w="567"/>
        <w:gridCol w:w="731"/>
        <w:gridCol w:w="708"/>
        <w:gridCol w:w="567"/>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93" w:type="dxa"/>
            <w:gridSpan w:val="3"/>
            <w:vMerge w:val="restart"/>
            <w:noWrap w:val="0"/>
            <w:tcMar>
              <w:left w:w="108" w:type="dxa"/>
              <w:right w:w="108" w:type="dxa"/>
            </w:tcMar>
            <w:vAlign w:val="center"/>
          </w:tcPr>
          <w:p>
            <w:pPr>
              <w:widowControl/>
              <w:jc w:val="center"/>
              <w:rPr>
                <w:rFonts w:ascii="楷体_GB2312" w:hAnsi="黑体" w:eastAsia="楷体_GB2312"/>
                <w:kern w:val="0"/>
                <w:szCs w:val="21"/>
              </w:rPr>
            </w:pPr>
            <w:r>
              <w:rPr>
                <w:rFonts w:hint="eastAsia" w:ascii="楷体_GB2312" w:hAnsi="黑体" w:eastAsia="楷体_GB2312"/>
                <w:kern w:val="0"/>
                <w:szCs w:val="21"/>
              </w:rPr>
              <w:t>（本列数据的勾稽关系为：第一项加第二项之和，</w:t>
            </w:r>
          </w:p>
          <w:p>
            <w:pPr>
              <w:widowControl/>
              <w:jc w:val="center"/>
              <w:rPr>
                <w:rFonts w:ascii="仿宋_GB2312" w:hAnsi="Times New Roman" w:eastAsia="仿宋_GB2312"/>
                <w:szCs w:val="21"/>
              </w:rPr>
            </w:pPr>
            <w:r>
              <w:rPr>
                <w:rFonts w:hint="eastAsia" w:ascii="楷体_GB2312" w:hAnsi="黑体" w:eastAsia="楷体_GB2312"/>
                <w:kern w:val="0"/>
                <w:szCs w:val="21"/>
              </w:rPr>
              <w:t>等于第三项加第四项之和）</w:t>
            </w:r>
          </w:p>
        </w:tc>
        <w:tc>
          <w:tcPr>
            <w:tcW w:w="4820" w:type="dxa"/>
            <w:gridSpan w:val="7"/>
            <w:noWrap w:val="0"/>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申请人情况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093" w:type="dxa"/>
            <w:gridSpan w:val="3"/>
            <w:vMerge w:val="continue"/>
            <w:noWrap w:val="0"/>
            <w:tcMar>
              <w:left w:w="108" w:type="dxa"/>
              <w:right w:w="108" w:type="dxa"/>
            </w:tcMar>
            <w:vAlign w:val="center"/>
          </w:tcPr>
          <w:p>
            <w:pPr>
              <w:jc w:val="center"/>
              <w:rPr>
                <w:rFonts w:ascii="仿宋_GB2312" w:hAnsi="Times New Roman" w:eastAsia="仿宋_GB2312"/>
                <w:szCs w:val="21"/>
              </w:rPr>
            </w:pPr>
          </w:p>
        </w:tc>
        <w:tc>
          <w:tcPr>
            <w:tcW w:w="829" w:type="dxa"/>
            <w:vMerge w:val="restart"/>
            <w:noWrap w:val="0"/>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自然人</w:t>
            </w:r>
          </w:p>
        </w:tc>
        <w:tc>
          <w:tcPr>
            <w:tcW w:w="3140" w:type="dxa"/>
            <w:gridSpan w:val="5"/>
            <w:noWrap w:val="0"/>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法人或其他组织</w:t>
            </w:r>
          </w:p>
        </w:tc>
        <w:tc>
          <w:tcPr>
            <w:tcW w:w="851" w:type="dxa"/>
            <w:vMerge w:val="restart"/>
            <w:noWrap w:val="0"/>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总计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93" w:type="dxa"/>
            <w:gridSpan w:val="3"/>
            <w:vMerge w:val="continue"/>
            <w:noWrap w:val="0"/>
            <w:tcMar>
              <w:left w:w="108" w:type="dxa"/>
              <w:right w:w="108" w:type="dxa"/>
            </w:tcMar>
            <w:vAlign w:val="center"/>
          </w:tcPr>
          <w:p>
            <w:pPr>
              <w:jc w:val="center"/>
              <w:rPr>
                <w:rFonts w:ascii="仿宋_GB2312" w:hAnsi="Times New Roman" w:eastAsia="仿宋_GB2312"/>
                <w:szCs w:val="21"/>
              </w:rPr>
            </w:pPr>
          </w:p>
        </w:tc>
        <w:tc>
          <w:tcPr>
            <w:tcW w:w="829" w:type="dxa"/>
            <w:vMerge w:val="continue"/>
            <w:noWrap w:val="0"/>
            <w:tcMar>
              <w:left w:w="108" w:type="dxa"/>
              <w:right w:w="108" w:type="dxa"/>
            </w:tcMar>
            <w:vAlign w:val="center"/>
          </w:tcPr>
          <w:p>
            <w:pPr>
              <w:jc w:val="center"/>
              <w:rPr>
                <w:rFonts w:ascii="黑体" w:hAnsi="黑体" w:eastAsia="黑体"/>
                <w:szCs w:val="21"/>
              </w:rPr>
            </w:pPr>
          </w:p>
        </w:tc>
        <w:tc>
          <w:tcPr>
            <w:tcW w:w="567" w:type="dxa"/>
            <w:noWrap w:val="0"/>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商业企业</w:t>
            </w:r>
          </w:p>
        </w:tc>
        <w:tc>
          <w:tcPr>
            <w:tcW w:w="567" w:type="dxa"/>
            <w:noWrap w:val="0"/>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科研机构</w:t>
            </w:r>
          </w:p>
        </w:tc>
        <w:tc>
          <w:tcPr>
            <w:tcW w:w="731" w:type="dxa"/>
            <w:noWrap w:val="0"/>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社会公益组织</w:t>
            </w:r>
          </w:p>
        </w:tc>
        <w:tc>
          <w:tcPr>
            <w:tcW w:w="708" w:type="dxa"/>
            <w:noWrap w:val="0"/>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法律服务机构</w:t>
            </w:r>
          </w:p>
        </w:tc>
        <w:tc>
          <w:tcPr>
            <w:tcW w:w="567" w:type="dxa"/>
            <w:noWrap w:val="0"/>
            <w:tcMar>
              <w:left w:w="108" w:type="dxa"/>
              <w:right w:w="108" w:type="dxa"/>
            </w:tcMar>
            <w:vAlign w:val="center"/>
          </w:tcPr>
          <w:p>
            <w:pPr>
              <w:widowControl/>
              <w:spacing w:line="360" w:lineRule="exact"/>
              <w:ind w:left="-63" w:leftChars="-30" w:right="-134" w:rightChars="-64"/>
              <w:jc w:val="center"/>
              <w:rPr>
                <w:rFonts w:ascii="黑体" w:hAnsi="黑体" w:eastAsia="黑体"/>
                <w:szCs w:val="21"/>
              </w:rPr>
            </w:pPr>
            <w:r>
              <w:rPr>
                <w:rFonts w:hint="eastAsia" w:ascii="黑体" w:hAnsi="黑体" w:eastAsia="黑体"/>
                <w:kern w:val="0"/>
                <w:szCs w:val="21"/>
              </w:rPr>
              <w:t>其他</w:t>
            </w:r>
          </w:p>
        </w:tc>
        <w:tc>
          <w:tcPr>
            <w:tcW w:w="851" w:type="dxa"/>
            <w:vMerge w:val="continue"/>
            <w:noWrap w:val="0"/>
            <w:tcMar>
              <w:left w:w="108" w:type="dxa"/>
              <w:right w:w="108" w:type="dxa"/>
            </w:tcMar>
            <w:vAlign w:val="center"/>
          </w:tcPr>
          <w:p>
            <w:pPr>
              <w:jc w:val="center"/>
              <w:rPr>
                <w:rFonts w:ascii="仿宋_GB2312" w:hAnsi="Times New Roman"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一、本年新收政府信息公开申请数量</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67</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1</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二、上年结转政府信息公开申请数量</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szCs w:val="21"/>
                <w:highlight w:val="none"/>
                <w:lang w:val="en-US" w:eastAsia="zh-CN"/>
              </w:rPr>
            </w:pPr>
            <w:r>
              <w:rPr>
                <w:rFonts w:hint="eastAsia" w:ascii="仿宋_GB2312" w:hAnsi="Times New Roman" w:eastAsia="仿宋_GB2312"/>
                <w:szCs w:val="21"/>
                <w:highlight w:val="none"/>
                <w:lang w:val="en-US" w:eastAsia="zh-CN"/>
              </w:rPr>
              <w:t>4</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szCs w:val="21"/>
                <w:highlight w:val="none"/>
                <w:lang w:val="en-US" w:eastAsia="zh-CN"/>
              </w:rPr>
            </w:pPr>
            <w:r>
              <w:rPr>
                <w:rFonts w:hint="eastAsia" w:ascii="仿宋_GB2312" w:hAnsi="Times New Roman" w:eastAsia="仿宋_GB2312"/>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szCs w:val="21"/>
                <w:highlight w:val="none"/>
                <w:lang w:val="en-US" w:eastAsia="zh-CN"/>
              </w:rPr>
            </w:pPr>
            <w:r>
              <w:rPr>
                <w:rFonts w:hint="eastAsia" w:ascii="仿宋_GB2312" w:hAnsi="Times New Roman" w:eastAsia="仿宋_GB2312"/>
                <w:szCs w:val="21"/>
                <w:highlight w:val="none"/>
                <w:lang w:val="en-US" w:eastAsia="zh-CN"/>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szCs w:val="21"/>
                <w:highlight w:val="none"/>
                <w:lang w:val="en-US" w:eastAsia="zh-CN"/>
              </w:rPr>
            </w:pPr>
            <w:r>
              <w:rPr>
                <w:rFonts w:hint="eastAsia" w:ascii="仿宋_GB2312" w:hAnsi="Times New Roman" w:eastAsia="仿宋_GB2312"/>
                <w:szCs w:val="21"/>
                <w:highlight w:val="none"/>
                <w:lang w:val="en-US" w:eastAsia="zh-CN"/>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szCs w:val="21"/>
                <w:highlight w:val="none"/>
                <w:lang w:val="en-US" w:eastAsia="zh-CN"/>
              </w:rPr>
            </w:pPr>
            <w:r>
              <w:rPr>
                <w:rFonts w:hint="eastAsia" w:ascii="仿宋_GB2312" w:hAnsi="Times New Roman" w:eastAsia="仿宋_GB2312"/>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szCs w:val="21"/>
                <w:highlight w:val="none"/>
                <w:lang w:val="en-US" w:eastAsia="zh-CN"/>
              </w:rPr>
            </w:pPr>
            <w:r>
              <w:rPr>
                <w:rFonts w:hint="eastAsia" w:ascii="仿宋_GB2312" w:hAnsi="Times New Roman" w:eastAsia="仿宋_GB2312"/>
                <w:szCs w:val="21"/>
                <w:highlight w:val="none"/>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szCs w:val="21"/>
                <w:highlight w:val="none"/>
                <w:lang w:val="en-US" w:eastAsia="zh-CN"/>
              </w:rPr>
            </w:pPr>
            <w:r>
              <w:rPr>
                <w:rFonts w:hint="eastAsia" w:ascii="仿宋_GB2312" w:hAnsi="Times New Roman" w:eastAsia="仿宋_GB2312"/>
                <w:szCs w:val="21"/>
                <w:highlight w:val="none"/>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restart"/>
            <w:noWrap w:val="0"/>
            <w:tcMar>
              <w:left w:w="108" w:type="dxa"/>
              <w:right w:w="108" w:type="dxa"/>
            </w:tcMar>
            <w:vAlign w:val="center"/>
          </w:tcPr>
          <w:p>
            <w:pPr>
              <w:widowControl/>
              <w:spacing w:after="180"/>
              <w:rPr>
                <w:rFonts w:ascii="黑体" w:hAnsi="黑体" w:eastAsia="黑体"/>
                <w:szCs w:val="21"/>
              </w:rPr>
            </w:pPr>
            <w:r>
              <w:rPr>
                <w:rFonts w:hint="eastAsia" w:ascii="黑体" w:hAnsi="黑体" w:eastAsia="黑体"/>
                <w:kern w:val="0"/>
                <w:szCs w:val="21"/>
              </w:rPr>
              <w:t>三、本年度办理结果</w:t>
            </w:r>
          </w:p>
        </w:tc>
        <w:tc>
          <w:tcPr>
            <w:tcW w:w="4677" w:type="dxa"/>
            <w:gridSpan w:val="2"/>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（一）予以公开</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22</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4677" w:type="dxa"/>
            <w:gridSpan w:val="2"/>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（二）部分公开（区分处理的，只计这一情形，不计其他情形）</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21</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（三）不予公开</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1.属于国家秘密</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2.其他法律行政法规禁止公开</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3.危及“三安全一稳定”</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4.保护第三方合法权益</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2</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5.属于三类内部事务信息</w:t>
            </w:r>
          </w:p>
        </w:tc>
        <w:tc>
          <w:tcPr>
            <w:tcW w:w="829" w:type="dxa"/>
            <w:noWrap w:val="0"/>
            <w:tcMar>
              <w:left w:w="108" w:type="dxa"/>
              <w:right w:w="108" w:type="dxa"/>
            </w:tcMar>
            <w:vAlign w:val="center"/>
          </w:tcPr>
          <w:p>
            <w:pPr>
              <w:widowControl/>
              <w:spacing w:after="180" w:line="200" w:lineRule="exact"/>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stheme="minorBidi"/>
                <w:color w:val="auto"/>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stheme="minorBidi"/>
                <w:color w:val="auto"/>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6.属于四类过程性信息</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stheme="minorBidi"/>
                <w:color w:val="auto"/>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stheme="minorBidi"/>
                <w:color w:val="auto"/>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7.属于行政执法案卷</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stheme="minorBidi"/>
                <w:color w:val="auto"/>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stheme="minorBidi"/>
                <w:color w:val="auto"/>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8.属于行政查询事项</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stheme="minorBidi"/>
                <w:color w:val="auto"/>
                <w:kern w:val="2"/>
                <w:sz w:val="21"/>
                <w:szCs w:val="21"/>
                <w:lang w:val="en-US" w:eastAsia="zh-CN" w:bidi="ar-SA"/>
              </w:rPr>
              <w:t>6</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stheme="minorBidi"/>
                <w:color w:val="auto"/>
                <w:kern w:val="2"/>
                <w:sz w:val="21"/>
                <w:szCs w:val="21"/>
                <w:lang w:val="en-US" w:eastAsia="zh-CN" w:bidi="ar-SA"/>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（四）无法提供</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1.本机关不掌握相关政府信息</w:t>
            </w:r>
          </w:p>
        </w:tc>
        <w:tc>
          <w:tcPr>
            <w:tcW w:w="829" w:type="dxa"/>
            <w:noWrap w:val="0"/>
            <w:tcMar>
              <w:left w:w="108" w:type="dxa"/>
              <w:right w:w="108" w:type="dxa"/>
            </w:tcMar>
            <w:vAlign w:val="center"/>
          </w:tcPr>
          <w:p>
            <w:pPr>
              <w:widowControl/>
              <w:spacing w:after="180" w:line="200" w:lineRule="exact"/>
              <w:jc w:val="center"/>
              <w:rPr>
                <w:rFonts w:hint="default"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16</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olor w:val="auto"/>
                <w:szCs w:val="21"/>
                <w:lang w:val="en-US" w:eastAsia="zh-CN"/>
              </w:rPr>
            </w:pPr>
            <w:r>
              <w:rPr>
                <w:rFonts w:hint="eastAsia" w:ascii="仿宋_GB2312" w:hAnsi="Times New Roman" w:eastAsia="仿宋_GB2312"/>
                <w:color w:val="auto"/>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stheme="minorBidi"/>
                <w:color w:val="auto"/>
                <w:kern w:val="2"/>
                <w:sz w:val="21"/>
                <w:szCs w:val="21"/>
                <w:lang w:val="en-US" w:eastAsia="zh-CN" w:bidi="ar-SA"/>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ind w:left="-107" w:leftChars="-51"/>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2.没有现成信息需要另行制作</w:t>
            </w:r>
          </w:p>
        </w:tc>
        <w:tc>
          <w:tcPr>
            <w:tcW w:w="829" w:type="dxa"/>
            <w:noWrap w:val="0"/>
            <w:tcMar>
              <w:left w:w="108" w:type="dxa"/>
              <w:right w:w="108" w:type="dxa"/>
            </w:tcMar>
            <w:vAlign w:val="center"/>
          </w:tcPr>
          <w:p>
            <w:pPr>
              <w:widowControl/>
              <w:spacing w:after="180" w:line="200" w:lineRule="exact"/>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stheme="minorBidi"/>
                <w:color w:val="auto"/>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stheme="minorBidi"/>
                <w:color w:val="auto"/>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ind w:left="-107" w:leftChars="-51"/>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3.补正后申请内容仍不明确</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stheme="minorBidi"/>
                <w:color w:val="auto"/>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stheme="minorBidi"/>
                <w:color w:val="auto"/>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（五）不予处理</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1.信访举报投诉类申请</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stheme="minorBidi"/>
                <w:color w:val="auto"/>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stheme="minorBidi"/>
                <w:color w:val="auto"/>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2.重复申请</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stheme="minorBidi"/>
                <w:color w:val="auto"/>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stheme="minorBidi"/>
                <w:color w:val="auto"/>
                <w:kern w:val="2"/>
                <w:sz w:val="21"/>
                <w:szCs w:val="21"/>
                <w:lang w:val="en-US" w:eastAsia="zh-CN" w:bidi="ar-SA"/>
              </w:rPr>
              <w:t>1</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stheme="minorBidi"/>
                <w:color w:val="auto"/>
                <w:kern w:val="2"/>
                <w:sz w:val="21"/>
                <w:szCs w:val="21"/>
                <w:lang w:val="en-US" w:eastAsia="zh-CN" w:bidi="ar-SA"/>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stheme="minorBidi"/>
                <w:color w:val="auto"/>
                <w:kern w:val="2"/>
                <w:sz w:val="21"/>
                <w:szCs w:val="21"/>
                <w:lang w:val="en-US" w:eastAsia="zh-CN" w:bidi="ar-SA"/>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stheme="minorBidi"/>
                <w:color w:val="auto"/>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stheme="minorBidi"/>
                <w:color w:val="auto"/>
                <w:kern w:val="2"/>
                <w:sz w:val="21"/>
                <w:szCs w:val="21"/>
                <w:lang w:val="en-US" w:eastAsia="zh-CN" w:bidi="ar-SA"/>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stheme="minorBidi"/>
                <w:color w:val="auto"/>
                <w:kern w:val="2"/>
                <w:sz w:val="21"/>
                <w:szCs w:val="21"/>
                <w:lang w:val="en-US" w:eastAsia="zh-CN" w:bidi="ar-SA"/>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黑体" w:eastAsia="仿宋_GB2312"/>
                <w:kern w:val="0"/>
                <w:szCs w:val="21"/>
              </w:rPr>
              <w:t>3.要求提供公开出版物</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stheme="minorBidi"/>
                <w:color w:val="auto"/>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olor w:val="auto"/>
                <w:szCs w:val="21"/>
                <w:highlight w:val="none"/>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color w:val="auto"/>
                <w:kern w:val="2"/>
                <w:sz w:val="21"/>
                <w:szCs w:val="21"/>
                <w:lang w:val="en-US" w:eastAsia="zh-CN" w:bidi="ar-SA"/>
              </w:rPr>
            </w:pPr>
            <w:r>
              <w:rPr>
                <w:rFonts w:hint="eastAsia" w:ascii="仿宋_GB2312" w:hAnsi="Times New Roman" w:eastAsia="仿宋_GB2312" w:cstheme="minorBidi"/>
                <w:color w:val="auto"/>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黑体" w:eastAsia="仿宋_GB2312"/>
                <w:kern w:val="0"/>
                <w:szCs w:val="21"/>
              </w:rPr>
              <w:t>4.无正当理由大量反复申请</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300" w:lineRule="exact"/>
              <w:rPr>
                <w:rFonts w:ascii="仿宋_GB2312" w:hAnsi="黑体" w:eastAsia="仿宋_GB2312"/>
                <w:kern w:val="0"/>
                <w:szCs w:val="21"/>
              </w:rPr>
            </w:pPr>
            <w:r>
              <w:rPr>
                <w:rFonts w:hint="eastAsia" w:ascii="仿宋_GB2312" w:hAnsi="黑体" w:eastAsia="仿宋_GB2312"/>
                <w:kern w:val="0"/>
                <w:szCs w:val="21"/>
              </w:rPr>
              <w:t>5.要求行政机关确认或重新</w:t>
            </w:r>
          </w:p>
          <w:p>
            <w:pPr>
              <w:widowControl/>
              <w:spacing w:line="300" w:lineRule="exact"/>
              <w:ind w:firstLine="210" w:firstLineChars="100"/>
              <w:rPr>
                <w:rFonts w:ascii="仿宋_GB2312" w:hAnsi="黑体" w:eastAsia="仿宋_GB2312"/>
                <w:szCs w:val="21"/>
              </w:rPr>
            </w:pPr>
            <w:r>
              <w:rPr>
                <w:rFonts w:hint="eastAsia" w:ascii="仿宋_GB2312" w:hAnsi="黑体" w:eastAsia="仿宋_GB2312"/>
                <w:kern w:val="0"/>
                <w:szCs w:val="21"/>
              </w:rPr>
              <w:t>出具已获取信息</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（六）其他处理</w:t>
            </w:r>
          </w:p>
        </w:tc>
        <w:tc>
          <w:tcPr>
            <w:tcW w:w="2976" w:type="dxa"/>
            <w:noWrap w:val="0"/>
            <w:vAlign w:val="center"/>
          </w:tcPr>
          <w:p>
            <w:pPr>
              <w:widowControl/>
              <w:spacing w:line="300" w:lineRule="exact"/>
              <w:rPr>
                <w:rFonts w:ascii="仿宋_GB2312" w:hAnsi="楷体" w:eastAsia="仿宋_GB2312"/>
              </w:rPr>
            </w:pPr>
            <w:r>
              <w:rPr>
                <w:rFonts w:hint="eastAsia" w:ascii="仿宋_GB2312" w:hAnsi="楷体" w:eastAsia="仿宋_GB2312"/>
              </w:rPr>
              <w:t>1.申请人无正当理由逾期不补正、行政机关不再处理其政府信息公开申请</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widowControl/>
              <w:spacing w:line="300" w:lineRule="exact"/>
              <w:rPr>
                <w:rFonts w:ascii="黑体" w:hAnsi="黑体" w:eastAsia="黑体"/>
                <w:kern w:val="0"/>
                <w:szCs w:val="21"/>
              </w:rPr>
            </w:pPr>
          </w:p>
        </w:tc>
        <w:tc>
          <w:tcPr>
            <w:tcW w:w="2976" w:type="dxa"/>
            <w:noWrap w:val="0"/>
            <w:vAlign w:val="center"/>
          </w:tcPr>
          <w:p>
            <w:pPr>
              <w:widowControl/>
              <w:spacing w:line="300" w:lineRule="exact"/>
              <w:rPr>
                <w:rFonts w:ascii="仿宋_GB2312" w:hAnsi="黑体" w:eastAsia="仿宋_GB2312"/>
                <w:kern w:val="0"/>
                <w:szCs w:val="21"/>
              </w:rPr>
            </w:pPr>
            <w:r>
              <w:rPr>
                <w:rFonts w:hint="eastAsia" w:ascii="仿宋_GB2312" w:hAnsi="楷体" w:eastAsia="仿宋_GB2312"/>
              </w:rPr>
              <w:t>2.申请人逾期未按收费通知要求缴纳费用、行政机关不再处理其政府信息公开申请</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3</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widowControl/>
              <w:spacing w:line="300" w:lineRule="exact"/>
              <w:rPr>
                <w:rFonts w:ascii="黑体" w:hAnsi="黑体" w:eastAsia="黑体"/>
                <w:kern w:val="0"/>
                <w:szCs w:val="21"/>
              </w:rPr>
            </w:pPr>
          </w:p>
        </w:tc>
        <w:tc>
          <w:tcPr>
            <w:tcW w:w="2976" w:type="dxa"/>
            <w:noWrap w:val="0"/>
            <w:vAlign w:val="center"/>
          </w:tcPr>
          <w:p>
            <w:pPr>
              <w:widowControl/>
              <w:spacing w:line="300" w:lineRule="exact"/>
              <w:rPr>
                <w:rFonts w:ascii="仿宋_GB2312" w:hAnsi="黑体" w:eastAsia="仿宋_GB2312"/>
                <w:kern w:val="0"/>
                <w:szCs w:val="21"/>
              </w:rPr>
            </w:pPr>
            <w:r>
              <w:rPr>
                <w:rFonts w:hint="eastAsia" w:ascii="仿宋_GB2312" w:hAnsi="楷体" w:eastAsia="仿宋_GB2312"/>
              </w:rPr>
              <w:t>3.其他</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1</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highlight w:val="none"/>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4677" w:type="dxa"/>
            <w:gridSpan w:val="2"/>
            <w:noWrap w:val="0"/>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（七）总计</w:t>
            </w:r>
          </w:p>
        </w:tc>
        <w:tc>
          <w:tcPr>
            <w:tcW w:w="829" w:type="dxa"/>
            <w:noWrap w:val="0"/>
            <w:tcMar>
              <w:left w:w="108" w:type="dxa"/>
              <w:right w:w="108" w:type="dxa"/>
            </w:tcMar>
            <w:vAlign w:val="center"/>
          </w:tcPr>
          <w:p>
            <w:pPr>
              <w:widowControl/>
              <w:spacing w:after="180" w:line="200" w:lineRule="exact"/>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71</w:t>
            </w:r>
          </w:p>
        </w:tc>
        <w:tc>
          <w:tcPr>
            <w:tcW w:w="567" w:type="dxa"/>
            <w:noWrap w:val="0"/>
            <w:tcMar>
              <w:left w:w="108" w:type="dxa"/>
              <w:right w:w="108" w:type="dxa"/>
            </w:tcMar>
            <w:vAlign w:val="center"/>
          </w:tcPr>
          <w:p>
            <w:pPr>
              <w:widowControl/>
              <w:spacing w:after="180" w:line="200" w:lineRule="exact"/>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1</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93" w:type="dxa"/>
            <w:gridSpan w:val="3"/>
            <w:noWrap w:val="0"/>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四、结转下年度继续办理</w:t>
            </w:r>
          </w:p>
        </w:tc>
        <w:tc>
          <w:tcPr>
            <w:tcW w:w="829" w:type="dxa"/>
            <w:noWrap w:val="0"/>
            <w:tcMar>
              <w:left w:w="108" w:type="dxa"/>
              <w:right w:w="108" w:type="dxa"/>
            </w:tcMar>
            <w:vAlign w:val="center"/>
          </w:tcPr>
          <w:p>
            <w:pPr>
              <w:widowControl/>
              <w:spacing w:after="180" w:line="200" w:lineRule="exact"/>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line="200" w:lineRule="exact"/>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3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708"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567"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cstheme="minorBidi"/>
                <w:kern w:val="2"/>
                <w:sz w:val="21"/>
                <w:szCs w:val="21"/>
                <w:lang w:val="en-US" w:eastAsia="zh-CN" w:bidi="ar-SA"/>
              </w:rPr>
              <w:t>0</w:t>
            </w:r>
          </w:p>
        </w:tc>
      </w:tr>
    </w:tbl>
    <w:p>
      <w:pPr>
        <w:pStyle w:val="7"/>
        <w:widowControl/>
        <w:shd w:val="clear" w:color="auto" w:fill="FFFFFF"/>
        <w:spacing w:beforeAutospacing="0" w:afterAutospacing="0"/>
        <w:jc w:val="both"/>
        <w:rPr>
          <w:rFonts w:ascii="宋体" w:hAnsi="宋体" w:eastAsia="宋体" w:cs="宋体"/>
          <w:color w:val="333333"/>
        </w:rPr>
      </w:pPr>
    </w:p>
    <w:p>
      <w:pPr>
        <w:pStyle w:val="7"/>
        <w:widowControl/>
        <w:shd w:val="clear" w:color="auto" w:fill="FFFFFF"/>
        <w:spacing w:beforeAutospacing="0" w:afterAutospacing="0"/>
        <w:jc w:val="both"/>
        <w:rPr>
          <w:rFonts w:ascii="宋体" w:hAnsi="宋体" w:eastAsia="宋体" w:cs="宋体"/>
          <w:color w:val="333333"/>
        </w:rPr>
      </w:pPr>
    </w:p>
    <w:p>
      <w:pPr>
        <w:pStyle w:val="7"/>
        <w:widowControl/>
        <w:shd w:val="clear" w:color="auto" w:fill="FFFFFF"/>
        <w:spacing w:beforeAutospacing="0" w:afterAutospacing="0"/>
        <w:ind w:firstLine="420"/>
        <w:jc w:val="both"/>
        <w:rPr>
          <w:rFonts w:ascii="宋体" w:hAnsi="宋体" w:eastAsia="宋体" w:cs="宋体"/>
          <w:color w:val="333333"/>
        </w:rPr>
      </w:pPr>
      <w:r>
        <w:rPr>
          <w:rFonts w:hint="eastAsia" w:ascii="黑体" w:hAnsi="黑体" w:eastAsia="黑体" w:cs="宋体"/>
          <w:color w:val="333333"/>
          <w:sz w:val="32"/>
          <w:szCs w:val="32"/>
          <w:shd w:val="clear" w:color="auto" w:fill="FFFFFF"/>
        </w:rPr>
        <w:t>四、政府信息公开行政复议、行政诉讼情况</w:t>
      </w:r>
    </w:p>
    <w:tbl>
      <w:tblPr>
        <w:tblStyle w:val="8"/>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ind w:left="-149" w:leftChars="-71" w:right="-170" w:rightChars="-81"/>
              <w:jc w:val="center"/>
              <w:rPr>
                <w:rFonts w:ascii="黑体" w:hAnsi="黑体" w:eastAsia="黑体"/>
                <w:kern w:val="0"/>
                <w:sz w:val="20"/>
                <w:szCs w:val="20"/>
              </w:rPr>
            </w:pPr>
            <w:r>
              <w:rPr>
                <w:rFonts w:ascii="黑体" w:hAnsi="黑体" w:eastAsia="黑体"/>
                <w:kern w:val="0"/>
                <w:sz w:val="20"/>
                <w:szCs w:val="20"/>
              </w:rPr>
              <w:t>结果</w:t>
            </w:r>
          </w:p>
          <w:p>
            <w:pPr>
              <w:widowControl/>
              <w:ind w:left="-149" w:leftChars="-71" w:right="-170" w:rightChars="-81"/>
              <w:jc w:val="center"/>
              <w:rPr>
                <w:rFonts w:ascii="黑体" w:hAnsi="黑体" w:eastAsia="黑体"/>
              </w:rPr>
            </w:pPr>
            <w:r>
              <w:rPr>
                <w:rFonts w:ascii="黑体" w:hAnsi="黑体" w:eastAsia="黑体"/>
                <w:kern w:val="0"/>
                <w:sz w:val="20"/>
                <w:szCs w:val="20"/>
              </w:rPr>
              <w:t>维持</w:t>
            </w:r>
          </w:p>
        </w:tc>
        <w:tc>
          <w:tcPr>
            <w:tcW w:w="604" w:type="dxa"/>
            <w:vMerge w:val="restart"/>
            <w:tcBorders>
              <w:top w:val="nil"/>
              <w:left w:val="nil"/>
              <w:bottom w:val="single" w:color="auto" w:sz="8" w:space="0"/>
              <w:right w:val="single" w:color="auto" w:sz="8" w:space="0"/>
            </w:tcBorders>
            <w:noWrap w:val="0"/>
            <w:tcMar>
              <w:left w:w="108" w:type="dxa"/>
              <w:right w:w="108" w:type="dxa"/>
            </w:tcMar>
            <w:vAlign w:val="center"/>
          </w:tcPr>
          <w:p>
            <w:pPr>
              <w:widowControl/>
              <w:ind w:left="-43" w:leftChars="-21" w:right="-132" w:rightChars="-63" w:hanging="1"/>
              <w:jc w:val="center"/>
              <w:rPr>
                <w:rFonts w:ascii="黑体" w:hAnsi="黑体" w:eastAsia="黑体"/>
              </w:rPr>
            </w:pPr>
            <w:r>
              <w:rPr>
                <w:rFonts w:ascii="黑体" w:hAnsi="黑体" w:eastAsia="黑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82" w:leftChars="-39" w:right="-97" w:rightChars="-46"/>
              <w:jc w:val="center"/>
              <w:rPr>
                <w:rFonts w:ascii="黑体" w:hAnsi="黑体" w:eastAsia="黑体"/>
              </w:rPr>
            </w:pPr>
            <w:r>
              <w:rPr>
                <w:rFonts w:ascii="黑体" w:hAnsi="黑体" w:eastAsia="黑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18" w:leftChars="-56" w:right="-118" w:rightChars="-56"/>
              <w:jc w:val="center"/>
              <w:rPr>
                <w:rFonts w:ascii="黑体" w:hAnsi="黑体" w:eastAsia="黑体"/>
                <w:kern w:val="0"/>
                <w:sz w:val="20"/>
                <w:szCs w:val="20"/>
              </w:rPr>
            </w:pPr>
            <w:r>
              <w:rPr>
                <w:rFonts w:ascii="黑体" w:hAnsi="黑体" w:eastAsia="黑体"/>
                <w:kern w:val="0"/>
                <w:sz w:val="20"/>
                <w:szCs w:val="20"/>
              </w:rPr>
              <w:t>尚未</w:t>
            </w:r>
          </w:p>
          <w:p>
            <w:pPr>
              <w:widowControl/>
              <w:ind w:left="-118" w:leftChars="-56" w:right="-118" w:rightChars="-56"/>
              <w:jc w:val="center"/>
              <w:rPr>
                <w:rFonts w:ascii="黑体" w:hAnsi="黑体" w:eastAsia="黑体"/>
              </w:rPr>
            </w:pPr>
            <w:r>
              <w:rPr>
                <w:rFonts w:ascii="黑体" w:hAnsi="黑体" w:eastAsia="黑体"/>
                <w:kern w:val="0"/>
                <w:sz w:val="20"/>
                <w:szCs w:val="20"/>
              </w:rPr>
              <w:t>审结</w:t>
            </w:r>
          </w:p>
        </w:tc>
        <w:tc>
          <w:tcPr>
            <w:tcW w:w="658"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spacing w:line="320" w:lineRule="exact"/>
              <w:jc w:val="center"/>
              <w:rPr>
                <w:rFonts w:ascii="黑体" w:hAnsi="黑体" w:eastAsia="黑体"/>
                <w:kern w:val="0"/>
                <w:sz w:val="20"/>
                <w:szCs w:val="20"/>
              </w:rPr>
            </w:pPr>
            <w:r>
              <w:rPr>
                <w:rFonts w:ascii="黑体" w:hAnsi="黑体" w:eastAsia="黑体"/>
                <w:kern w:val="0"/>
                <w:sz w:val="20"/>
                <w:szCs w:val="20"/>
              </w:rPr>
              <w:t>总</w:t>
            </w:r>
          </w:p>
          <w:p>
            <w:pPr>
              <w:widowControl/>
              <w:spacing w:line="320" w:lineRule="exact"/>
              <w:jc w:val="center"/>
              <w:rPr>
                <w:rFonts w:ascii="黑体" w:hAnsi="黑体" w:eastAsia="黑体"/>
              </w:rPr>
            </w:pPr>
            <w:r>
              <w:rPr>
                <w:rFonts w:ascii="黑体" w:hAnsi="黑体" w:eastAsia="黑体"/>
                <w:kern w:val="0"/>
                <w:sz w:val="20"/>
                <w:szCs w:val="20"/>
              </w:rPr>
              <w:t>计</w:t>
            </w:r>
          </w:p>
        </w:tc>
        <w:tc>
          <w:tcPr>
            <w:tcW w:w="2970"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58"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550" w:type="dxa"/>
            <w:tcBorders>
              <w:top w:val="nil"/>
              <w:left w:val="nil"/>
              <w:bottom w:val="single" w:color="auto" w:sz="8" w:space="0"/>
              <w:right w:val="single" w:color="auto" w:sz="8" w:space="0"/>
            </w:tcBorders>
            <w:noWrap w:val="0"/>
            <w:tcMar>
              <w:left w:w="108" w:type="dxa"/>
              <w:right w:w="108" w:type="dxa"/>
            </w:tcMar>
            <w:vAlign w:val="center"/>
          </w:tcPr>
          <w:p>
            <w:pPr>
              <w:widowControl/>
              <w:ind w:left="-105" w:leftChars="-50" w:right="-126" w:rightChars="-60"/>
              <w:jc w:val="center"/>
              <w:rPr>
                <w:rFonts w:ascii="黑体" w:hAnsi="黑体" w:eastAsia="黑体"/>
              </w:rPr>
            </w:pPr>
            <w:r>
              <w:rPr>
                <w:rFonts w:ascii="黑体" w:hAnsi="黑体" w:eastAsia="黑体"/>
                <w:kern w:val="0"/>
                <w:sz w:val="20"/>
                <w:szCs w:val="20"/>
              </w:rPr>
              <w:t>结果维持</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ind w:left="-86" w:leftChars="-41" w:right="-88" w:rightChars="-42"/>
              <w:jc w:val="center"/>
              <w:rPr>
                <w:rFonts w:ascii="黑体" w:hAnsi="黑体" w:eastAsia="黑体"/>
              </w:rPr>
            </w:pPr>
            <w:r>
              <w:rPr>
                <w:rFonts w:ascii="黑体" w:hAnsi="黑体" w:eastAsia="黑体"/>
                <w:kern w:val="0"/>
                <w:sz w:val="20"/>
                <w:szCs w:val="20"/>
              </w:rPr>
              <w:t>结果纠正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26" w:leftChars="-60" w:right="-136" w:rightChars="-65"/>
              <w:jc w:val="center"/>
              <w:rPr>
                <w:rFonts w:ascii="黑体" w:hAnsi="黑体" w:eastAsia="黑体"/>
                <w:kern w:val="0"/>
                <w:sz w:val="20"/>
                <w:szCs w:val="20"/>
              </w:rPr>
            </w:pPr>
            <w:r>
              <w:rPr>
                <w:rFonts w:ascii="黑体" w:hAnsi="黑体" w:eastAsia="黑体"/>
                <w:kern w:val="0"/>
                <w:sz w:val="20"/>
                <w:szCs w:val="20"/>
              </w:rPr>
              <w:t>其他</w:t>
            </w:r>
          </w:p>
          <w:p>
            <w:pPr>
              <w:widowControl/>
              <w:ind w:left="-126" w:leftChars="-60" w:right="-136" w:rightChars="-65"/>
              <w:jc w:val="center"/>
              <w:rPr>
                <w:rFonts w:ascii="黑体" w:hAnsi="黑体" w:eastAsia="黑体"/>
              </w:rPr>
            </w:pPr>
            <w:r>
              <w:rPr>
                <w:rFonts w:ascii="黑体" w:hAnsi="黑体" w:eastAsia="黑体"/>
                <w:kern w:val="0"/>
                <w:sz w:val="20"/>
                <w:szCs w:val="20"/>
              </w:rPr>
              <w:t>结果</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64" w:leftChars="-78" w:right="-153" w:rightChars="-73"/>
              <w:jc w:val="center"/>
              <w:rPr>
                <w:rFonts w:ascii="黑体" w:hAnsi="黑体" w:eastAsia="黑体"/>
                <w:kern w:val="0"/>
                <w:sz w:val="20"/>
                <w:szCs w:val="20"/>
              </w:rPr>
            </w:pPr>
            <w:r>
              <w:rPr>
                <w:rFonts w:ascii="黑体" w:hAnsi="黑体" w:eastAsia="黑体"/>
                <w:kern w:val="0"/>
                <w:sz w:val="20"/>
                <w:szCs w:val="20"/>
              </w:rPr>
              <w:t>尚未</w:t>
            </w:r>
          </w:p>
          <w:p>
            <w:pPr>
              <w:widowControl/>
              <w:ind w:left="-164" w:leftChars="-78" w:right="-153" w:rightChars="-73"/>
              <w:jc w:val="center"/>
              <w:rPr>
                <w:rFonts w:ascii="黑体" w:hAnsi="黑体" w:eastAsia="黑体"/>
              </w:rPr>
            </w:pPr>
            <w:r>
              <w:rPr>
                <w:rFonts w:ascii="黑体" w:hAnsi="黑体" w:eastAsia="黑体"/>
                <w:kern w:val="0"/>
                <w:sz w:val="20"/>
                <w:szCs w:val="20"/>
              </w:rPr>
              <w:t>审结</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99" w:leftChars="-47" w:right="-78" w:rightChars="-37"/>
              <w:jc w:val="center"/>
              <w:rPr>
                <w:rFonts w:ascii="黑体" w:hAnsi="黑体" w:eastAsia="黑体"/>
              </w:rPr>
            </w:pPr>
            <w:r>
              <w:rPr>
                <w:rFonts w:ascii="黑体" w:hAnsi="黑体" w:eastAsia="黑体"/>
                <w:kern w:val="0"/>
                <w:sz w:val="20"/>
                <w:szCs w:val="20"/>
              </w:rPr>
              <w:t>结果维持</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36" w:leftChars="-65" w:right="-124" w:rightChars="-59"/>
              <w:jc w:val="center"/>
              <w:rPr>
                <w:rFonts w:ascii="黑体" w:hAnsi="黑体" w:eastAsia="黑体"/>
                <w:kern w:val="0"/>
                <w:sz w:val="20"/>
                <w:szCs w:val="20"/>
              </w:rPr>
            </w:pPr>
            <w:r>
              <w:rPr>
                <w:rFonts w:ascii="黑体" w:hAnsi="黑体" w:eastAsia="黑体"/>
                <w:kern w:val="0"/>
                <w:sz w:val="20"/>
                <w:szCs w:val="20"/>
              </w:rPr>
              <w:t>结果</w:t>
            </w:r>
          </w:p>
          <w:p>
            <w:pPr>
              <w:widowControl/>
              <w:ind w:left="-136" w:leftChars="-65" w:right="-124" w:rightChars="-59"/>
              <w:jc w:val="center"/>
              <w:rPr>
                <w:rFonts w:ascii="黑体" w:hAnsi="黑体" w:eastAsia="黑体"/>
              </w:rPr>
            </w:pPr>
            <w:r>
              <w:rPr>
                <w:rFonts w:ascii="黑体" w:hAnsi="黑体" w:eastAsia="黑体"/>
                <w:kern w:val="0"/>
                <w:sz w:val="20"/>
                <w:szCs w:val="20"/>
              </w:rPr>
              <w:t>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73" w:leftChars="-83" w:right="-134" w:rightChars="-64" w:hanging="1"/>
              <w:jc w:val="center"/>
              <w:rPr>
                <w:rFonts w:ascii="黑体" w:hAnsi="黑体" w:eastAsia="黑体"/>
                <w:kern w:val="0"/>
                <w:sz w:val="20"/>
                <w:szCs w:val="20"/>
              </w:rPr>
            </w:pPr>
            <w:r>
              <w:rPr>
                <w:rFonts w:ascii="黑体" w:hAnsi="黑体" w:eastAsia="黑体"/>
                <w:kern w:val="0"/>
                <w:sz w:val="20"/>
                <w:szCs w:val="20"/>
              </w:rPr>
              <w:t>其他</w:t>
            </w:r>
          </w:p>
          <w:p>
            <w:pPr>
              <w:widowControl/>
              <w:ind w:left="-173" w:leftChars="-83" w:right="-134" w:rightChars="-64" w:hanging="1"/>
              <w:jc w:val="center"/>
              <w:rPr>
                <w:rFonts w:ascii="黑体" w:hAnsi="黑体" w:eastAsia="黑体"/>
              </w:rPr>
            </w:pPr>
            <w:r>
              <w:rPr>
                <w:rFonts w:ascii="黑体" w:hAnsi="黑体" w:eastAsia="黑体"/>
                <w:kern w:val="0"/>
                <w:sz w:val="20"/>
                <w:szCs w:val="20"/>
              </w:rPr>
              <w:t>结果</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67" w:leftChars="-33" w:right="-105" w:rightChars="-50" w:hanging="2" w:hangingChars="1"/>
              <w:jc w:val="center"/>
              <w:rPr>
                <w:rFonts w:ascii="黑体" w:hAnsi="黑体" w:eastAsia="黑体"/>
              </w:rPr>
            </w:pPr>
            <w:r>
              <w:rPr>
                <w:rFonts w:ascii="黑体" w:hAnsi="黑体" w:eastAsia="黑体"/>
                <w:kern w:val="0"/>
                <w:sz w:val="20"/>
                <w:szCs w:val="20"/>
              </w:rPr>
              <w:t>尚未审结</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after="180"/>
              <w:jc w:val="center"/>
              <w:rPr>
                <w:rFonts w:hint="default" w:ascii="Times New Roman" w:hAnsi="Times New Roman" w:eastAsiaTheme="minorEastAsia"/>
                <w:highlight w:val="none"/>
                <w:lang w:val="en-US" w:eastAsia="zh-CN"/>
              </w:rPr>
            </w:pPr>
            <w:r>
              <w:rPr>
                <w:rFonts w:hint="eastAsia" w:ascii="Times New Roman" w:hAnsi="Times New Roman"/>
                <w:highlight w:val="none"/>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default" w:ascii="Times New Roman" w:hAnsi="Times New Roman" w:eastAsiaTheme="minorEastAsia"/>
                <w:highlight w:val="none"/>
                <w:lang w:val="en-US" w:eastAsia="zh-CN"/>
              </w:rPr>
            </w:pPr>
            <w:r>
              <w:rPr>
                <w:rFonts w:hint="eastAsia" w:ascii="Times New Roman" w:hAnsi="Times New Roman"/>
                <w:highlight w:val="none"/>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default" w:ascii="Times New Roman" w:hAnsi="Times New Roman" w:eastAsiaTheme="minorEastAsia"/>
                <w:highlight w:val="none"/>
                <w:lang w:val="en-US" w:eastAsia="zh-CN"/>
              </w:rPr>
            </w:pPr>
            <w:r>
              <w:rPr>
                <w:rFonts w:hint="eastAsia" w:ascii="Times New Roman" w:hAnsi="Times New Roman"/>
                <w:highlight w:val="none"/>
                <w:lang w:val="en-US" w:eastAsia="zh-CN"/>
              </w:rPr>
              <w:t>1</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default" w:ascii="Times New Roman" w:hAnsi="Times New Roman" w:eastAsiaTheme="minorEastAsia"/>
                <w:highlight w:val="none"/>
                <w:lang w:val="en-US" w:eastAsia="zh-CN"/>
              </w:rPr>
            </w:pPr>
            <w:r>
              <w:rPr>
                <w:rFonts w:hint="eastAsia" w:ascii="Times New Roman" w:hAnsi="Times New Roman"/>
                <w:highlight w:val="none"/>
                <w:lang w:val="en-US" w:eastAsia="zh-CN"/>
              </w:rPr>
              <w:t>1</w:t>
            </w:r>
          </w:p>
        </w:tc>
        <w:tc>
          <w:tcPr>
            <w:tcW w:w="658"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default" w:ascii="Times New Roman" w:hAnsi="Times New Roman" w:eastAsiaTheme="minorEastAsia"/>
                <w:highlight w:val="none"/>
                <w:lang w:val="en-US" w:eastAsia="zh-CN"/>
              </w:rPr>
            </w:pPr>
            <w:r>
              <w:rPr>
                <w:rFonts w:hint="eastAsia" w:ascii="Times New Roman" w:hAnsi="Times New Roman"/>
                <w:highlight w:val="none"/>
                <w:lang w:val="en-US" w:eastAsia="zh-CN"/>
              </w:rPr>
              <w:t>2</w:t>
            </w:r>
          </w:p>
        </w:tc>
        <w:tc>
          <w:tcPr>
            <w:tcW w:w="55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default"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default"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default"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default"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default"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rPr>
                <w:rFonts w:hint="eastAsia" w:ascii="Times New Roman" w:hAnsi="Times New Roman" w:eastAsiaTheme="minorEastAsia"/>
                <w:lang w:val="en-US" w:eastAsia="zh-CN"/>
              </w:rPr>
            </w:pPr>
            <w:r>
              <w:rPr>
                <w:rFonts w:hint="eastAsia" w:ascii="Times New Roman" w:hAnsi="Times New Roman"/>
                <w:lang w:val="en-US" w:eastAsia="zh-CN"/>
              </w:rPr>
              <w:t>4</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default"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default" w:ascii="Times New Roman" w:hAnsi="Times New Roman" w:eastAsiaTheme="minorEastAsia"/>
                <w:lang w:val="en-US" w:eastAsia="zh-CN"/>
              </w:rPr>
            </w:pPr>
            <w:r>
              <w:rPr>
                <w:rFonts w:hint="eastAsia" w:ascii="Times New Roman" w:hAnsi="Times New Roman"/>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default" w:ascii="Times New Roman" w:hAnsi="Times New Roman" w:eastAsiaTheme="minorEastAsia"/>
                <w:lang w:val="en-US" w:eastAsia="zh-CN"/>
              </w:rPr>
            </w:pPr>
            <w:r>
              <w:rPr>
                <w:rFonts w:hint="eastAsia" w:ascii="Times New Roman" w:hAnsi="Times New Roman"/>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default" w:ascii="Times New Roman" w:hAnsi="Times New Roman" w:eastAsiaTheme="minorEastAsia"/>
                <w:lang w:val="en-US" w:eastAsia="zh-CN"/>
              </w:rPr>
            </w:pPr>
            <w:r>
              <w:rPr>
                <w:rFonts w:hint="eastAsia" w:ascii="Times New Roman" w:hAnsi="Times New Roman"/>
                <w:lang w:val="en-US" w:eastAsia="zh-CN"/>
              </w:rPr>
              <w:t>4</w:t>
            </w:r>
          </w:p>
        </w:tc>
      </w:tr>
    </w:tbl>
    <w:p>
      <w:pPr>
        <w:pStyle w:val="7"/>
        <w:keepNext w:val="0"/>
        <w:keepLines w:val="0"/>
        <w:pageBreakBefore w:val="0"/>
        <w:widowControl/>
        <w:numPr>
          <w:ilvl w:val="0"/>
          <w:numId w:val="0"/>
        </w:numPr>
        <w:shd w:val="clear" w:color="auto" w:fill="FFFFFF"/>
        <w:kinsoku/>
        <w:wordWrap/>
        <w:overflowPunct/>
        <w:topLinePunct w:val="0"/>
        <w:autoSpaceDE/>
        <w:autoSpaceDN/>
        <w:bidi w:val="0"/>
        <w:spacing w:beforeAutospacing="0" w:afterAutospacing="0" w:line="540" w:lineRule="exact"/>
        <w:ind w:firstLine="640" w:firstLineChars="200"/>
        <w:jc w:val="both"/>
        <w:textAlignment w:val="auto"/>
        <w:rPr>
          <w:rFonts w:hint="eastAsia" w:ascii="黑体" w:hAnsi="黑体" w:eastAsia="黑体" w:cs="宋体"/>
          <w:color w:val="333333"/>
          <w:sz w:val="32"/>
          <w:szCs w:val="32"/>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spacing w:beforeAutospacing="0" w:afterAutospacing="0" w:line="540" w:lineRule="exact"/>
        <w:ind w:firstLine="640" w:firstLineChars="200"/>
        <w:jc w:val="both"/>
        <w:textAlignment w:val="auto"/>
        <w:rPr>
          <w:rFonts w:hint="eastAsia" w:ascii="黑体" w:hAnsi="黑体" w:eastAsia="黑体" w:cs="宋体"/>
          <w:color w:val="333333"/>
          <w:sz w:val="32"/>
          <w:szCs w:val="32"/>
          <w:highlight w:val="none"/>
          <w:shd w:val="clear" w:color="auto" w:fill="FFFFFF"/>
        </w:rPr>
      </w:pPr>
      <w:r>
        <w:rPr>
          <w:rFonts w:hint="eastAsia" w:ascii="黑体" w:hAnsi="黑体" w:eastAsia="黑体" w:cs="宋体"/>
          <w:color w:val="333333"/>
          <w:sz w:val="32"/>
          <w:szCs w:val="32"/>
          <w:highlight w:val="none"/>
          <w:shd w:val="clear" w:color="auto" w:fill="FFFFFF"/>
          <w:lang w:val="en-US" w:eastAsia="zh-CN"/>
        </w:rPr>
        <w:t>五、</w:t>
      </w:r>
      <w:r>
        <w:rPr>
          <w:rFonts w:hint="eastAsia" w:ascii="黑体" w:hAnsi="黑体" w:eastAsia="黑体" w:cs="宋体"/>
          <w:color w:val="333333"/>
          <w:sz w:val="32"/>
          <w:szCs w:val="32"/>
          <w:highlight w:val="none"/>
          <w:shd w:val="clear" w:color="auto" w:fill="FFFFFF"/>
        </w:rPr>
        <w:t>存在的主要问题及改进情况</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both"/>
        <w:rPr>
          <w:rFonts w:hint="eastAsia" w:ascii="仿宋_GB2312" w:hAnsi="微软雅黑" w:eastAsia="仿宋_GB2312" w:cs="仿宋_GB2312"/>
          <w:i w:val="0"/>
          <w:iCs w:val="0"/>
          <w:caps w:val="0"/>
          <w:color w:val="000000"/>
          <w:spacing w:val="0"/>
          <w:kern w:val="0"/>
          <w:sz w:val="32"/>
          <w:szCs w:val="32"/>
          <w:highlight w:val="none"/>
          <w:lang w:val="en-US" w:eastAsia="zh-CN" w:bidi="ar"/>
        </w:rPr>
      </w:pPr>
      <w:r>
        <w:rPr>
          <w:rFonts w:hint="eastAsia" w:ascii="楷体" w:hAnsi="楷体" w:eastAsia="楷体" w:cs="楷体"/>
          <w:b w:val="0"/>
          <w:bCs w:val="0"/>
          <w:i w:val="0"/>
          <w:iCs w:val="0"/>
          <w:caps w:val="0"/>
          <w:color w:val="000000"/>
          <w:spacing w:val="0"/>
          <w:kern w:val="0"/>
          <w:sz w:val="32"/>
          <w:szCs w:val="32"/>
          <w:highlight w:val="none"/>
          <w:lang w:val="en-US" w:eastAsia="zh-CN" w:bidi="ar"/>
        </w:rPr>
        <w:t>主要问题：</w:t>
      </w:r>
      <w:r>
        <w:rPr>
          <w:rFonts w:hint="eastAsia" w:ascii="仿宋_GB2312" w:hAnsi="微软雅黑" w:eastAsia="仿宋_GB2312" w:cs="仿宋_GB2312"/>
          <w:b/>
          <w:bCs/>
          <w:i w:val="0"/>
          <w:iCs w:val="0"/>
          <w:caps w:val="0"/>
          <w:color w:val="000000"/>
          <w:spacing w:val="0"/>
          <w:kern w:val="0"/>
          <w:sz w:val="32"/>
          <w:szCs w:val="32"/>
          <w:highlight w:val="none"/>
          <w:lang w:val="en-US" w:eastAsia="zh-CN" w:bidi="ar"/>
        </w:rPr>
        <w:t>一是</w:t>
      </w:r>
      <w:r>
        <w:rPr>
          <w:rFonts w:hint="eastAsia" w:ascii="仿宋_GB2312" w:hAnsi="微软雅黑" w:eastAsia="仿宋_GB2312" w:cs="仿宋_GB2312"/>
          <w:i w:val="0"/>
          <w:iCs w:val="0"/>
          <w:caps w:val="0"/>
          <w:color w:val="000000"/>
          <w:spacing w:val="0"/>
          <w:kern w:val="0"/>
          <w:sz w:val="32"/>
          <w:szCs w:val="32"/>
          <w:highlight w:val="none"/>
          <w:lang w:val="en-US" w:eastAsia="zh-CN" w:bidi="ar"/>
        </w:rPr>
        <w:t>政策解读不够精准，难以满足群众对政策深度理解的需求，与群众期待尚有一定差距；</w:t>
      </w:r>
      <w:r>
        <w:rPr>
          <w:rFonts w:hint="eastAsia" w:ascii="仿宋_GB2312" w:hAnsi="微软雅黑" w:eastAsia="仿宋_GB2312" w:cs="仿宋_GB2312"/>
          <w:b/>
          <w:bCs/>
          <w:i w:val="0"/>
          <w:iCs w:val="0"/>
          <w:caps w:val="0"/>
          <w:color w:val="000000"/>
          <w:spacing w:val="0"/>
          <w:kern w:val="0"/>
          <w:sz w:val="32"/>
          <w:szCs w:val="32"/>
          <w:highlight w:val="none"/>
          <w:lang w:val="en-US" w:eastAsia="zh-CN" w:bidi="ar"/>
        </w:rPr>
        <w:t>二是</w:t>
      </w:r>
      <w:r>
        <w:rPr>
          <w:rFonts w:hint="eastAsia" w:ascii="仿宋_GB2312" w:hAnsi="微软雅黑" w:eastAsia="仿宋_GB2312" w:cs="仿宋_GB2312"/>
          <w:i w:val="0"/>
          <w:iCs w:val="0"/>
          <w:caps w:val="0"/>
          <w:color w:val="000000"/>
          <w:spacing w:val="0"/>
          <w:kern w:val="0"/>
          <w:sz w:val="32"/>
          <w:szCs w:val="32"/>
          <w:highlight w:val="none"/>
          <w:lang w:val="en-US" w:eastAsia="zh-CN" w:bidi="ar"/>
        </w:rPr>
        <w:t>对于群众关心的热点难点问题公开的不够深入，存在部分公开内容不全面的情况；</w:t>
      </w:r>
      <w:r>
        <w:rPr>
          <w:rFonts w:hint="eastAsia" w:ascii="仿宋_GB2312" w:hAnsi="微软雅黑" w:eastAsia="仿宋_GB2312" w:cs="仿宋_GB2312"/>
          <w:b/>
          <w:bCs/>
          <w:i w:val="0"/>
          <w:iCs w:val="0"/>
          <w:caps w:val="0"/>
          <w:color w:val="000000"/>
          <w:spacing w:val="0"/>
          <w:kern w:val="0"/>
          <w:sz w:val="32"/>
          <w:szCs w:val="32"/>
          <w:highlight w:val="none"/>
          <w:lang w:val="en-US" w:eastAsia="zh-CN" w:bidi="ar"/>
        </w:rPr>
        <w:t>三是</w:t>
      </w:r>
      <w:r>
        <w:rPr>
          <w:rFonts w:hint="eastAsia" w:ascii="仿宋_GB2312" w:hAnsi="微软雅黑" w:eastAsia="仿宋_GB2312" w:cs="仿宋_GB2312"/>
          <w:b w:val="0"/>
          <w:bCs w:val="0"/>
          <w:i w:val="0"/>
          <w:iCs w:val="0"/>
          <w:caps w:val="0"/>
          <w:color w:val="000000"/>
          <w:spacing w:val="0"/>
          <w:kern w:val="0"/>
          <w:sz w:val="32"/>
          <w:szCs w:val="32"/>
          <w:highlight w:val="none"/>
          <w:lang w:val="en-US" w:eastAsia="zh-CN" w:bidi="ar"/>
        </w:rPr>
        <w:t>单位内部信息发布联动机</w:t>
      </w:r>
      <w:r>
        <w:rPr>
          <w:rFonts w:hint="eastAsia" w:ascii="仿宋_GB2312" w:hAnsi="微软雅黑" w:eastAsia="仿宋_GB2312" w:cs="仿宋_GB2312"/>
          <w:i w:val="0"/>
          <w:iCs w:val="0"/>
          <w:caps w:val="0"/>
          <w:color w:val="000000"/>
          <w:spacing w:val="0"/>
          <w:kern w:val="0"/>
          <w:sz w:val="32"/>
          <w:szCs w:val="32"/>
          <w:highlight w:val="none"/>
          <w:lang w:val="en-US" w:eastAsia="zh-CN" w:bidi="ar"/>
        </w:rPr>
        <w:t>制有待加强，信息发布和更新效率有待提高。</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both"/>
        <w:rPr>
          <w:rFonts w:hint="eastAsia"/>
          <w:lang w:val="en-US" w:eastAsia="zh-CN"/>
        </w:rPr>
      </w:pPr>
      <w:r>
        <w:rPr>
          <w:rFonts w:hint="eastAsia" w:ascii="楷体" w:hAnsi="楷体" w:eastAsia="楷体" w:cs="楷体"/>
          <w:b w:val="0"/>
          <w:bCs w:val="0"/>
          <w:i w:val="0"/>
          <w:iCs w:val="0"/>
          <w:caps w:val="0"/>
          <w:color w:val="000000"/>
          <w:spacing w:val="0"/>
          <w:kern w:val="0"/>
          <w:sz w:val="32"/>
          <w:szCs w:val="32"/>
          <w:highlight w:val="none"/>
          <w:lang w:val="en-US" w:eastAsia="zh-CN" w:bidi="ar"/>
        </w:rPr>
        <w:t>改进情况：</w:t>
      </w:r>
      <w:r>
        <w:rPr>
          <w:rFonts w:hint="eastAsia" w:ascii="仿宋_GB2312" w:hAnsi="微软雅黑" w:eastAsia="仿宋_GB2312" w:cs="仿宋_GB2312"/>
          <w:b/>
          <w:bCs/>
          <w:i w:val="0"/>
          <w:iCs w:val="0"/>
          <w:caps w:val="0"/>
          <w:color w:val="000000"/>
          <w:spacing w:val="0"/>
          <w:kern w:val="0"/>
          <w:sz w:val="32"/>
          <w:szCs w:val="32"/>
          <w:highlight w:val="none"/>
          <w:lang w:val="en-US" w:eastAsia="zh-CN" w:bidi="ar"/>
        </w:rPr>
        <w:t>一是</w:t>
      </w:r>
      <w:r>
        <w:rPr>
          <w:rFonts w:hint="eastAsia" w:ascii="仿宋_GB2312" w:hAnsi="微软雅黑" w:eastAsia="仿宋_GB2312" w:cs="仿宋_GB2312"/>
          <w:i w:val="0"/>
          <w:iCs w:val="0"/>
          <w:caps w:val="0"/>
          <w:color w:val="000000"/>
          <w:spacing w:val="0"/>
          <w:kern w:val="0"/>
          <w:sz w:val="32"/>
          <w:szCs w:val="32"/>
          <w:highlight w:val="none"/>
          <w:lang w:val="en-US" w:eastAsia="zh-CN" w:bidi="ar"/>
        </w:rPr>
        <w:t>加大政策解读审核和指导，切实增进解读效果，创新解读形式，增强信息的可读性和吸引力；</w:t>
      </w:r>
      <w:r>
        <w:rPr>
          <w:rFonts w:hint="eastAsia" w:ascii="仿宋_GB2312" w:hAnsi="微软雅黑" w:eastAsia="仿宋_GB2312" w:cs="仿宋_GB2312"/>
          <w:b/>
          <w:bCs/>
          <w:i w:val="0"/>
          <w:iCs w:val="0"/>
          <w:caps w:val="0"/>
          <w:color w:val="000000"/>
          <w:spacing w:val="0"/>
          <w:kern w:val="0"/>
          <w:sz w:val="32"/>
          <w:szCs w:val="32"/>
          <w:highlight w:val="none"/>
          <w:lang w:val="en-US" w:eastAsia="zh-CN" w:bidi="ar"/>
        </w:rPr>
        <w:t>二是</w:t>
      </w:r>
      <w:r>
        <w:rPr>
          <w:rFonts w:hint="eastAsia" w:ascii="仿宋_GB2312" w:hAnsi="微软雅黑" w:eastAsia="仿宋_GB2312" w:cs="仿宋_GB2312"/>
          <w:i w:val="0"/>
          <w:iCs w:val="0"/>
          <w:caps w:val="0"/>
          <w:color w:val="000000"/>
          <w:spacing w:val="0"/>
          <w:kern w:val="0"/>
          <w:sz w:val="32"/>
          <w:szCs w:val="32"/>
          <w:highlight w:val="none"/>
          <w:lang w:val="en-US" w:eastAsia="zh-CN" w:bidi="ar"/>
        </w:rPr>
        <w:t>围绕乡村振兴、民生实事、重大项目建设等重点领域，加大信息公开力度，加强对热点难点问题的舆情监测和回应，主动发声、正面引导；</w:t>
      </w:r>
      <w:r>
        <w:rPr>
          <w:rFonts w:hint="eastAsia" w:ascii="仿宋_GB2312" w:hAnsi="微软雅黑" w:eastAsia="仿宋_GB2312" w:cs="仿宋_GB2312"/>
          <w:b/>
          <w:bCs/>
          <w:i w:val="0"/>
          <w:iCs w:val="0"/>
          <w:caps w:val="0"/>
          <w:color w:val="000000"/>
          <w:spacing w:val="0"/>
          <w:kern w:val="0"/>
          <w:sz w:val="32"/>
          <w:szCs w:val="32"/>
          <w:highlight w:val="none"/>
          <w:lang w:val="en-US" w:eastAsia="zh-CN" w:bidi="ar"/>
        </w:rPr>
        <w:t>三是</w:t>
      </w:r>
      <w:r>
        <w:rPr>
          <w:rFonts w:hint="eastAsia" w:ascii="仿宋_GB2312" w:hAnsi="微软雅黑" w:eastAsia="仿宋_GB2312" w:cs="仿宋_GB2312"/>
          <w:i w:val="0"/>
          <w:iCs w:val="0"/>
          <w:caps w:val="0"/>
          <w:color w:val="000000"/>
          <w:spacing w:val="0"/>
          <w:kern w:val="0"/>
          <w:sz w:val="32"/>
          <w:szCs w:val="32"/>
          <w:highlight w:val="none"/>
          <w:lang w:val="en-US" w:eastAsia="zh-CN" w:bidi="ar"/>
        </w:rPr>
        <w:t>严格执行“三审三校”制度，确保信息的准确性和权威性，加强多科室协作，建立信息互通共享机制，推动信息公开工作规范化。</w:t>
      </w:r>
    </w:p>
    <w:p>
      <w:pPr>
        <w:pStyle w:val="7"/>
        <w:keepNext w:val="0"/>
        <w:keepLines w:val="0"/>
        <w:pageBreakBefore w:val="0"/>
        <w:widowControl/>
        <w:shd w:val="clear" w:color="auto" w:fill="FFFFFF"/>
        <w:kinsoku/>
        <w:wordWrap/>
        <w:overflowPunct/>
        <w:topLinePunct w:val="0"/>
        <w:autoSpaceDE/>
        <w:autoSpaceDN/>
        <w:bidi w:val="0"/>
        <w:spacing w:beforeAutospacing="0" w:afterAutospacing="0" w:line="540" w:lineRule="exact"/>
        <w:ind w:firstLine="640" w:firstLineChars="200"/>
        <w:jc w:val="both"/>
        <w:textAlignment w:val="auto"/>
        <w:rPr>
          <w:rFonts w:hint="eastAsia" w:ascii="黑体" w:hAnsi="黑体" w:eastAsia="黑体" w:cs="宋体"/>
          <w:color w:val="333333"/>
          <w:sz w:val="32"/>
          <w:szCs w:val="32"/>
          <w:shd w:val="clear" w:color="auto" w:fill="FFFFFF"/>
        </w:rPr>
      </w:pPr>
      <w:r>
        <w:rPr>
          <w:rFonts w:hint="eastAsia" w:ascii="黑体" w:hAnsi="黑体" w:eastAsia="黑体" w:cs="宋体"/>
          <w:color w:val="333333"/>
          <w:sz w:val="32"/>
          <w:szCs w:val="32"/>
          <w:shd w:val="clear" w:color="auto" w:fill="FFFFFF"/>
        </w:rPr>
        <w:t>六、其他需要报告的事项</w:t>
      </w:r>
    </w:p>
    <w:p>
      <w:pPr>
        <w:keepNext w:val="0"/>
        <w:keepLines w:val="0"/>
        <w:pageBreakBefore w:val="0"/>
        <w:kinsoku/>
        <w:wordWrap/>
        <w:overflowPunct/>
        <w:topLinePunct w:val="0"/>
        <w:autoSpaceDE/>
        <w:autoSpaceDN/>
        <w:bidi w:val="0"/>
        <w:spacing w:line="54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1.</w:t>
      </w:r>
      <w:r>
        <w:rPr>
          <w:rFonts w:hint="eastAsia" w:ascii="仿宋_GB2312" w:eastAsia="仿宋_GB2312"/>
          <w:sz w:val="32"/>
          <w:szCs w:val="32"/>
        </w:rPr>
        <w:t>收取信息处理费情况方面。202</w:t>
      </w:r>
      <w:r>
        <w:rPr>
          <w:rFonts w:hint="eastAsia" w:ascii="仿宋_GB2312" w:eastAsia="仿宋_GB2312"/>
          <w:sz w:val="32"/>
          <w:szCs w:val="32"/>
          <w:lang w:val="en-US" w:eastAsia="zh-CN"/>
        </w:rPr>
        <w:t>4</w:t>
      </w:r>
      <w:r>
        <w:rPr>
          <w:rFonts w:hint="eastAsia" w:ascii="仿宋_GB2312" w:eastAsia="仿宋_GB2312"/>
          <w:sz w:val="32"/>
          <w:szCs w:val="32"/>
        </w:rPr>
        <w:t>年度，本单位未收取信息处理费；</w:t>
      </w:r>
    </w:p>
    <w:p>
      <w:pPr>
        <w:keepNext w:val="0"/>
        <w:keepLines w:val="0"/>
        <w:pageBreakBefore w:val="0"/>
        <w:kinsoku/>
        <w:wordWrap/>
        <w:overflowPunct/>
        <w:topLinePunct w:val="0"/>
        <w:autoSpaceDE/>
        <w:autoSpaceDN/>
        <w:bidi w:val="0"/>
        <w:spacing w:line="54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2.</w:t>
      </w:r>
      <w:r>
        <w:rPr>
          <w:rFonts w:hint="eastAsia" w:ascii="仿宋_GB2312" w:eastAsia="仿宋_GB2312"/>
          <w:sz w:val="32"/>
          <w:szCs w:val="32"/>
        </w:rPr>
        <w:t>落实上级年度政务公开工作要点情况。对照《</w:t>
      </w:r>
      <w:r>
        <w:rPr>
          <w:rFonts w:hint="eastAsia" w:ascii="仿宋_GB2312" w:eastAsia="仿宋_GB2312"/>
          <w:sz w:val="32"/>
          <w:szCs w:val="32"/>
          <w:lang w:eastAsia="zh-CN"/>
        </w:rPr>
        <w:t>枣庄市</w:t>
      </w:r>
      <w:r>
        <w:rPr>
          <w:rFonts w:hint="eastAsia" w:ascii="仿宋_GB2312" w:eastAsia="仿宋_GB2312"/>
          <w:sz w:val="32"/>
          <w:szCs w:val="32"/>
        </w:rPr>
        <w:t>202</w:t>
      </w:r>
      <w:r>
        <w:rPr>
          <w:rFonts w:hint="eastAsia" w:ascii="仿宋_GB2312" w:eastAsia="仿宋_GB2312"/>
          <w:sz w:val="32"/>
          <w:szCs w:val="32"/>
          <w:lang w:val="en-US" w:eastAsia="zh-CN"/>
        </w:rPr>
        <w:t>4</w:t>
      </w:r>
      <w:r>
        <w:rPr>
          <w:rFonts w:hint="eastAsia" w:ascii="仿宋_GB2312" w:eastAsia="仿宋_GB2312"/>
          <w:sz w:val="32"/>
          <w:szCs w:val="32"/>
        </w:rPr>
        <w:t>年政务公开政务公开工作要点》，印发</w:t>
      </w:r>
      <w:r>
        <w:rPr>
          <w:rFonts w:hint="eastAsia" w:ascii="仿宋_GB2312" w:eastAsia="仿宋_GB2312"/>
          <w:sz w:val="32"/>
          <w:szCs w:val="32"/>
          <w:lang w:eastAsia="zh-CN"/>
        </w:rPr>
        <w:t>《</w:t>
      </w:r>
      <w:r>
        <w:rPr>
          <w:rFonts w:hint="eastAsia" w:ascii="仿宋_GB2312" w:hAnsi="宋体" w:eastAsia="仿宋_GB2312" w:cs="宋体"/>
          <w:kern w:val="0"/>
          <w:sz w:val="32"/>
          <w:szCs w:val="32"/>
          <w:lang w:val="en-US" w:eastAsia="zh-CN" w:bidi="ar-SA"/>
        </w:rPr>
        <w:t>滕州市2024年政务公开工作要点》</w:t>
      </w:r>
      <w:r>
        <w:rPr>
          <w:rFonts w:hint="eastAsia" w:ascii="仿宋_GB2312" w:eastAsia="仿宋_GB2312"/>
          <w:sz w:val="32"/>
          <w:szCs w:val="32"/>
        </w:rPr>
        <w:t>，围绕重点领域信息公开、政策发布解读与回应、政民互动、</w:t>
      </w:r>
      <w:r>
        <w:rPr>
          <w:rFonts w:hint="eastAsia" w:ascii="仿宋_GB2312" w:eastAsia="仿宋_GB2312"/>
          <w:sz w:val="32"/>
          <w:szCs w:val="32"/>
          <w:lang w:eastAsia="zh-CN"/>
        </w:rPr>
        <w:t>基层政务</w:t>
      </w:r>
      <w:r>
        <w:rPr>
          <w:rFonts w:hint="eastAsia" w:ascii="仿宋_GB2312" w:eastAsia="仿宋_GB2312"/>
          <w:sz w:val="32"/>
          <w:szCs w:val="32"/>
        </w:rPr>
        <w:t>公开标准化规范化建设和工作保障和落实逐项明确责任主体</w:t>
      </w:r>
      <w:r>
        <w:rPr>
          <w:rFonts w:hint="eastAsia" w:ascii="仿宋_GB2312" w:eastAsia="仿宋_GB2312"/>
          <w:sz w:val="32"/>
          <w:szCs w:val="32"/>
          <w:lang w:eastAsia="zh-CN"/>
        </w:rPr>
        <w:t>和完成时限</w:t>
      </w:r>
      <w:r>
        <w:rPr>
          <w:rFonts w:hint="eastAsia" w:ascii="仿宋_GB2312" w:eastAsia="仿宋_GB2312"/>
          <w:sz w:val="32"/>
          <w:szCs w:val="32"/>
        </w:rPr>
        <w:t>。</w:t>
      </w:r>
    </w:p>
    <w:p>
      <w:pPr>
        <w:keepNext w:val="0"/>
        <w:keepLines w:val="0"/>
        <w:pageBreakBefore w:val="0"/>
        <w:kinsoku/>
        <w:wordWrap/>
        <w:overflowPunct/>
        <w:topLinePunct w:val="0"/>
        <w:autoSpaceDE/>
        <w:autoSpaceDN/>
        <w:bidi w:val="0"/>
        <w:spacing w:line="54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3.</w:t>
      </w:r>
      <w:r>
        <w:rPr>
          <w:rFonts w:hint="eastAsia" w:ascii="仿宋_GB2312" w:eastAsia="仿宋_GB2312"/>
          <w:sz w:val="32"/>
          <w:szCs w:val="32"/>
        </w:rPr>
        <w:t>人大代表建议和政协提案办理情况方面。20</w:t>
      </w:r>
      <w:r>
        <w:rPr>
          <w:rFonts w:hint="eastAsia" w:ascii="仿宋_GB2312" w:eastAsia="仿宋_GB2312"/>
          <w:sz w:val="32"/>
          <w:szCs w:val="32"/>
          <w:lang w:val="en-US" w:eastAsia="zh-CN"/>
        </w:rPr>
        <w:t>24</w:t>
      </w:r>
      <w:r>
        <w:rPr>
          <w:rFonts w:hint="eastAsia" w:ascii="仿宋_GB2312" w:eastAsia="仿宋_GB2312"/>
          <w:sz w:val="32"/>
          <w:szCs w:val="32"/>
        </w:rPr>
        <w:t>年，</w:t>
      </w:r>
      <w:r>
        <w:rPr>
          <w:rFonts w:hint="eastAsia" w:ascii="仿宋_GB2312" w:eastAsia="仿宋_GB2312"/>
          <w:spacing w:val="-6"/>
          <w:sz w:val="32"/>
          <w:szCs w:val="32"/>
          <w:lang w:eastAsia="zh-CN"/>
        </w:rPr>
        <w:t>政府办公室</w:t>
      </w:r>
      <w:r>
        <w:rPr>
          <w:rFonts w:hint="eastAsia" w:ascii="仿宋_GB2312" w:eastAsia="仿宋_GB2312"/>
          <w:spacing w:val="-6"/>
          <w:sz w:val="32"/>
          <w:szCs w:val="32"/>
          <w:lang w:val="en-US" w:eastAsia="zh-CN"/>
        </w:rPr>
        <w:t>承办</w:t>
      </w:r>
      <w:r>
        <w:rPr>
          <w:rFonts w:ascii="仿宋_GB2312" w:eastAsia="仿宋_GB2312"/>
          <w:spacing w:val="-6"/>
          <w:sz w:val="32"/>
          <w:szCs w:val="32"/>
        </w:rPr>
        <w:t>政协提案</w:t>
      </w:r>
      <w:r>
        <w:rPr>
          <w:rFonts w:hint="eastAsia" w:ascii="仿宋_GB2312" w:eastAsia="仿宋_GB2312"/>
          <w:spacing w:val="-6"/>
          <w:sz w:val="32"/>
          <w:szCs w:val="32"/>
          <w:lang w:val="en-US" w:eastAsia="zh-CN"/>
        </w:rPr>
        <w:t>2件，现已办结，并向社会公布</w:t>
      </w:r>
      <w:r>
        <w:rPr>
          <w:rFonts w:hint="eastAsia" w:ascii="仿宋_GB2312" w:eastAsia="仿宋_GB2312"/>
          <w:spacing w:val="-6"/>
          <w:sz w:val="32"/>
          <w:szCs w:val="32"/>
          <w:lang w:eastAsia="zh-CN"/>
        </w:rPr>
        <w:t>。没有承办</w:t>
      </w:r>
      <w:r>
        <w:rPr>
          <w:rFonts w:ascii="仿宋_GB2312" w:eastAsia="仿宋_GB2312"/>
          <w:spacing w:val="-6"/>
          <w:sz w:val="32"/>
          <w:szCs w:val="32"/>
        </w:rPr>
        <w:t>人大代表建议</w:t>
      </w:r>
      <w:r>
        <w:rPr>
          <w:rFonts w:hint="eastAsia" w:ascii="仿宋_GB2312" w:eastAsia="仿宋_GB2312"/>
          <w:spacing w:val="-6"/>
          <w:sz w:val="32"/>
          <w:szCs w:val="32"/>
          <w:highlight w:val="none"/>
          <w:lang w:val="en-US" w:eastAsia="zh-CN"/>
        </w:rPr>
        <w:t>。</w:t>
      </w:r>
    </w:p>
    <w:p>
      <w:pPr>
        <w:keepNext w:val="0"/>
        <w:keepLines w:val="0"/>
        <w:pageBreakBefore w:val="0"/>
        <w:widowControl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eastAsia="仿宋_GB2312"/>
          <w:sz w:val="32"/>
          <w:szCs w:val="32"/>
          <w:lang w:val="en-US" w:eastAsia="zh-CN"/>
        </w:rPr>
        <w:t>4.</w:t>
      </w:r>
      <w:r>
        <w:rPr>
          <w:rFonts w:hint="eastAsia" w:ascii="仿宋_GB2312" w:eastAsia="仿宋_GB2312"/>
          <w:sz w:val="32"/>
          <w:szCs w:val="32"/>
        </w:rPr>
        <w:t>开展政务公开创新方面。</w:t>
      </w:r>
      <w:r>
        <w:rPr>
          <w:rFonts w:hint="eastAsia" w:ascii="仿宋_GB2312" w:hAnsi="仿宋_GB2312" w:eastAsia="仿宋_GB2312" w:cs="仿宋_GB2312"/>
          <w:sz w:val="32"/>
          <w:szCs w:val="32"/>
          <w:lang w:val="en-US" w:eastAsia="zh-CN"/>
        </w:rPr>
        <w:t>一是采取社会化购买服务方式，对政策文件开展多形式解读。重点在图片化、视频化上下功夫，用群众喜爱的方式和简单易懂的语言，开展政策解读，全面提升政策解读质量和效果。</w:t>
      </w:r>
      <w:r>
        <w:rPr>
          <w:rFonts w:hint="eastAsia" w:ascii="仿宋_GB2312" w:hAnsi="仿宋_GB2312" w:eastAsia="仿宋_GB2312" w:cs="仿宋_GB2312"/>
          <w:i w:val="0"/>
          <w:iCs w:val="0"/>
          <w:caps w:val="0"/>
          <w:color w:val="auto"/>
          <w:spacing w:val="0"/>
          <w:sz w:val="32"/>
          <w:szCs w:val="32"/>
          <w:shd w:val="clear" w:color="auto" w:fill="FFFFFF"/>
          <w:lang w:eastAsia="zh-CN"/>
        </w:rPr>
        <w:t>二是</w:t>
      </w:r>
      <w:r>
        <w:rPr>
          <w:rFonts w:hint="eastAsia" w:ascii="仿宋_GB2312" w:hAnsi="仿宋_GB2312" w:eastAsia="仿宋_GB2312" w:cs="仿宋_GB2312"/>
          <w:b w:val="0"/>
          <w:bCs w:val="0"/>
          <w:color w:val="auto"/>
          <w:sz w:val="32"/>
          <w:szCs w:val="32"/>
          <w:lang w:val="en-US" w:eastAsia="zh-CN"/>
        </w:rPr>
        <w:t>组织开展“政府开放月”系列活动，共举办34场政府开放日活动。活动开展以来，社会各界代表通过实地参观、听取汇报、交流座谈等方式零距离走进政府工作，体验近年来政府服务工作的发展变化，搭建了政府与群众之间的沟通桥梁，增强政府公信力、凝聚力和执行力。</w:t>
      </w:r>
    </w:p>
    <w:p>
      <w:pPr>
        <w:keepNext w:val="0"/>
        <w:keepLines w:val="0"/>
        <w:pageBreakBefore w:val="0"/>
        <w:widowControl w:val="0"/>
        <w:kinsoku/>
        <w:wordWrap/>
        <w:overflowPunct/>
        <w:topLinePunct w:val="0"/>
        <w:autoSpaceDE/>
        <w:autoSpaceDN/>
        <w:bidi w:val="0"/>
        <w:spacing w:line="52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5.</w:t>
      </w:r>
      <w:r>
        <w:rPr>
          <w:rFonts w:hint="eastAsia" w:ascii="仿宋_GB2312" w:eastAsia="仿宋_GB2312"/>
          <w:sz w:val="32"/>
          <w:szCs w:val="32"/>
        </w:rPr>
        <w:t>本单位政府信息公开工作年度报告数据统计需要说明的事项：无</w:t>
      </w:r>
    </w:p>
    <w:p>
      <w:pPr>
        <w:keepNext w:val="0"/>
        <w:keepLines w:val="0"/>
        <w:pageBreakBefore w:val="0"/>
        <w:widowControl w:val="0"/>
        <w:kinsoku/>
        <w:wordWrap/>
        <w:overflowPunct/>
        <w:topLinePunct w:val="0"/>
        <w:autoSpaceDE/>
        <w:autoSpaceDN/>
        <w:bidi w:val="0"/>
        <w:spacing w:line="52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6.</w:t>
      </w:r>
      <w:r>
        <w:rPr>
          <w:rFonts w:hint="eastAsia" w:ascii="仿宋_GB2312" w:eastAsia="仿宋_GB2312"/>
          <w:sz w:val="32"/>
          <w:szCs w:val="32"/>
        </w:rPr>
        <w:t>其他有关文件专门要求通过政府信息公开工作年度报告予以报告的事项：无</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pPr>
      <w:r>
        <w:rPr>
          <w:rFonts w:hint="eastAsia" w:ascii="仿宋_GB2312" w:hAnsi="仿宋_GB2312" w:eastAsia="仿宋_GB2312" w:cs="仿宋_GB2312"/>
          <w:sz w:val="32"/>
          <w:szCs w:val="32"/>
          <w:lang w:val="en-US" w:eastAsia="zh-CN"/>
        </w:rPr>
        <w:t>7.本报告的电子版可在“中国滕州网”（http://www.tengzhou.gov.cn/）网站查询和下载。如对本报告有任何疑问，请与滕州市政府办公室政务公开办公室联系。 （地址：山东省滕州市北辛中路政务中心 625 房间，联系电话：0632—5513369，电子邮箱：</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"mailto:tzzwgk@zz.shandong.cn）。"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tzzwgk@zz.shandong.cn</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仿宋_GB2312" w:hAnsi="宋体" w:eastAsia="仿宋_GB2312" w:cs="仿宋_GB2312"/>
          <w:i w:val="0"/>
          <w:caps w:val="0"/>
          <w:color w:val="000000"/>
          <w:spacing w:val="0"/>
          <w:kern w:val="0"/>
          <w:sz w:val="32"/>
          <w:szCs w:val="32"/>
          <w:highlight w:val="none"/>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540" w:lineRule="exact"/>
        <w:ind w:firstLine="420" w:firstLineChars="200"/>
        <w:textAlignment w:val="auto"/>
      </w:pPr>
      <w:bookmarkStart w:id="0" w:name="_GoBack"/>
      <w:bookmarkEnd w:id="0"/>
    </w:p>
    <w:sectPr>
      <w:headerReference r:id="rId3" w:type="default"/>
      <w:footerReference r:id="rId4" w:type="default"/>
      <w:pgSz w:w="11906" w:h="16838"/>
      <w:pgMar w:top="1383"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ÃƒÂ¥Ã‚Â¾Ã‚Â®ÃƒÂ¨Ã‚Â½Ã‚Â¯ÃƒÂ©Ã¢â">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汉仪旗黑-55简">
    <w:altName w:val="方正黑体_GBK"/>
    <w:panose1 w:val="00020600040101010101"/>
    <w:charset w:val="80"/>
    <w:family w:val="auto"/>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方正黑体_GBK">
    <w:panose1 w:val="02000000000000000000"/>
    <w:charset w:val="86"/>
    <w:family w:val="auto"/>
    <w:pitch w:val="default"/>
    <w:sig w:usb0="A00002BF" w:usb1="38CF7CFA" w:usb2="00082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PAGE  \* MERGEFORMAT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14</w:t>
                          </w:r>
                          <w:r>
                            <w:rPr>
                              <w:rFonts w:hint="eastAsia" w:ascii="新宋体" w:hAnsi="新宋体" w:eastAsia="新宋体" w:cs="新宋体"/>
                              <w:sz w:val="24"/>
                              <w:szCs w:val="24"/>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fill on="f" focussize="0,0"/>
              <v:stroke on="f" weight="0.5pt"/>
              <v:imagedata o:title=""/>
              <o:lock v:ext="edit" aspectratio="f"/>
              <v:textbox inset="0mm,0mm,0mm,0mm" style="mso-fit-shape-to-text:t;">
                <w:txbxContent>
                  <w:p>
                    <w:pPr>
                      <w:pStyle w:val="5"/>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PAGE  \* MERGEFORMAT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14</w:t>
                    </w:r>
                    <w:r>
                      <w:rPr>
                        <w:rFonts w:hint="eastAsia" w:ascii="新宋体" w:hAnsi="新宋体" w:eastAsia="新宋体" w:cs="新宋体"/>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xNDc0NjVkYTc3YmU3ZTg1OGEzMDcxZDFlNTI5MTUifQ=="/>
  </w:docVars>
  <w:rsids>
    <w:rsidRoot w:val="21820AB8"/>
    <w:rsid w:val="005F431D"/>
    <w:rsid w:val="00781A5E"/>
    <w:rsid w:val="020D5D15"/>
    <w:rsid w:val="0257771D"/>
    <w:rsid w:val="03987BFB"/>
    <w:rsid w:val="058442AE"/>
    <w:rsid w:val="05A45DF1"/>
    <w:rsid w:val="05E565C5"/>
    <w:rsid w:val="06CE2604"/>
    <w:rsid w:val="077C5CB6"/>
    <w:rsid w:val="0998778C"/>
    <w:rsid w:val="0CD345CA"/>
    <w:rsid w:val="0DFECE63"/>
    <w:rsid w:val="0F296ED6"/>
    <w:rsid w:val="10D95F27"/>
    <w:rsid w:val="11426A31"/>
    <w:rsid w:val="1256652B"/>
    <w:rsid w:val="12EF0AA7"/>
    <w:rsid w:val="12F274C7"/>
    <w:rsid w:val="133C76FB"/>
    <w:rsid w:val="146C6547"/>
    <w:rsid w:val="183F222E"/>
    <w:rsid w:val="1890623A"/>
    <w:rsid w:val="198B0FEE"/>
    <w:rsid w:val="1991373A"/>
    <w:rsid w:val="19A14243"/>
    <w:rsid w:val="1A6522F4"/>
    <w:rsid w:val="1B2C1FD9"/>
    <w:rsid w:val="1C4B6240"/>
    <w:rsid w:val="1C901919"/>
    <w:rsid w:val="1CFE0661"/>
    <w:rsid w:val="1D35577C"/>
    <w:rsid w:val="1FFDA7A1"/>
    <w:rsid w:val="2152442C"/>
    <w:rsid w:val="21820AB8"/>
    <w:rsid w:val="21F7620D"/>
    <w:rsid w:val="222334A6"/>
    <w:rsid w:val="23944326"/>
    <w:rsid w:val="24982636"/>
    <w:rsid w:val="24FB4256"/>
    <w:rsid w:val="252E5D6D"/>
    <w:rsid w:val="25455921"/>
    <w:rsid w:val="2581571E"/>
    <w:rsid w:val="2712125D"/>
    <w:rsid w:val="27343A60"/>
    <w:rsid w:val="28C73537"/>
    <w:rsid w:val="296E73F2"/>
    <w:rsid w:val="29DB7D86"/>
    <w:rsid w:val="2B5F63B9"/>
    <w:rsid w:val="2B5FBA9F"/>
    <w:rsid w:val="2D1C4834"/>
    <w:rsid w:val="2F7C1892"/>
    <w:rsid w:val="2FAD5A30"/>
    <w:rsid w:val="30772837"/>
    <w:rsid w:val="308B2707"/>
    <w:rsid w:val="30A13FA4"/>
    <w:rsid w:val="30D8131D"/>
    <w:rsid w:val="31C37D95"/>
    <w:rsid w:val="337D865B"/>
    <w:rsid w:val="34083D1C"/>
    <w:rsid w:val="344A6670"/>
    <w:rsid w:val="35962709"/>
    <w:rsid w:val="35B369FC"/>
    <w:rsid w:val="37454701"/>
    <w:rsid w:val="374DB009"/>
    <w:rsid w:val="3AC81FE2"/>
    <w:rsid w:val="3B911029"/>
    <w:rsid w:val="3C1507AB"/>
    <w:rsid w:val="3C5055BF"/>
    <w:rsid w:val="3DAE1481"/>
    <w:rsid w:val="3E10092B"/>
    <w:rsid w:val="3EE80FE8"/>
    <w:rsid w:val="3F446ADE"/>
    <w:rsid w:val="3F737371"/>
    <w:rsid w:val="3FEEAAEE"/>
    <w:rsid w:val="404E727E"/>
    <w:rsid w:val="41272213"/>
    <w:rsid w:val="41523008"/>
    <w:rsid w:val="418341D4"/>
    <w:rsid w:val="432A4176"/>
    <w:rsid w:val="44225326"/>
    <w:rsid w:val="46184BCD"/>
    <w:rsid w:val="486471E4"/>
    <w:rsid w:val="49093F3C"/>
    <w:rsid w:val="4A630034"/>
    <w:rsid w:val="4D1B4BF6"/>
    <w:rsid w:val="4D5324A1"/>
    <w:rsid w:val="4E9C1533"/>
    <w:rsid w:val="4EBD6525"/>
    <w:rsid w:val="4F593F8F"/>
    <w:rsid w:val="507F6B64"/>
    <w:rsid w:val="51D17969"/>
    <w:rsid w:val="52A627FD"/>
    <w:rsid w:val="52EE3869"/>
    <w:rsid w:val="539A4128"/>
    <w:rsid w:val="541F7CA5"/>
    <w:rsid w:val="587141F8"/>
    <w:rsid w:val="58983352"/>
    <w:rsid w:val="58D65697"/>
    <w:rsid w:val="5A086D26"/>
    <w:rsid w:val="5A762F5D"/>
    <w:rsid w:val="5ABB43D1"/>
    <w:rsid w:val="5B5A47B7"/>
    <w:rsid w:val="5BD1454A"/>
    <w:rsid w:val="5BFD22D2"/>
    <w:rsid w:val="5C6D3A28"/>
    <w:rsid w:val="5CB5102D"/>
    <w:rsid w:val="5D475395"/>
    <w:rsid w:val="5D9B0FDD"/>
    <w:rsid w:val="5DD951B3"/>
    <w:rsid w:val="5F5353CA"/>
    <w:rsid w:val="5F642333"/>
    <w:rsid w:val="5FDF5035"/>
    <w:rsid w:val="5FFC9E61"/>
    <w:rsid w:val="61E731B2"/>
    <w:rsid w:val="65B37C6A"/>
    <w:rsid w:val="66763171"/>
    <w:rsid w:val="69F7102D"/>
    <w:rsid w:val="6A8E33BF"/>
    <w:rsid w:val="6A933BC6"/>
    <w:rsid w:val="6BAF07D0"/>
    <w:rsid w:val="6BB01618"/>
    <w:rsid w:val="6BEF00AF"/>
    <w:rsid w:val="6D144675"/>
    <w:rsid w:val="6E466141"/>
    <w:rsid w:val="6E6D725E"/>
    <w:rsid w:val="6E7DC70F"/>
    <w:rsid w:val="6E7F2DDF"/>
    <w:rsid w:val="6EEF6CB9"/>
    <w:rsid w:val="6EEFD0B9"/>
    <w:rsid w:val="6FBC79C0"/>
    <w:rsid w:val="6FFE94E7"/>
    <w:rsid w:val="70DC7178"/>
    <w:rsid w:val="735656F7"/>
    <w:rsid w:val="735925C7"/>
    <w:rsid w:val="73DD4DB5"/>
    <w:rsid w:val="73E3796C"/>
    <w:rsid w:val="76D31F1A"/>
    <w:rsid w:val="76EB1F23"/>
    <w:rsid w:val="76FFA05D"/>
    <w:rsid w:val="77300C87"/>
    <w:rsid w:val="77FDDC20"/>
    <w:rsid w:val="785A7427"/>
    <w:rsid w:val="79F64B91"/>
    <w:rsid w:val="7BDFD674"/>
    <w:rsid w:val="7DF78E5F"/>
    <w:rsid w:val="7E314AC0"/>
    <w:rsid w:val="7F6F3CAE"/>
    <w:rsid w:val="7F7B06DB"/>
    <w:rsid w:val="7FFFDBEC"/>
    <w:rsid w:val="BACED309"/>
    <w:rsid w:val="BCE31B91"/>
    <w:rsid w:val="BCF2F954"/>
    <w:rsid w:val="BCFF5F65"/>
    <w:rsid w:val="BDDBA3B1"/>
    <w:rsid w:val="DFDF84F2"/>
    <w:rsid w:val="EB5DDF3C"/>
    <w:rsid w:val="ED6E9252"/>
    <w:rsid w:val="EDC5B6D6"/>
    <w:rsid w:val="F1EFC6DD"/>
    <w:rsid w:val="F67E7674"/>
    <w:rsid w:val="F67F7F95"/>
    <w:rsid w:val="F7EC5200"/>
    <w:rsid w:val="F84F072D"/>
    <w:rsid w:val="F87FD6EE"/>
    <w:rsid w:val="F9FE944E"/>
    <w:rsid w:val="FAFD9861"/>
    <w:rsid w:val="FBFF575E"/>
    <w:rsid w:val="FCFF539B"/>
    <w:rsid w:val="FD3E4B1C"/>
    <w:rsid w:val="FDFFA178"/>
    <w:rsid w:val="FEFF2219"/>
    <w:rsid w:val="FF1F3591"/>
    <w:rsid w:val="FF6A5FA9"/>
    <w:rsid w:val="FFB76CBC"/>
    <w:rsid w:val="FFDF0997"/>
    <w:rsid w:val="FFFD1E1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0"/>
    <w:pPr>
      <w:spacing w:before="100" w:beforeAutospacing="1" w:after="10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pPr>
      <w:spacing w:line="660" w:lineRule="exact"/>
      <w:ind w:firstLine="705"/>
    </w:pPr>
    <w:rPr>
      <w:rFonts w:ascii="仿宋_GB2312" w:eastAsia="仿宋_GB2312"/>
      <w:color w:val="000000"/>
      <w:sz w:val="36"/>
      <w:szCs w:val="36"/>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Autospacing="1" w:afterAutospacing="1"/>
      <w:jc w:val="left"/>
    </w:pPr>
    <w:rPr>
      <w:rFonts w:cs="Times New Roman"/>
      <w:kern w:val="0"/>
      <w:sz w:val="24"/>
    </w:rPr>
  </w:style>
  <w:style w:type="character" w:styleId="10">
    <w:name w:val="Strong"/>
    <w:basedOn w:val="9"/>
    <w:qFormat/>
    <w:uiPriority w:val="0"/>
    <w:rPr>
      <w:b/>
    </w:rPr>
  </w:style>
  <w:style w:type="character" w:styleId="11">
    <w:name w:val="Emphasis"/>
    <w:basedOn w:val="9"/>
    <w:qFormat/>
    <w:uiPriority w:val="0"/>
    <w:rPr>
      <w:i/>
    </w:rPr>
  </w:style>
  <w:style w:type="character" w:styleId="12">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chart" Target="charts/chart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5" Type="http://schemas.microsoft.com/office/2011/relationships/chartColorStyle" Target="colors2.xml"/><Relationship Id="rId4" Type="http://schemas.microsoft.com/office/2011/relationships/chartStyle" Target="style2.xml"/><Relationship Id="rId3" Type="http://schemas.openxmlformats.org/officeDocument/2006/relationships/image" Target="../media/image4.png"/><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tmp/wps.B22427/Work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true" forceAA="false"/>
          <a:lstStyle/>
          <a:p>
            <a:pPr defTabSz="914400">
              <a:defRPr lang="zh-CN" sz="1400" b="0" i="0" u="none" strike="noStrike" kern="1200" spc="0" baseline="0">
                <a:ln>
                  <a:noFill/>
                </a:ln>
                <a:solidFill>
                  <a:schemeClr val="tx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r>
              <a:rPr>
                <a:solidFill>
                  <a:schemeClr val="tx1"/>
                </a:solidFill>
              </a:rPr>
              <a:t>滕州市人民政府办公室</a:t>
            </a:r>
            <a:r>
              <a:rPr lang="en-US" altLang="zh-CN">
                <a:solidFill>
                  <a:schemeClr val="tx1"/>
                </a:solidFill>
              </a:rPr>
              <a:t>2024</a:t>
            </a:r>
            <a:r>
              <a:rPr altLang="en-US">
                <a:solidFill>
                  <a:schemeClr val="tx1"/>
                </a:solidFill>
              </a:rPr>
              <a:t>年政策解读情况</a:t>
            </a:r>
            <a:endParaRPr altLang="en-US">
              <a:solidFill>
                <a:schemeClr val="tx1"/>
              </a:solidFill>
            </a:endParaRPr>
          </a:p>
        </c:rich>
      </c:tx>
      <c:layout>
        <c:manualLayout>
          <c:xMode val="edge"/>
          <c:yMode val="edge"/>
          <c:x val="0.16275"/>
          <c:y val="0.0459037180313776"/>
        </c:manualLayout>
      </c:layout>
      <c:overlay val="false"/>
      <c:spPr>
        <a:noFill/>
        <a:ln>
          <a:noFill/>
        </a:ln>
        <a:effectLst/>
      </c:spPr>
    </c:title>
    <c:autoTitleDeleted val="false"/>
    <c:plotArea>
      <c:layout/>
      <c:pieChart>
        <c:varyColors val="true"/>
        <c:ser>
          <c:idx val="0"/>
          <c:order val="0"/>
          <c:tx>
            <c:strRef>
              <c:f>Sheet1!$B$1</c:f>
              <c:strCache>
                <c:ptCount val="1"/>
                <c:pt idx="0">
                  <c:v/>
                </c:pt>
              </c:strCache>
            </c:strRef>
          </c:tx>
          <c:spPr>
            <a:ln w="9525">
              <a:solidFill>
                <a:schemeClr val="lt1"/>
              </a:solidFill>
            </a:ln>
            <a:effectLst>
              <a:outerShdw blurRad="50800" dist="38100" dir="2700000" algn="tl" rotWithShape="0">
                <a:srgbClr val="91BED4">
                  <a:alpha val="40000"/>
                </a:srgbClr>
              </a:outerShdw>
            </a:effectLst>
          </c:spPr>
          <c:explosion val="3"/>
          <c:dPt>
            <c:idx val="0"/>
            <c:bubble3D val="false"/>
            <c:spPr>
              <a:solidFill>
                <a:srgbClr val="FF845D"/>
              </a:solidFill>
              <a:ln w="9525">
                <a:solidFill>
                  <a:schemeClr val="lt1"/>
                </a:solidFill>
              </a:ln>
              <a:effectLst>
                <a:outerShdw blurRad="50800" dist="38100" dir="2700000" algn="tl" rotWithShape="0">
                  <a:srgbClr val="91BED4">
                    <a:alpha val="40000"/>
                  </a:srgbClr>
                </a:outerShdw>
              </a:effectLst>
            </c:spPr>
          </c:dPt>
          <c:dPt>
            <c:idx val="1"/>
            <c:bubble3D val="false"/>
            <c:spPr>
              <a:solidFill>
                <a:srgbClr val="FFDF8B"/>
              </a:solidFill>
              <a:ln w="9525">
                <a:solidFill>
                  <a:schemeClr val="lt1"/>
                </a:solidFill>
              </a:ln>
              <a:effectLst>
                <a:outerShdw blurRad="50800" dist="38100" dir="2700000" algn="tl" rotWithShape="0">
                  <a:srgbClr val="91BED4">
                    <a:alpha val="40000"/>
                  </a:srgbClr>
                </a:outerShdw>
              </a:effectLst>
            </c:spPr>
          </c:dPt>
          <c:dPt>
            <c:idx val="2"/>
            <c:bubble3D val="false"/>
            <c:spPr>
              <a:solidFill>
                <a:srgbClr val="B3DFEC"/>
              </a:solidFill>
              <a:ln w="9525">
                <a:solidFill>
                  <a:schemeClr val="lt1"/>
                </a:solidFill>
              </a:ln>
              <a:effectLst>
                <a:outerShdw blurRad="50800" dist="38100" dir="2700000" algn="tl" rotWithShape="0">
                  <a:srgbClr val="91BED4">
                    <a:alpha val="40000"/>
                  </a:srgbClr>
                </a:outerShdw>
              </a:effectLst>
            </c:spPr>
          </c:dPt>
          <c:dPt>
            <c:idx val="3"/>
            <c:bubble3D val="false"/>
            <c:spPr>
              <a:solidFill>
                <a:srgbClr val="BFE482"/>
              </a:solidFill>
              <a:ln w="9525">
                <a:solidFill>
                  <a:schemeClr val="lt1"/>
                </a:solidFill>
              </a:ln>
              <a:effectLst>
                <a:outerShdw blurRad="50800" dist="38100" dir="2700000" algn="tl" rotWithShape="0">
                  <a:srgbClr val="91BED4">
                    <a:alpha val="40000"/>
                  </a:srgbClr>
                </a:outerShdw>
              </a:effectLst>
            </c:spPr>
          </c:dPt>
          <c:dPt>
            <c:idx val="4"/>
            <c:bubble3D val="false"/>
            <c:spPr>
              <a:solidFill>
                <a:schemeClr val="accent5"/>
              </a:solidFill>
              <a:ln w="9525">
                <a:solidFill>
                  <a:schemeClr val="lt1"/>
                </a:solidFill>
              </a:ln>
              <a:effectLst>
                <a:outerShdw blurRad="50800" dist="38100" dir="2700000" algn="tl" rotWithShape="0">
                  <a:srgbClr val="91BED4">
                    <a:alpha val="40000"/>
                  </a:srgbClr>
                </a:outerShdw>
              </a:effectLst>
            </c:spPr>
          </c:dPt>
          <c:dPt>
            <c:idx val="5"/>
            <c:bubble3D val="false"/>
            <c:spPr>
              <a:solidFill>
                <a:schemeClr val="accent6"/>
              </a:solidFill>
              <a:ln w="9525">
                <a:solidFill>
                  <a:schemeClr val="lt1"/>
                </a:solidFill>
              </a:ln>
              <a:effectLst>
                <a:outerShdw blurRad="50800" dist="38100" dir="2700000" algn="tl" rotWithShape="0">
                  <a:srgbClr val="91BED4">
                    <a:alpha val="40000"/>
                  </a:srgbClr>
                </a:outerShdw>
              </a:effectLst>
            </c:spPr>
          </c:dPt>
          <c:dPt>
            <c:idx val="6"/>
            <c:bubble3D val="false"/>
            <c:spPr>
              <a:solidFill>
                <a:schemeClr val="accent1">
                  <a:lumMod val="60000"/>
                </a:schemeClr>
              </a:solidFill>
              <a:ln w="9525">
                <a:solidFill>
                  <a:schemeClr val="lt1"/>
                </a:solidFill>
              </a:ln>
              <a:effectLst>
                <a:outerShdw blurRad="50800" dist="38100" dir="2700000" algn="tl" rotWithShape="0">
                  <a:srgbClr val="91BED4">
                    <a:alpha val="40000"/>
                  </a:srgbClr>
                </a:outerShdw>
              </a:effectLst>
            </c:spPr>
          </c:dPt>
          <c:dPt>
            <c:idx val="7"/>
            <c:bubble3D val="false"/>
            <c:spPr>
              <a:solidFill>
                <a:schemeClr val="accent2">
                  <a:lumMod val="60000"/>
                </a:schemeClr>
              </a:solidFill>
              <a:ln w="9525">
                <a:solidFill>
                  <a:schemeClr val="lt1"/>
                </a:solidFill>
              </a:ln>
              <a:effectLst>
                <a:outerShdw blurRad="50800" dist="38100" dir="2700000" algn="tl" rotWithShape="0">
                  <a:srgbClr val="91BED4">
                    <a:alpha val="40000"/>
                  </a:srgbClr>
                </a:outerShdw>
              </a:effectLst>
            </c:spPr>
          </c:dPt>
          <c:dLbls>
            <c:numFmt formatCode="General" sourceLinked="true"/>
            <c:spPr>
              <a:noFill/>
              <a:ln>
                <a:noFill/>
              </a:ln>
              <a:effectLst/>
            </c:spPr>
            <c:txPr>
              <a:bodyPr rot="0" spcFirstLastPara="0" vertOverflow="ellipsis" vert="horz" wrap="square" lIns="38100" tIns="19050" rIns="38100" bIns="19050" anchor="ctr" anchorCtr="true" forceAA="false"/>
              <a:lstStyle/>
              <a:p>
                <a:pPr>
                  <a:defRPr lang="zh-CN" sz="1000" b="0" i="0" u="none" strike="noStrike" kern="1200" baseline="0">
                    <a:solidFill>
                      <a:schemeClr val="tx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dLblPos val="inEnd"/>
            <c:showLegendKey val="false"/>
            <c:showVal val="false"/>
            <c:showCatName val="false"/>
            <c:showSerName val="false"/>
            <c:showPercent val="true"/>
            <c:showBubbleSize val="false"/>
            <c:showLeaderLines val="tru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Sheet1!$A$2:$A$9</c:f>
              <c:strCache>
                <c:ptCount val="8"/>
                <c:pt idx="0">
                  <c:v>文字解读</c:v>
                </c:pt>
                <c:pt idx="1">
                  <c:v>主要负责人解读</c:v>
                </c:pt>
                <c:pt idx="2">
                  <c:v>专家解读</c:v>
                </c:pt>
                <c:pt idx="3">
                  <c:v>媒体解读</c:v>
                </c:pt>
                <c:pt idx="4">
                  <c:v>新闻发布会</c:v>
                </c:pt>
                <c:pt idx="5">
                  <c:v>简明问答</c:v>
                </c:pt>
                <c:pt idx="6">
                  <c:v>图文解读</c:v>
                </c:pt>
                <c:pt idx="7">
                  <c:v>视频解读</c:v>
                </c:pt>
              </c:strCache>
            </c:strRef>
          </c:cat>
          <c:val>
            <c:numRef>
              <c:f>Sheet1!$B$2:$B$9</c:f>
              <c:numCache>
                <c:formatCode>General</c:formatCode>
                <c:ptCount val="8"/>
                <c:pt idx="0">
                  <c:v>12</c:v>
                </c:pt>
                <c:pt idx="1">
                  <c:v>3</c:v>
                </c:pt>
                <c:pt idx="2">
                  <c:v>2</c:v>
                </c:pt>
                <c:pt idx="3">
                  <c:v>8</c:v>
                </c:pt>
                <c:pt idx="4">
                  <c:v>4</c:v>
                </c:pt>
                <c:pt idx="5">
                  <c:v>2</c:v>
                </c:pt>
                <c:pt idx="6">
                  <c:v>14</c:v>
                </c:pt>
                <c:pt idx="7">
                  <c:v>6</c:v>
                </c:pt>
              </c:numCache>
            </c:numRef>
          </c:val>
        </c:ser>
        <c:ser>
          <c:idx val="1"/>
          <c:order val="1"/>
          <c:tx>
            <c:strRef>
              <c:f>Sheet1!$C$1</c:f>
              <c:strCache>
                <c:ptCount val="1"/>
                <c:pt idx="0">
                  <c:v/>
                </c:pt>
              </c:strCache>
            </c:strRef>
          </c:tx>
          <c:spPr/>
          <c:explosion val="0"/>
          <c:dPt>
            <c:idx val="0"/>
            <c:bubble3D val="false"/>
            <c:spPr>
              <a:solidFill>
                <a:schemeClr val="accent1"/>
              </a:solidFill>
              <a:ln w="19050">
                <a:solidFill>
                  <a:schemeClr val="lt1"/>
                </a:solidFill>
              </a:ln>
              <a:effectLst/>
            </c:spPr>
          </c:dPt>
          <c:dPt>
            <c:idx val="1"/>
            <c:bubble3D val="false"/>
            <c:spPr>
              <a:solidFill>
                <a:schemeClr val="accent2"/>
              </a:solidFill>
              <a:ln w="19050">
                <a:solidFill>
                  <a:schemeClr val="lt1"/>
                </a:solidFill>
              </a:ln>
              <a:effectLst/>
            </c:spPr>
          </c:dPt>
          <c:dPt>
            <c:idx val="2"/>
            <c:bubble3D val="false"/>
            <c:spPr>
              <a:solidFill>
                <a:schemeClr val="accent3"/>
              </a:solidFill>
              <a:ln w="19050">
                <a:solidFill>
                  <a:schemeClr val="lt1"/>
                </a:solidFill>
              </a:ln>
              <a:effectLst/>
            </c:spPr>
          </c:dPt>
          <c:dPt>
            <c:idx val="3"/>
            <c:bubble3D val="false"/>
            <c:spPr>
              <a:solidFill>
                <a:schemeClr val="accent4"/>
              </a:solidFill>
              <a:ln w="19050">
                <a:solidFill>
                  <a:schemeClr val="lt1"/>
                </a:solidFill>
              </a:ln>
              <a:effectLst/>
            </c:spPr>
          </c:dPt>
          <c:dPt>
            <c:idx val="4"/>
            <c:bubble3D val="false"/>
            <c:spPr>
              <a:solidFill>
                <a:schemeClr val="accent5"/>
              </a:solidFill>
              <a:ln w="19050">
                <a:solidFill>
                  <a:schemeClr val="lt1"/>
                </a:solidFill>
              </a:ln>
              <a:effectLst/>
            </c:spPr>
          </c:dPt>
          <c:dPt>
            <c:idx val="5"/>
            <c:bubble3D val="false"/>
            <c:spPr>
              <a:solidFill>
                <a:schemeClr val="accent6"/>
              </a:solidFill>
              <a:ln w="19050">
                <a:solidFill>
                  <a:schemeClr val="lt1"/>
                </a:solidFill>
              </a:ln>
              <a:effectLst/>
            </c:spPr>
          </c:dPt>
          <c:dPt>
            <c:idx val="6"/>
            <c:bubble3D val="false"/>
            <c:spPr>
              <a:solidFill>
                <a:schemeClr val="accent1">
                  <a:lumMod val="60000"/>
                </a:schemeClr>
              </a:solidFill>
              <a:ln w="19050">
                <a:solidFill>
                  <a:schemeClr val="lt1"/>
                </a:solidFill>
              </a:ln>
              <a:effectLst/>
            </c:spPr>
          </c:dPt>
          <c:dPt>
            <c:idx val="7"/>
            <c:bubble3D val="false"/>
            <c:spPr>
              <a:solidFill>
                <a:schemeClr val="accent2">
                  <a:lumMod val="60000"/>
                </a:schemeClr>
              </a:solidFill>
              <a:ln w="19050">
                <a:solidFill>
                  <a:schemeClr val="lt1"/>
                </a:solidFill>
              </a:ln>
              <a:effectLst/>
            </c:spPr>
          </c:dPt>
          <c:dLbls>
            <c:numFmt formatCode="General" sourceLinked="true"/>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dLblPos val="bestFit"/>
            <c:showLegendKey val="false"/>
            <c:showVal val="false"/>
            <c:showCatName val="false"/>
            <c:showSerName val="false"/>
            <c:showPercent val="true"/>
            <c:showBubbleSize val="false"/>
            <c:showLeaderLines val="tru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Sheet1!$A$2:$A$9</c:f>
              <c:strCache>
                <c:ptCount val="8"/>
                <c:pt idx="0">
                  <c:v>文字解读</c:v>
                </c:pt>
                <c:pt idx="1">
                  <c:v>主要负责人解读</c:v>
                </c:pt>
                <c:pt idx="2">
                  <c:v>专家解读</c:v>
                </c:pt>
                <c:pt idx="3">
                  <c:v>媒体解读</c:v>
                </c:pt>
                <c:pt idx="4">
                  <c:v>新闻发布会</c:v>
                </c:pt>
                <c:pt idx="5">
                  <c:v>简明问答</c:v>
                </c:pt>
                <c:pt idx="6">
                  <c:v>图文解读</c:v>
                </c:pt>
                <c:pt idx="7">
                  <c:v>视频解读</c:v>
                </c:pt>
              </c:strCache>
            </c:strRef>
          </c:cat>
          <c:val>
            <c:numRef>
              <c:f>Sheet1!$C$2:$C$9</c:f>
              <c:numCache>
                <c:formatCode>General</c:formatCode>
                <c:ptCount val="8"/>
              </c:numCache>
            </c:numRef>
          </c:val>
        </c:ser>
        <c:ser>
          <c:idx val="2"/>
          <c:order val="2"/>
          <c:tx>
            <c:strRef>
              <c:f>Sheet1!$D$1</c:f>
              <c:strCache>
                <c:ptCount val="1"/>
                <c:pt idx="0">
                  <c:v/>
                </c:pt>
              </c:strCache>
            </c:strRef>
          </c:tx>
          <c:spPr/>
          <c:explosion val="0"/>
          <c:dPt>
            <c:idx val="0"/>
            <c:bubble3D val="false"/>
            <c:spPr>
              <a:solidFill>
                <a:schemeClr val="accent1"/>
              </a:solidFill>
              <a:ln w="19050">
                <a:solidFill>
                  <a:schemeClr val="lt1"/>
                </a:solidFill>
              </a:ln>
              <a:effectLst/>
            </c:spPr>
          </c:dPt>
          <c:dPt>
            <c:idx val="1"/>
            <c:bubble3D val="false"/>
            <c:spPr>
              <a:solidFill>
                <a:schemeClr val="accent2"/>
              </a:solidFill>
              <a:ln w="19050">
                <a:solidFill>
                  <a:schemeClr val="lt1"/>
                </a:solidFill>
              </a:ln>
              <a:effectLst/>
            </c:spPr>
          </c:dPt>
          <c:dPt>
            <c:idx val="2"/>
            <c:bubble3D val="false"/>
            <c:spPr>
              <a:solidFill>
                <a:schemeClr val="accent3"/>
              </a:solidFill>
              <a:ln w="19050">
                <a:solidFill>
                  <a:schemeClr val="lt1"/>
                </a:solidFill>
              </a:ln>
              <a:effectLst/>
            </c:spPr>
          </c:dPt>
          <c:dPt>
            <c:idx val="3"/>
            <c:bubble3D val="false"/>
            <c:spPr>
              <a:solidFill>
                <a:schemeClr val="accent4"/>
              </a:solidFill>
              <a:ln w="19050">
                <a:solidFill>
                  <a:schemeClr val="lt1"/>
                </a:solidFill>
              </a:ln>
              <a:effectLst/>
            </c:spPr>
          </c:dPt>
          <c:dPt>
            <c:idx val="4"/>
            <c:bubble3D val="false"/>
            <c:spPr>
              <a:solidFill>
                <a:schemeClr val="accent5"/>
              </a:solidFill>
              <a:ln w="19050">
                <a:solidFill>
                  <a:schemeClr val="lt1"/>
                </a:solidFill>
              </a:ln>
              <a:effectLst/>
            </c:spPr>
          </c:dPt>
          <c:dPt>
            <c:idx val="5"/>
            <c:bubble3D val="false"/>
            <c:spPr>
              <a:solidFill>
                <a:schemeClr val="accent6"/>
              </a:solidFill>
              <a:ln w="19050">
                <a:solidFill>
                  <a:schemeClr val="lt1"/>
                </a:solidFill>
              </a:ln>
              <a:effectLst/>
            </c:spPr>
          </c:dPt>
          <c:dPt>
            <c:idx val="6"/>
            <c:bubble3D val="false"/>
            <c:spPr>
              <a:solidFill>
                <a:schemeClr val="accent1">
                  <a:lumMod val="60000"/>
                </a:schemeClr>
              </a:solidFill>
              <a:ln w="19050">
                <a:solidFill>
                  <a:schemeClr val="lt1"/>
                </a:solidFill>
              </a:ln>
              <a:effectLst/>
            </c:spPr>
          </c:dPt>
          <c:dPt>
            <c:idx val="7"/>
            <c:bubble3D val="false"/>
            <c:spPr>
              <a:solidFill>
                <a:schemeClr val="accent2">
                  <a:lumMod val="60000"/>
                </a:schemeClr>
              </a:solidFill>
              <a:ln w="19050">
                <a:solidFill>
                  <a:schemeClr val="lt1"/>
                </a:solidFill>
              </a:ln>
              <a:effectLst/>
            </c:spPr>
          </c:dPt>
          <c:dLbls>
            <c:numFmt formatCode="General" sourceLinked="true"/>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dLblPos val="bestFit"/>
            <c:showLegendKey val="false"/>
            <c:showVal val="false"/>
            <c:showCatName val="false"/>
            <c:showSerName val="false"/>
            <c:showPercent val="true"/>
            <c:showBubbleSize val="false"/>
            <c:showLeaderLines val="tru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Sheet1!$A$2:$A$9</c:f>
              <c:strCache>
                <c:ptCount val="8"/>
                <c:pt idx="0">
                  <c:v>文字解读</c:v>
                </c:pt>
                <c:pt idx="1">
                  <c:v>主要负责人解读</c:v>
                </c:pt>
                <c:pt idx="2">
                  <c:v>专家解读</c:v>
                </c:pt>
                <c:pt idx="3">
                  <c:v>媒体解读</c:v>
                </c:pt>
                <c:pt idx="4">
                  <c:v>新闻发布会</c:v>
                </c:pt>
                <c:pt idx="5">
                  <c:v>简明问答</c:v>
                </c:pt>
                <c:pt idx="6">
                  <c:v>图文解读</c:v>
                </c:pt>
                <c:pt idx="7">
                  <c:v>视频解读</c:v>
                </c:pt>
              </c:strCache>
            </c:strRef>
          </c:cat>
          <c:val>
            <c:numRef>
              <c:f>Sheet1!$D$2:$D$9</c:f>
              <c:numCache>
                <c:formatCode>General</c:formatCode>
                <c:ptCount val="8"/>
              </c:numCache>
            </c:numRef>
          </c:val>
        </c:ser>
        <c:dLbls>
          <c:showLegendKey val="false"/>
          <c:showVal val="false"/>
          <c:showCatName val="false"/>
          <c:showSerName val="false"/>
          <c:showPercent val="true"/>
          <c:showBubbleSize val="false"/>
          <c:showLeaderLines val="true"/>
        </c:dLbls>
        <c:firstSliceAng val="0"/>
      </c:pieChart>
      <c:spPr>
        <a:noFill/>
        <a:ln>
          <a:noFill/>
        </a:ln>
        <a:effectLst>
          <a:glow rad="63500">
            <a:schemeClr val="bg1">
              <a:alpha val="40000"/>
            </a:schemeClr>
          </a:glow>
        </a:effectLst>
      </c:spPr>
    </c:plotArea>
    <c:legend>
      <c:legendPos val="t"/>
      <c:legendEntry>
        <c:idx val="0"/>
        <c:txPr>
          <a:bodyPr rot="0" spcFirstLastPara="0" vertOverflow="ellipsis" vert="horz" wrap="square" anchor="ctr" anchorCtr="true"/>
          <a:lstStyle/>
          <a:p>
            <a:pPr>
              <a:defRPr lang="zh-CN" sz="900" b="0" i="0" u="none" strike="noStrike" kern="1200" baseline="0">
                <a:solidFill>
                  <a:schemeClr val="tx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legendEntry>
      <c:legendEntry>
        <c:idx val="1"/>
        <c:txPr>
          <a:bodyPr rot="0" spcFirstLastPara="0" vertOverflow="ellipsis" vert="horz" wrap="square" anchor="ctr" anchorCtr="true"/>
          <a:lstStyle/>
          <a:p>
            <a:pPr>
              <a:defRPr lang="zh-CN" sz="900" b="0" i="0" u="none" strike="noStrike" kern="1200" baseline="0">
                <a:solidFill>
                  <a:schemeClr val="tx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legendEntry>
      <c:legendEntry>
        <c:idx val="2"/>
        <c:txPr>
          <a:bodyPr rot="0" spcFirstLastPara="0" vertOverflow="ellipsis" vert="horz" wrap="square" anchor="ctr" anchorCtr="true"/>
          <a:lstStyle/>
          <a:p>
            <a:pPr>
              <a:defRPr lang="zh-CN" sz="900" b="0" i="0" u="none" strike="noStrike" kern="1200" baseline="0">
                <a:solidFill>
                  <a:schemeClr val="tx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legendEntry>
      <c:legendEntry>
        <c:idx val="3"/>
        <c:txPr>
          <a:bodyPr rot="0" spcFirstLastPara="0" vertOverflow="ellipsis" vert="horz" wrap="square" anchor="ctr" anchorCtr="true"/>
          <a:lstStyle/>
          <a:p>
            <a:pPr>
              <a:defRPr lang="zh-CN" sz="900" b="0" i="0" u="none" strike="noStrike" kern="1200" baseline="0">
                <a:solidFill>
                  <a:schemeClr val="tx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legendEntry>
      <c:legendEntry>
        <c:idx val="4"/>
        <c:txPr>
          <a:bodyPr rot="0" spcFirstLastPara="0" vertOverflow="ellipsis" vert="horz" wrap="square" anchor="ctr" anchorCtr="true"/>
          <a:lstStyle/>
          <a:p>
            <a:pPr>
              <a:defRPr lang="zh-CN" sz="900" b="0" i="0" u="none" strike="noStrike" kern="1200" baseline="0">
                <a:solidFill>
                  <a:schemeClr val="tx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legendEntry>
      <c:legendEntry>
        <c:idx val="5"/>
        <c:txPr>
          <a:bodyPr rot="0" spcFirstLastPara="0" vertOverflow="ellipsis" vert="horz" wrap="square" anchor="ctr" anchorCtr="true"/>
          <a:lstStyle/>
          <a:p>
            <a:pPr>
              <a:defRPr lang="zh-CN" sz="900" b="0" i="0" u="none" strike="noStrike" kern="1200" baseline="0">
                <a:solidFill>
                  <a:schemeClr val="tx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legendEntry>
      <c:layout/>
      <c:overlay val="false"/>
      <c:spPr>
        <a:noFill/>
        <a:ln>
          <a:noFill/>
        </a:ln>
        <a:effectLst/>
      </c:spPr>
      <c:txPr>
        <a:bodyPr rot="0" spcFirstLastPara="0" vertOverflow="ellipsis" vert="horz" wrap="square" anchor="ctr" anchorCtr="true" forceAA="false"/>
        <a:lstStyle/>
        <a:p>
          <a:pPr>
            <a:defRPr lang="zh-CN" sz="900" b="0" i="0" u="none" strike="noStrike" kern="1200" baseline="0">
              <a:solidFill>
                <a:schemeClr val="tx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legend>
    <c:plotVisOnly val="true"/>
    <c:dispBlanksAs val="gap"/>
    <c:showDLblsOverMax val="false"/>
  </c:chart>
  <c:spPr>
    <a:pattFill prst="lgGrid">
      <a:fgClr>
        <a:sysClr val="window" lastClr="FFFFFF"/>
      </a:fgClr>
      <a:bgClr>
        <a:schemeClr val="bg1"/>
      </a:bgClr>
    </a:patt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a:solidFill>
            <a:schemeClr val="tx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true" forceAA="false"/>
          <a:lstStyle/>
          <a:p>
            <a:pPr defTabSz="914400">
              <a:defRPr lang="zh-CN" sz="1400" b="0" i="0" u="none" strike="noStrike" kern="1200" spc="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altLang="zh-CN" sz="1200"/>
              <a:t>滕州市人民政府办公室</a:t>
            </a:r>
            <a:r>
              <a:rPr lang="en-US" altLang="zh-CN" sz="1200"/>
              <a:t>2024</a:t>
            </a:r>
            <a:r>
              <a:rPr altLang="en-US" sz="1200"/>
              <a:t>年依申请公开办理情况</a:t>
            </a:r>
            <a:endParaRPr altLang="en-US" sz="1200"/>
          </a:p>
        </c:rich>
      </c:tx>
      <c:layout>
        <c:manualLayout>
          <c:xMode val="edge"/>
          <c:yMode val="edge"/>
          <c:x val="0.159125"/>
          <c:y val="0.00766666666666667"/>
        </c:manualLayout>
      </c:layout>
      <c:overlay val="false"/>
      <c:spPr>
        <a:noFill/>
        <a:ln>
          <a:noFill/>
        </a:ln>
        <a:effectLst/>
      </c:spPr>
    </c:title>
    <c:autoTitleDeleted val="false"/>
    <c:plotArea>
      <c:layout>
        <c:manualLayout>
          <c:layoutTarget val="inner"/>
          <c:xMode val="edge"/>
          <c:yMode val="edge"/>
          <c:x val="0.08345"/>
          <c:y val="0.17425"/>
          <c:w val="0.9128"/>
          <c:h val="0.7169"/>
        </c:manualLayout>
      </c:layout>
      <c:barChart>
        <c:barDir val="col"/>
        <c:grouping val="clustered"/>
        <c:varyColors val="false"/>
        <c:ser>
          <c:idx val="0"/>
          <c:order val="0"/>
          <c:tx>
            <c:strRef>
              <c:f>Sheet1!$B$1</c:f>
              <c:strCache>
                <c:ptCount val="1"/>
                <c:pt idx="0">
                  <c:v>予以公开</c:v>
                </c:pt>
              </c:strCache>
            </c:strRef>
          </c:tx>
          <c:spPr>
            <a:solidFill>
              <a:srgbClr val="EB7068"/>
            </a:solidFill>
            <a:ln>
              <a:solidFill>
                <a:schemeClr val="bg1"/>
              </a:solidFill>
            </a:ln>
            <a:effectLst>
              <a:outerShdw blurRad="50800" dist="38100" dir="18900000" algn="bl" rotWithShape="0">
                <a:prstClr val="black">
                  <a:alpha val="10000"/>
                </a:prstClr>
              </a:outerShdw>
            </a:effectLst>
          </c:spPr>
          <c:invertIfNegative val="false"/>
          <c:dPt>
            <c:idx val="0"/>
            <c:invertIfNegative val="false"/>
            <c:bubble3D val="false"/>
            <c:spPr>
              <a:solidFill>
                <a:srgbClr val="EB7068"/>
              </a:solidFill>
              <a:ln>
                <a:solidFill>
                  <a:schemeClr val="bg1"/>
                </a:solidFill>
              </a:ln>
              <a:effectLst>
                <a:outerShdw blurRad="50800" dist="38100" dir="18900000" algn="bl" rotWithShape="0">
                  <a:prstClr val="black">
                    <a:alpha val="10000"/>
                  </a:prstClr>
                </a:outerShdw>
              </a:effectLst>
            </c:spPr>
          </c:dPt>
          <c:dLbls>
            <c:numFmt formatCode="General" sourceLinked="true"/>
            <c:spPr>
              <a:noFill/>
              <a:ln>
                <a:noFill/>
              </a:ln>
              <a:effectLst/>
            </c:spPr>
            <c:txPr>
              <a:bodyPr rot="0" spcFirstLastPara="0" vertOverflow="ellipsis" vert="horz" wrap="square" lIns="38100" tIns="19050" rIns="38100" bIns="19050" anchor="ctr" anchorCtr="true" forceAA="false"/>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c:f>
              <c:strCache>
                <c:ptCount val="1"/>
                <c:pt idx="0">
                  <c:v>件数</c:v>
                </c:pt>
              </c:strCache>
            </c:strRef>
          </c:cat>
          <c:val>
            <c:numRef>
              <c:f>Sheet1!$B$2</c:f>
              <c:numCache>
                <c:formatCode>General</c:formatCode>
                <c:ptCount val="1"/>
                <c:pt idx="0">
                  <c:v>22</c:v>
                </c:pt>
              </c:numCache>
            </c:numRef>
          </c:val>
        </c:ser>
        <c:ser>
          <c:idx val="1"/>
          <c:order val="1"/>
          <c:tx>
            <c:strRef>
              <c:f>Sheet1!$C$1</c:f>
              <c:strCache>
                <c:ptCount val="1"/>
                <c:pt idx="0">
                  <c:v>部分公开</c:v>
                </c:pt>
              </c:strCache>
            </c:strRef>
          </c:tx>
          <c:spPr>
            <a:solidFill>
              <a:srgbClr val="86B81A"/>
            </a:solidFill>
            <a:ln>
              <a:solidFill>
                <a:schemeClr val="bg1"/>
              </a:solidFill>
            </a:ln>
            <a:effectLst>
              <a:outerShdw blurRad="50800" dist="38100" dir="18900000" algn="bl" rotWithShape="0">
                <a:prstClr val="black">
                  <a:alpha val="10000"/>
                </a:prstClr>
              </a:outerShdw>
            </a:effectLst>
          </c:spPr>
          <c:invertIfNegative val="false"/>
          <c:dPt>
            <c:idx val="0"/>
            <c:invertIfNegative val="false"/>
            <c:bubble3D val="false"/>
            <c:spPr>
              <a:solidFill>
                <a:srgbClr val="86B81A"/>
              </a:solidFill>
              <a:ln>
                <a:solidFill>
                  <a:schemeClr val="bg1"/>
                </a:solidFill>
              </a:ln>
              <a:effectLst>
                <a:outerShdw blurRad="50800" dist="38100" dir="18900000" algn="bl" rotWithShape="0">
                  <a:prstClr val="black">
                    <a:alpha val="10000"/>
                  </a:prstClr>
                </a:outerShdw>
              </a:effectLst>
            </c:spPr>
          </c:dPt>
          <c:dLbls>
            <c:numFmt formatCode="General" sourceLinked="true"/>
            <c:spPr>
              <a:noFill/>
              <a:ln>
                <a:noFill/>
              </a:ln>
              <a:effectLst/>
            </c:spPr>
            <c:txPr>
              <a:bodyPr rot="0" spcFirstLastPara="0" vertOverflow="ellipsis" vert="horz" wrap="square" lIns="38100" tIns="19050" rIns="38100" bIns="19050" anchor="ctr" anchorCtr="true" forceAA="false"/>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c:f>
              <c:strCache>
                <c:ptCount val="1"/>
                <c:pt idx="0">
                  <c:v>件数</c:v>
                </c:pt>
              </c:strCache>
            </c:strRef>
          </c:cat>
          <c:val>
            <c:numRef>
              <c:f>Sheet1!$C$2</c:f>
              <c:numCache>
                <c:formatCode>General</c:formatCode>
                <c:ptCount val="1"/>
                <c:pt idx="0">
                  <c:v>21</c:v>
                </c:pt>
              </c:numCache>
            </c:numRef>
          </c:val>
        </c:ser>
        <c:ser>
          <c:idx val="2"/>
          <c:order val="2"/>
          <c:tx>
            <c:strRef>
              <c:f>Sheet1!$D$1</c:f>
              <c:strCache>
                <c:ptCount val="1"/>
                <c:pt idx="0">
                  <c:v>不掌握</c:v>
                </c:pt>
              </c:strCache>
            </c:strRef>
          </c:tx>
          <c:spPr>
            <a:solidFill>
              <a:srgbClr val="F5C14B"/>
            </a:solidFill>
            <a:ln>
              <a:solidFill>
                <a:schemeClr val="bg1"/>
              </a:solidFill>
            </a:ln>
            <a:effectLst>
              <a:outerShdw blurRad="50800" dist="38100" dir="18900000" algn="bl" rotWithShape="0">
                <a:prstClr val="black">
                  <a:alpha val="10000"/>
                </a:prstClr>
              </a:outerShdw>
            </a:effectLst>
          </c:spPr>
          <c:invertIfNegative val="false"/>
          <c:dLbls>
            <c:numFmt formatCode="General" sourceLinked="true"/>
            <c:spPr>
              <a:noFill/>
              <a:ln>
                <a:noFill/>
              </a:ln>
              <a:effectLst/>
            </c:spPr>
            <c:txPr>
              <a:bodyPr rot="0" spcFirstLastPara="0" vertOverflow="ellipsis" vert="horz" wrap="square" lIns="38100" tIns="19050" rIns="38100" bIns="19050" anchor="ctr" anchorCtr="true" forceAA="false"/>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c:f>
              <c:strCache>
                <c:ptCount val="1"/>
                <c:pt idx="0">
                  <c:v>件数</c:v>
                </c:pt>
              </c:strCache>
            </c:strRef>
          </c:cat>
          <c:val>
            <c:numRef>
              <c:f>Sheet1!$D$2</c:f>
              <c:numCache>
                <c:formatCode>General</c:formatCode>
                <c:ptCount val="1"/>
                <c:pt idx="0">
                  <c:v>16</c:v>
                </c:pt>
              </c:numCache>
            </c:numRef>
          </c:val>
        </c:ser>
        <c:ser>
          <c:idx val="3"/>
          <c:order val="3"/>
          <c:tx>
            <c:strRef>
              <c:f>Sheet1!$E$1</c:f>
              <c:strCache>
                <c:ptCount val="1"/>
                <c:pt idx="0">
                  <c:v>商业秘密</c:v>
                </c:pt>
              </c:strCache>
            </c:strRef>
          </c:tx>
          <c:spPr>
            <a:solidFill>
              <a:srgbClr val="3CADC9"/>
            </a:solidFill>
            <a:ln>
              <a:solidFill>
                <a:schemeClr val="bg1"/>
              </a:solidFill>
            </a:ln>
            <a:effectLst>
              <a:outerShdw blurRad="50800" dist="38100" dir="18900000" algn="bl" rotWithShape="0">
                <a:prstClr val="black">
                  <a:alpha val="10000"/>
                </a:prstClr>
              </a:outerShdw>
            </a:effectLst>
          </c:spPr>
          <c:invertIfNegative val="false"/>
          <c:dPt>
            <c:idx val="0"/>
            <c:invertIfNegative val="false"/>
            <c:bubble3D val="false"/>
            <c:spPr>
              <a:solidFill>
                <a:srgbClr val="3CADC9"/>
              </a:solidFill>
              <a:ln>
                <a:solidFill>
                  <a:schemeClr val="bg1"/>
                </a:solidFill>
              </a:ln>
              <a:effectLst>
                <a:outerShdw blurRad="50800" dist="38100" dir="18900000" algn="bl" rotWithShape="0">
                  <a:prstClr val="black">
                    <a:alpha val="10000"/>
                  </a:prstClr>
                </a:outerShdw>
              </a:effectLst>
            </c:spPr>
          </c:dPt>
          <c:dLbls>
            <c:numFmt formatCode="General" sourceLinked="true"/>
            <c:spPr>
              <a:noFill/>
              <a:ln>
                <a:noFill/>
              </a:ln>
              <a:effectLst/>
            </c:spPr>
            <c:txPr>
              <a:bodyPr rot="0" spcFirstLastPara="0" vertOverflow="ellipsis" vert="horz" wrap="square" lIns="38100" tIns="19050" rIns="38100" bIns="19050" anchor="ctr" anchorCtr="true" forceAA="false"/>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c:f>
              <c:strCache>
                <c:ptCount val="1"/>
                <c:pt idx="0">
                  <c:v>件数</c:v>
                </c:pt>
              </c:strCache>
            </c:strRef>
          </c:cat>
          <c:val>
            <c:numRef>
              <c:f>Sheet1!$E$2</c:f>
              <c:numCache>
                <c:formatCode>General</c:formatCode>
                <c:ptCount val="1"/>
                <c:pt idx="0">
                  <c:v>2</c:v>
                </c:pt>
              </c:numCache>
            </c:numRef>
          </c:val>
        </c:ser>
        <c:ser>
          <c:idx val="4"/>
          <c:order val="4"/>
          <c:tx>
            <c:strRef>
              <c:f>Sheet1!$F$1</c:f>
              <c:strCache>
                <c:ptCount val="1"/>
                <c:pt idx="0">
                  <c:v>重复申请</c:v>
                </c:pt>
              </c:strCache>
            </c:strRef>
          </c:tx>
          <c:spPr>
            <a:solidFill>
              <a:srgbClr val="EB7068"/>
            </a:solidFill>
            <a:ln>
              <a:solidFill>
                <a:schemeClr val="bg1"/>
              </a:solidFill>
            </a:ln>
            <a:effectLst>
              <a:outerShdw blurRad="50800" dist="38100" dir="18900000" algn="bl" rotWithShape="0">
                <a:prstClr val="black">
                  <a:alpha val="10000"/>
                </a:prstClr>
              </a:outerShdw>
            </a:effectLst>
          </c:spPr>
          <c:invertIfNegative val="false"/>
          <c:dPt>
            <c:idx val="0"/>
            <c:invertIfNegative val="false"/>
            <c:bubble3D val="false"/>
            <c:spPr>
              <a:solidFill>
                <a:srgbClr val="EB7068"/>
              </a:solidFill>
              <a:ln>
                <a:solidFill>
                  <a:schemeClr val="bg1"/>
                </a:solidFill>
              </a:ln>
              <a:effectLst>
                <a:outerShdw blurRad="50800" dist="38100" dir="18900000" algn="bl" rotWithShape="0">
                  <a:prstClr val="black">
                    <a:alpha val="10000"/>
                  </a:prstClr>
                </a:outerShdw>
              </a:effectLst>
            </c:spPr>
          </c:dPt>
          <c:dLbls>
            <c:numFmt formatCode="General" sourceLinked="true"/>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c:f>
              <c:strCache>
                <c:ptCount val="1"/>
                <c:pt idx="0">
                  <c:v>件数</c:v>
                </c:pt>
              </c:strCache>
            </c:strRef>
          </c:cat>
          <c:val>
            <c:numRef>
              <c:f>Sheet1!$F$2</c:f>
              <c:numCache>
                <c:formatCode>General</c:formatCode>
                <c:ptCount val="1"/>
                <c:pt idx="0">
                  <c:v>1</c:v>
                </c:pt>
              </c:numCache>
            </c:numRef>
          </c:val>
        </c:ser>
        <c:ser>
          <c:idx val="5"/>
          <c:order val="5"/>
          <c:tx>
            <c:strRef>
              <c:f>Sheet1!$G$1</c:f>
              <c:strCache>
                <c:ptCount val="1"/>
                <c:pt idx="0">
                  <c:v>逾期未缴费</c:v>
                </c:pt>
              </c:strCache>
            </c:strRef>
          </c:tx>
          <c:spPr>
            <a:solidFill>
              <a:schemeClr val="accent6"/>
            </a:solidFill>
            <a:ln>
              <a:noFill/>
            </a:ln>
            <a:effectLst/>
          </c:spPr>
          <c:invertIfNegative val="false"/>
          <c:dLbls>
            <c:numFmt formatCode="General" sourceLinked="true"/>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cap="flat" cmpd="sng" algn="ctr">
                      <a:solidFill>
                        <a:schemeClr val="tx1">
                          <a:lumMod val="35000"/>
                          <a:lumOff val="65000"/>
                        </a:schemeClr>
                      </a:solidFill>
                      <a:round/>
                    </a:ln>
                    <a:effectLst/>
                  </c:spPr>
                </c15:leaderLines>
              </c:ext>
            </c:extLst>
          </c:dLbls>
          <c:cat>
            <c:strRef>
              <c:f>Sheet1!$A$2</c:f>
              <c:strCache>
                <c:ptCount val="1"/>
                <c:pt idx="0">
                  <c:v>件数</c:v>
                </c:pt>
              </c:strCache>
            </c:strRef>
          </c:cat>
          <c:val>
            <c:numRef>
              <c:f>Sheet1!$G$2</c:f>
              <c:numCache>
                <c:formatCode>General</c:formatCode>
                <c:ptCount val="1"/>
                <c:pt idx="0">
                  <c:v>3</c:v>
                </c:pt>
              </c:numCache>
            </c:numRef>
          </c:val>
        </c:ser>
        <c:ser>
          <c:idx val="6"/>
          <c:order val="6"/>
          <c:tx>
            <c:strRef>
              <c:f>Sheet1!$H$1</c:f>
              <c:strCache>
                <c:ptCount val="1"/>
                <c:pt idx="0">
                  <c:v>不予处理</c:v>
                </c:pt>
              </c:strCache>
            </c:strRef>
          </c:tx>
          <c:spPr>
            <a:solidFill>
              <a:schemeClr val="accent1">
                <a:lumMod val="60000"/>
              </a:schemeClr>
            </a:solidFill>
            <a:ln>
              <a:noFill/>
            </a:ln>
            <a:effectLst/>
          </c:spPr>
          <c:invertIfNegative val="false"/>
          <c:dLbls>
            <c:numFmt formatCode="General" sourceLinked="true"/>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cap="flat" cmpd="sng" algn="ctr">
                      <a:solidFill>
                        <a:schemeClr val="tx1">
                          <a:lumMod val="35000"/>
                          <a:lumOff val="65000"/>
                        </a:schemeClr>
                      </a:solidFill>
                      <a:round/>
                    </a:ln>
                    <a:effectLst/>
                  </c:spPr>
                </c15:leaderLines>
              </c:ext>
            </c:extLst>
          </c:dLbls>
          <c:cat>
            <c:strRef>
              <c:f>Sheet1!$A$2</c:f>
              <c:strCache>
                <c:ptCount val="1"/>
                <c:pt idx="0">
                  <c:v>件数</c:v>
                </c:pt>
              </c:strCache>
            </c:strRef>
          </c:cat>
          <c:val>
            <c:numRef>
              <c:f>Sheet1!$H$2</c:f>
              <c:numCache>
                <c:formatCode>General</c:formatCode>
                <c:ptCount val="1"/>
                <c:pt idx="0">
                  <c:v>1</c:v>
                </c:pt>
              </c:numCache>
            </c:numRef>
          </c:val>
        </c:ser>
        <c:dLbls>
          <c:showLegendKey val="false"/>
          <c:showVal val="true"/>
          <c:showCatName val="false"/>
          <c:showSerName val="false"/>
          <c:showPercent val="false"/>
          <c:showBubbleSize val="false"/>
        </c:dLbls>
        <c:gapWidth val="173"/>
        <c:overlap val="-25"/>
        <c:axId val="616907528"/>
        <c:axId val="266197064"/>
      </c:barChart>
      <c:catAx>
        <c:axId val="616907528"/>
        <c:scaling>
          <c:orientation val="minMax"/>
        </c:scaling>
        <c:delete val="false"/>
        <c:axPos val="b"/>
        <c:numFmt formatCode="General" sourceLinked="tru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forceAA="false"/>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266197064"/>
        <c:crosses val="autoZero"/>
        <c:auto val="true"/>
        <c:lblAlgn val="ctr"/>
        <c:lblOffset val="100"/>
        <c:noMultiLvlLbl val="false"/>
      </c:catAx>
      <c:valAx>
        <c:axId val="266197064"/>
        <c:scaling>
          <c:orientation val="minMax"/>
        </c:scaling>
        <c:delete val="false"/>
        <c:axPos val="l"/>
        <c:numFmt formatCode="General" sourceLinked="true"/>
        <c:majorTickMark val="out"/>
        <c:minorTickMark val="none"/>
        <c:tickLblPos val="nextTo"/>
        <c:spPr>
          <a:noFill/>
          <a:ln>
            <a:noFill/>
          </a:ln>
          <a:effectLst/>
        </c:spPr>
        <c:txPr>
          <a:bodyPr rot="-60000000" spcFirstLastPara="0" vertOverflow="ellipsis" vert="horz" wrap="square" anchor="ctr" anchorCtr="true" forceAA="false"/>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616907528"/>
        <c:crosses val="autoZero"/>
        <c:crossBetween val="between"/>
      </c:valAx>
      <c:spPr>
        <a:noFill/>
        <a:ln>
          <a:noFill/>
        </a:ln>
        <a:effectLst/>
      </c:spPr>
    </c:plotArea>
    <c:legend>
      <c:legendPos val="t"/>
      <c:layout/>
      <c:overlay val="false"/>
      <c:spPr>
        <a:noFill/>
        <a:ln>
          <a:noFill/>
        </a:ln>
        <a:effectLst/>
      </c:spPr>
      <c:txPr>
        <a:bodyPr rot="0" spcFirstLastPara="0" vertOverflow="ellipsis" vert="horz" wrap="square" anchor="ctr" anchorCtr="true" forceAA="false"/>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true"/>
    <c:dispBlanksAs val="gap"/>
    <c:showDLblsOverMax val="false"/>
  </c:chart>
  <c:spPr>
    <a:blipFill rotWithShape="true">
      <a:blip xmlns:r="http://schemas.openxmlformats.org/officeDocument/2006/relationships" r:embed="rId3"/>
      <a:stretch>
        <a:fillRect/>
      </a:stretch>
    </a:blipFill>
    <a:ln w="9525" cap="flat" cmpd="sng" algn="ctr">
      <a:noFill/>
      <a:prstDash val="solid"/>
      <a:round/>
    </a:ln>
    <a:effectLst/>
  </c:spPr>
  <c:txPr>
    <a:bodyPr/>
    <a:lstStyle/>
    <a:p>
      <a:pPr>
        <a:defRPr lang="zh-CN">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false"/>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layout/>
      <c:overlay val="false"/>
      <c:spPr>
        <a:noFill/>
        <a:ln>
          <a:noFill/>
        </a:ln>
        <a:effectLst/>
      </c:spPr>
      <c:txPr>
        <a:bodyPr rot="0" spcFirstLastPara="0" vertOverflow="ellipsis" vert="horz" wrap="square" anchor="ctr" anchorCtr="true"/>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false"/>
    <c:plotArea>
      <c:layout/>
      <c:lineChart>
        <c:grouping val="standard"/>
        <c:varyColors val="false"/>
        <c:ser>
          <c:idx val="0"/>
          <c:order val="0"/>
          <c:tx>
            <c:strRef>
              <c:f>Sheet1!$B$1</c:f>
              <c:strCache>
                <c:ptCount val="1"/>
                <c:pt idx="0">
                  <c:v>案件数量</c:v>
                </c:pt>
              </c:strCache>
            </c:strRef>
          </c:tx>
          <c:spPr>
            <a:ln w="28575" cap="rnd">
              <a:solidFill>
                <a:schemeClr val="accent1"/>
              </a:solidFill>
              <a:round/>
            </a:ln>
            <a:effectLst/>
          </c:spPr>
          <c:marker>
            <c:symbol val="none"/>
          </c:marker>
          <c:dLbls>
            <c:dLbl>
              <c:idx val="4"/>
              <c:layout/>
              <c:tx>
                <c:rich>
                  <a:bodyPr rot="0" spcFirstLastPara="0" vertOverflow="ellipsis" vert="horz" wrap="square" lIns="38100" tIns="19050" rIns="38100" bIns="19050" anchor="ctr" anchorCtr="true"/>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72</a:t>
                    </a:r>
                    <a:endParaRPr lang="en-US" altLang="zh-CN"/>
                  </a:p>
                </c:rich>
              </c:tx>
              <c:dLblPos val="t"/>
              <c:showLegendKey val="false"/>
              <c:showVal val="true"/>
              <c:showCatName val="false"/>
              <c:showSerName val="false"/>
              <c:showPercent val="false"/>
              <c:showBubbleSize val="false"/>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Sheet1!$A$2:$A$6</c:f>
              <c:strCache>
                <c:ptCount val="5"/>
                <c:pt idx="0">
                  <c:v>2020年</c:v>
                </c:pt>
                <c:pt idx="1">
                  <c:v>2021年</c:v>
                </c:pt>
                <c:pt idx="2">
                  <c:v>2022年</c:v>
                </c:pt>
                <c:pt idx="3">
                  <c:v>2023年</c:v>
                </c:pt>
                <c:pt idx="4">
                  <c:v>2024年</c:v>
                </c:pt>
              </c:strCache>
            </c:strRef>
          </c:cat>
          <c:val>
            <c:numRef>
              <c:f>Sheet1!$B$2:$B$6</c:f>
              <c:numCache>
                <c:formatCode>General</c:formatCode>
                <c:ptCount val="5"/>
                <c:pt idx="0">
                  <c:v>39</c:v>
                </c:pt>
                <c:pt idx="1">
                  <c:v>66</c:v>
                </c:pt>
                <c:pt idx="2">
                  <c:v>49</c:v>
                </c:pt>
                <c:pt idx="3">
                  <c:v>130</c:v>
                </c:pt>
                <c:pt idx="4">
                  <c:v>68</c:v>
                </c:pt>
              </c:numCache>
            </c:numRef>
          </c:val>
          <c:smooth val="false"/>
        </c:ser>
        <c:dLbls>
          <c:showLegendKey val="false"/>
          <c:showVal val="true"/>
          <c:showCatName val="false"/>
          <c:showSerName val="false"/>
          <c:showPercent val="false"/>
          <c:showBubbleSize val="false"/>
        </c:dLbls>
        <c:marker val="false"/>
        <c:smooth val="false"/>
        <c:axId val="757883764"/>
        <c:axId val="336072125"/>
      </c:lineChart>
      <c:catAx>
        <c:axId val="757883764"/>
        <c:scaling>
          <c:orientation val="minMax"/>
        </c:scaling>
        <c:delete val="false"/>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336072125"/>
        <c:crosses val="autoZero"/>
        <c:auto val="true"/>
        <c:lblAlgn val="ctr"/>
        <c:lblOffset val="100"/>
        <c:noMultiLvlLbl val="false"/>
      </c:catAx>
      <c:valAx>
        <c:axId val="336072125"/>
        <c:scaling>
          <c:orientation val="minMax"/>
        </c:scaling>
        <c:delete val="false"/>
        <c:axPos val="l"/>
        <c:majorGridlines>
          <c:spPr>
            <a:ln w="9525" cap="flat" cmpd="sng" algn="ctr">
              <a:solidFill>
                <a:schemeClr val="tx1">
                  <a:lumMod val="15000"/>
                  <a:lumOff val="85000"/>
                </a:schemeClr>
              </a:solidFill>
              <a:round/>
            </a:ln>
            <a:effectLst/>
          </c:spPr>
        </c:majorGridlines>
        <c:numFmt formatCode="General" sourceLinked="true"/>
        <c:majorTickMark val="none"/>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757883764"/>
        <c:crosses val="autoZero"/>
        <c:crossBetween val="between"/>
      </c:valAx>
      <c:spPr>
        <a:noFill/>
        <a:ln>
          <a:noFill/>
        </a:ln>
        <a:effectLst/>
      </c:spPr>
    </c:plotArea>
    <c:legend>
      <c:legendPos val="b"/>
      <c:layout/>
      <c:overlay val="false"/>
      <c:spPr>
        <a:noFill/>
        <a:ln>
          <a:noFill/>
        </a:ln>
        <a:effectLst/>
      </c:spPr>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3867</Words>
  <Characters>4082</Characters>
  <Lines>0</Lines>
  <Paragraphs>0</Paragraphs>
  <TotalTime>0</TotalTime>
  <ScaleCrop>false</ScaleCrop>
  <LinksUpToDate>false</LinksUpToDate>
  <CharactersWithSpaces>4092</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2020-02-13T11:04:00Z</dcterms:created>
  <dc:creator>刚罡</dc:creator>
  <cp:lastModifiedBy>user</cp:lastModifiedBy>
  <dcterms:modified xsi:type="dcterms:W3CDTF">2025-01-27T16:46:25Z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908519CFE4584FE2B1D34FBF31D35150_13</vt:lpwstr>
  </property>
  <property fmtid="{D5CDD505-2E9C-101B-9397-08002B2CF9AE}" pid="4" name="KSOTemplateDocerSaveRecord">
    <vt:lpwstr>eyJoZGlkIjoiZTU5ZWJmM2ZiMGI2N2YxYzU3YWUwYWJmNjUyMjMwMDgiLCJ1c2VySWQiOiIzODk5NzMxNzMifQ==</vt:lpwstr>
  </property>
</Properties>
</file>