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B8175">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滕州市卫生健康局</w:t>
      </w:r>
    </w:p>
    <w:p w14:paraId="6EB39FEF">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2024年政府信息公开年度报告</w:t>
      </w:r>
    </w:p>
    <w:p w14:paraId="1A46E8C5">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p>
    <w:p w14:paraId="40F5790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根据《中华人民共和国政府信息公开条例》规定和省政府办公厅、枣庄市政府办公室、滕州市政府办公室通知要求，结合实际，编制并向社会公布滕州市</w:t>
      </w:r>
      <w:r>
        <w:rPr>
          <w:rFonts w:hint="eastAsia" w:ascii="仿宋_GB2312" w:hAnsi="仿宋_GB2312" w:eastAsia="仿宋_GB2312" w:cs="仿宋_GB2312"/>
          <w:sz w:val="32"/>
          <w:szCs w:val="32"/>
          <w:highlight w:val="none"/>
        </w:rPr>
        <w:t>卫生健康局</w:t>
      </w:r>
      <w:r>
        <w:rPr>
          <w:rFonts w:hint="default"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年政府信息公开年度报告。本年度报告中所列数据的统计期限自</w:t>
      </w:r>
      <w:r>
        <w:rPr>
          <w:rFonts w:hint="default"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default"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日起至</w:t>
      </w:r>
      <w:r>
        <w:rPr>
          <w:rFonts w:hint="default" w:ascii="仿宋_GB2312" w:hAnsi="仿宋_GB2312" w:eastAsia="仿宋_GB2312" w:cs="仿宋_GB2312"/>
          <w:sz w:val="32"/>
          <w:szCs w:val="32"/>
          <w:highlight w:val="none"/>
        </w:rPr>
        <w:t>12</w:t>
      </w:r>
      <w:r>
        <w:rPr>
          <w:rFonts w:hint="eastAsia" w:ascii="仿宋_GB2312" w:hAnsi="仿宋_GB2312" w:eastAsia="仿宋_GB2312" w:cs="仿宋_GB2312"/>
          <w:sz w:val="32"/>
          <w:szCs w:val="32"/>
          <w:highlight w:val="none"/>
        </w:rPr>
        <w:t>月</w:t>
      </w:r>
      <w:r>
        <w:rPr>
          <w:rFonts w:hint="default" w:ascii="仿宋_GB2312" w:hAnsi="仿宋_GB2312" w:eastAsia="仿宋_GB2312" w:cs="仿宋_GB2312"/>
          <w:sz w:val="32"/>
          <w:szCs w:val="32"/>
          <w:highlight w:val="none"/>
        </w:rPr>
        <w:t>31</w:t>
      </w:r>
      <w:r>
        <w:rPr>
          <w:rFonts w:hint="eastAsia" w:ascii="仿宋_GB2312" w:hAnsi="仿宋_GB2312" w:eastAsia="仿宋_GB2312" w:cs="仿宋_GB2312"/>
          <w:sz w:val="32"/>
          <w:szCs w:val="32"/>
          <w:highlight w:val="none"/>
        </w:rPr>
        <w:t>日止。</w:t>
      </w:r>
    </w:p>
    <w:p w14:paraId="3CEA289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20" w:firstLineChars="200"/>
        <w:jc w:val="both"/>
        <w:textAlignment w:val="auto"/>
        <w:rPr>
          <w:highlight w:val="none"/>
        </w:rPr>
      </w:pPr>
      <w:r>
        <w:rPr>
          <w:rFonts w:ascii="黑体" w:hAnsi="宋体" w:eastAsia="黑体" w:cs="黑体"/>
          <w:sz w:val="31"/>
          <w:szCs w:val="31"/>
          <w:highlight w:val="none"/>
        </w:rPr>
        <w:t>一、总体情况</w:t>
      </w:r>
    </w:p>
    <w:p w14:paraId="280B446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年，滕州市卫生健康局认真贯彻落实市政府关于政务公开工作的各项部署，不断夯实工作基础，持续强化实践创新，全力推动政务公开工作实现高质量发展。</w:t>
      </w:r>
      <w:r>
        <w:rPr>
          <w:rFonts w:hint="default"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年滕州市卫生健康局公开政府信息</w:t>
      </w:r>
      <w:r>
        <w:rPr>
          <w:rFonts w:hint="eastAsia" w:ascii="仿宋_GB2312" w:hAnsi="仿宋_GB2312" w:eastAsia="仿宋_GB2312" w:cs="仿宋_GB2312"/>
          <w:sz w:val="32"/>
          <w:szCs w:val="32"/>
          <w:highlight w:val="none"/>
          <w:lang w:val="en-US" w:eastAsia="zh-CN"/>
        </w:rPr>
        <w:t>1686</w:t>
      </w:r>
      <w:r>
        <w:rPr>
          <w:rFonts w:hint="eastAsia" w:ascii="仿宋_GB2312" w:hAnsi="仿宋_GB2312" w:eastAsia="仿宋_GB2312" w:cs="仿宋_GB2312"/>
          <w:sz w:val="32"/>
          <w:szCs w:val="32"/>
          <w:highlight w:val="none"/>
        </w:rPr>
        <w:t>条。其中，通过滕州市人民政府官网</w:t>
      </w:r>
      <w:r>
        <w:rPr>
          <w:rFonts w:hint="eastAsia" w:ascii="仿宋_GB2312" w:hAnsi="仿宋_GB2312" w:eastAsia="仿宋_GB2312" w:cs="仿宋_GB2312"/>
          <w:sz w:val="32"/>
          <w:szCs w:val="32"/>
          <w:highlight w:val="none"/>
          <w:lang w:val="en-US" w:eastAsia="zh-CN"/>
        </w:rPr>
        <w:t>滕州市卫生健康局</w:t>
      </w:r>
      <w:r>
        <w:rPr>
          <w:rFonts w:hint="eastAsia" w:ascii="仿宋_GB2312" w:hAnsi="仿宋_GB2312" w:eastAsia="仿宋_GB2312" w:cs="仿宋_GB2312"/>
          <w:sz w:val="32"/>
          <w:szCs w:val="32"/>
          <w:highlight w:val="none"/>
        </w:rPr>
        <w:t>栏目</w:t>
      </w:r>
      <w:r>
        <w:rPr>
          <w:rFonts w:hint="eastAsia" w:ascii="仿宋_GB2312" w:hAnsi="仿宋_GB2312" w:eastAsia="仿宋_GB2312" w:cs="仿宋_GB2312"/>
          <w:sz w:val="32"/>
          <w:szCs w:val="32"/>
          <w:highlight w:val="none"/>
          <w:lang w:val="en-US" w:eastAsia="zh-CN"/>
        </w:rPr>
        <w:t>75</w:t>
      </w:r>
      <w:r>
        <w:rPr>
          <w:rFonts w:hint="eastAsia" w:ascii="仿宋_GB2312" w:hAnsi="仿宋_GB2312" w:eastAsia="仿宋_GB2312" w:cs="仿宋_GB2312"/>
          <w:sz w:val="32"/>
          <w:szCs w:val="32"/>
          <w:highlight w:val="none"/>
        </w:rPr>
        <w:t>条，通过信息公开网站公开信息</w:t>
      </w:r>
      <w:r>
        <w:rPr>
          <w:rFonts w:hint="eastAsia" w:ascii="仿宋_GB2312" w:hAnsi="仿宋_GB2312" w:eastAsia="仿宋_GB2312" w:cs="仿宋_GB2312"/>
          <w:sz w:val="32"/>
          <w:szCs w:val="32"/>
          <w:highlight w:val="none"/>
          <w:lang w:val="en-US" w:eastAsia="zh-CN"/>
        </w:rPr>
        <w:t>187</w:t>
      </w:r>
      <w:r>
        <w:rPr>
          <w:rFonts w:hint="eastAsia" w:ascii="仿宋_GB2312" w:hAnsi="仿宋_GB2312" w:eastAsia="仿宋_GB2312" w:cs="仿宋_GB2312"/>
          <w:sz w:val="32"/>
          <w:szCs w:val="32"/>
          <w:highlight w:val="none"/>
        </w:rPr>
        <w:t>条，通过“滕州卫生健康”微信公众号公开信息</w:t>
      </w:r>
      <w:r>
        <w:rPr>
          <w:rFonts w:hint="eastAsia" w:ascii="仿宋_GB2312" w:hAnsi="仿宋_GB2312" w:eastAsia="仿宋_GB2312" w:cs="仿宋_GB2312"/>
          <w:color w:val="auto"/>
          <w:sz w:val="32"/>
          <w:szCs w:val="32"/>
          <w:highlight w:val="none"/>
          <w:lang w:val="en-US" w:eastAsia="zh-CN"/>
        </w:rPr>
        <w:t>1109</w:t>
      </w:r>
      <w:r>
        <w:rPr>
          <w:rFonts w:hint="eastAsia" w:ascii="仿宋_GB2312" w:hAnsi="仿宋_GB2312" w:eastAsia="仿宋_GB2312" w:cs="仿宋_GB2312"/>
          <w:sz w:val="32"/>
          <w:szCs w:val="32"/>
          <w:highlight w:val="none"/>
        </w:rPr>
        <w:t>余条。</w:t>
      </w:r>
    </w:p>
    <w:p w14:paraId="4F50C81E">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drawing>
          <wp:anchor distT="0" distB="0" distL="114300" distR="114300" simplePos="0" relativeHeight="251660288" behindDoc="1" locked="0" layoutInCell="1" allowOverlap="1">
            <wp:simplePos x="0" y="0"/>
            <wp:positionH relativeFrom="column">
              <wp:posOffset>28575</wp:posOffset>
            </wp:positionH>
            <wp:positionV relativeFrom="paragraph">
              <wp:posOffset>41275</wp:posOffset>
            </wp:positionV>
            <wp:extent cx="5184775" cy="2440305"/>
            <wp:effectExtent l="4445" t="4445" r="11430" b="12700"/>
            <wp:wrapNone/>
            <wp:docPr id="3" name="图表 3" descr="7b0a202020202263686172745265734964223a202232303239313937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2CAC9FE8">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highlight w:val="none"/>
          <w:lang w:eastAsia="zh-CN"/>
        </w:rPr>
      </w:pPr>
    </w:p>
    <w:p w14:paraId="2216431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highlight w:val="none"/>
        </w:rPr>
      </w:pPr>
    </w:p>
    <w:p w14:paraId="1C96D00F">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highlight w:val="none"/>
        </w:rPr>
      </w:pPr>
    </w:p>
    <w:p w14:paraId="38A2C48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仿宋_GB2312" w:eastAsia="仿宋_GB2312" w:cs="仿宋_GB2312"/>
          <w:sz w:val="32"/>
          <w:szCs w:val="32"/>
          <w:highlight w:val="none"/>
        </w:rPr>
      </w:pPr>
    </w:p>
    <w:p w14:paraId="04BD3442">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highlight w:val="none"/>
        </w:rPr>
      </w:pPr>
    </w:p>
    <w:p w14:paraId="679361C8">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pacing w:val="0"/>
          <w:sz w:val="31"/>
          <w:szCs w:val="31"/>
          <w:highlight w:val="none"/>
          <w:shd w:val="clear" w:color="auto" w:fill="FFFFFF"/>
          <w:lang w:eastAsia="zh-CN"/>
        </w:rPr>
        <w:drawing>
          <wp:anchor distT="0" distB="0" distL="114300" distR="114300" simplePos="0" relativeHeight="251661312" behindDoc="1" locked="0" layoutInCell="1" allowOverlap="1">
            <wp:simplePos x="0" y="0"/>
            <wp:positionH relativeFrom="column">
              <wp:posOffset>52070</wp:posOffset>
            </wp:positionH>
            <wp:positionV relativeFrom="paragraph">
              <wp:posOffset>102235</wp:posOffset>
            </wp:positionV>
            <wp:extent cx="5256530" cy="2988310"/>
            <wp:effectExtent l="5080" t="4445" r="15240" b="17145"/>
            <wp:wrapNone/>
            <wp:docPr id="4" name="图表 4" descr="7b0a202020202263686172745265734964223a202232303239313937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7E787D1F">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楷体_GB2312" w:hAnsi="楷体_GB2312" w:eastAsia="楷体_GB2312" w:cs="楷体_GB2312"/>
          <w:spacing w:val="0"/>
          <w:sz w:val="31"/>
          <w:szCs w:val="31"/>
          <w:highlight w:val="none"/>
          <w:shd w:val="clear" w:color="auto" w:fill="FFFFFF"/>
          <w:lang w:eastAsia="zh-CN"/>
        </w:rPr>
      </w:pPr>
    </w:p>
    <w:p w14:paraId="06829DF6">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楷体_GB2312" w:hAnsi="楷体_GB2312" w:eastAsia="楷体_GB2312" w:cs="楷体_GB2312"/>
          <w:spacing w:val="0"/>
          <w:sz w:val="31"/>
          <w:szCs w:val="31"/>
          <w:highlight w:val="none"/>
          <w:shd w:val="clear" w:color="auto" w:fill="FFFFFF"/>
        </w:rPr>
      </w:pPr>
    </w:p>
    <w:p w14:paraId="32B7C49A">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楷体_GB2312" w:hAnsi="楷体_GB2312" w:eastAsia="楷体_GB2312" w:cs="楷体_GB2312"/>
          <w:spacing w:val="0"/>
          <w:sz w:val="31"/>
          <w:szCs w:val="31"/>
          <w:highlight w:val="none"/>
          <w:shd w:val="clear" w:color="auto" w:fill="FFFFFF"/>
        </w:rPr>
      </w:pPr>
    </w:p>
    <w:p w14:paraId="7D683287">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楷体_GB2312" w:hAnsi="楷体_GB2312" w:eastAsia="楷体_GB2312" w:cs="楷体_GB2312"/>
          <w:spacing w:val="0"/>
          <w:sz w:val="31"/>
          <w:szCs w:val="31"/>
          <w:highlight w:val="none"/>
          <w:shd w:val="clear" w:color="auto" w:fill="FFFFFF"/>
        </w:rPr>
      </w:pPr>
    </w:p>
    <w:p w14:paraId="1AF0DE89">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楷体_GB2312" w:hAnsi="楷体_GB2312" w:eastAsia="楷体_GB2312" w:cs="楷体_GB2312"/>
          <w:spacing w:val="0"/>
          <w:sz w:val="31"/>
          <w:szCs w:val="31"/>
          <w:highlight w:val="none"/>
          <w:shd w:val="clear" w:color="auto" w:fill="FFFFFF"/>
        </w:rPr>
      </w:pPr>
    </w:p>
    <w:p w14:paraId="4614F197">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楷体_GB2312" w:hAnsi="楷体_GB2312" w:eastAsia="楷体_GB2312" w:cs="楷体_GB2312"/>
          <w:spacing w:val="0"/>
          <w:sz w:val="31"/>
          <w:szCs w:val="31"/>
          <w:highlight w:val="none"/>
          <w:shd w:val="clear" w:color="auto" w:fill="FFFFFF"/>
        </w:rPr>
      </w:pPr>
    </w:p>
    <w:p w14:paraId="4F57D48B">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楷体_GB2312" w:hAnsi="楷体_GB2312" w:eastAsia="楷体_GB2312" w:cs="楷体_GB2312"/>
          <w:spacing w:val="0"/>
          <w:sz w:val="31"/>
          <w:szCs w:val="31"/>
          <w:highlight w:val="none"/>
          <w:shd w:val="clear" w:color="auto" w:fill="FFFFFF"/>
          <w:lang w:eastAsia="zh-CN"/>
        </w:rPr>
      </w:pPr>
      <w:r>
        <w:rPr>
          <w:rFonts w:hint="eastAsia" w:ascii="楷体_GB2312" w:hAnsi="楷体_GB2312" w:eastAsia="楷体_GB2312" w:cs="楷体_GB2312"/>
          <w:spacing w:val="0"/>
          <w:sz w:val="31"/>
          <w:szCs w:val="31"/>
          <w:highlight w:val="none"/>
          <w:shd w:val="clear" w:color="auto" w:fill="FFFFFF"/>
          <w:lang w:eastAsia="zh-CN"/>
        </w:rPr>
        <w:drawing>
          <wp:anchor distT="0" distB="0" distL="114300" distR="114300" simplePos="0" relativeHeight="251662336" behindDoc="1" locked="0" layoutInCell="1" allowOverlap="1">
            <wp:simplePos x="0" y="0"/>
            <wp:positionH relativeFrom="column">
              <wp:posOffset>24765</wp:posOffset>
            </wp:positionH>
            <wp:positionV relativeFrom="paragraph">
              <wp:posOffset>309245</wp:posOffset>
            </wp:positionV>
            <wp:extent cx="5264150" cy="3553460"/>
            <wp:effectExtent l="0" t="0" r="12700" b="8890"/>
            <wp:wrapNone/>
            <wp:docPr id="6" name="图片 6" descr="da41a61b5315ee0afedc59c3581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a41a61b5315ee0afedc59c35818604"/>
                    <pic:cNvPicPr>
                      <a:picLocks noChangeAspect="1"/>
                    </pic:cNvPicPr>
                  </pic:nvPicPr>
                  <pic:blipFill>
                    <a:blip r:embed="rId7"/>
                    <a:stretch>
                      <a:fillRect/>
                    </a:stretch>
                  </pic:blipFill>
                  <pic:spPr>
                    <a:xfrm>
                      <a:off x="0" y="0"/>
                      <a:ext cx="5264150" cy="3553460"/>
                    </a:xfrm>
                    <a:prstGeom prst="rect">
                      <a:avLst/>
                    </a:prstGeom>
                  </pic:spPr>
                </pic:pic>
              </a:graphicData>
            </a:graphic>
          </wp:anchor>
        </w:drawing>
      </w:r>
    </w:p>
    <w:p w14:paraId="09AF847C">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楷体_GB2312" w:hAnsi="楷体_GB2312" w:eastAsia="楷体_GB2312" w:cs="楷体_GB2312"/>
          <w:spacing w:val="0"/>
          <w:sz w:val="31"/>
          <w:szCs w:val="31"/>
          <w:highlight w:val="none"/>
          <w:shd w:val="clear" w:color="auto" w:fill="FFFFFF"/>
        </w:rPr>
      </w:pPr>
    </w:p>
    <w:p w14:paraId="6BDE3D2B">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楷体_GB2312" w:hAnsi="楷体_GB2312" w:eastAsia="楷体_GB2312" w:cs="楷体_GB2312"/>
          <w:spacing w:val="0"/>
          <w:sz w:val="31"/>
          <w:szCs w:val="31"/>
          <w:highlight w:val="none"/>
          <w:shd w:val="clear" w:color="auto" w:fill="FFFFFF"/>
        </w:rPr>
      </w:pPr>
    </w:p>
    <w:p w14:paraId="02BD2B7D">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楷体_GB2312" w:hAnsi="楷体_GB2312" w:eastAsia="楷体_GB2312" w:cs="楷体_GB2312"/>
          <w:spacing w:val="0"/>
          <w:sz w:val="31"/>
          <w:szCs w:val="31"/>
          <w:highlight w:val="none"/>
          <w:shd w:val="clear" w:color="auto" w:fill="FFFFFF"/>
          <w:lang w:eastAsia="zh-CN"/>
        </w:rPr>
      </w:pPr>
    </w:p>
    <w:p w14:paraId="0C33F022">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楷体_GB2312" w:hAnsi="楷体_GB2312" w:eastAsia="楷体_GB2312" w:cs="楷体_GB2312"/>
          <w:spacing w:val="0"/>
          <w:sz w:val="31"/>
          <w:szCs w:val="31"/>
          <w:highlight w:val="none"/>
          <w:shd w:val="clear" w:color="auto" w:fill="FFFFFF"/>
        </w:rPr>
      </w:pPr>
    </w:p>
    <w:p w14:paraId="03B73E9E">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楷体_GB2312" w:hAnsi="楷体_GB2312" w:eastAsia="楷体_GB2312" w:cs="楷体_GB2312"/>
          <w:spacing w:val="0"/>
          <w:sz w:val="31"/>
          <w:szCs w:val="31"/>
          <w:highlight w:val="none"/>
          <w:shd w:val="clear" w:color="auto" w:fill="FFFFFF"/>
        </w:rPr>
      </w:pPr>
    </w:p>
    <w:p w14:paraId="01D9DC79">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楷体_GB2312" w:hAnsi="楷体_GB2312" w:eastAsia="楷体_GB2312" w:cs="楷体_GB2312"/>
          <w:spacing w:val="0"/>
          <w:sz w:val="31"/>
          <w:szCs w:val="31"/>
          <w:highlight w:val="none"/>
          <w:shd w:val="clear" w:color="auto" w:fill="FFFFFF"/>
        </w:rPr>
      </w:pPr>
    </w:p>
    <w:p w14:paraId="6CCF7A31">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楷体_GB2312" w:hAnsi="楷体_GB2312" w:eastAsia="楷体_GB2312" w:cs="楷体_GB2312"/>
          <w:spacing w:val="0"/>
          <w:sz w:val="31"/>
          <w:szCs w:val="31"/>
          <w:highlight w:val="none"/>
          <w:shd w:val="clear" w:color="auto" w:fill="FFFFFF"/>
        </w:rPr>
      </w:pPr>
    </w:p>
    <w:p w14:paraId="0F93AB50">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jc w:val="both"/>
        <w:textAlignment w:val="auto"/>
        <w:rPr>
          <w:rFonts w:hint="eastAsia" w:ascii="楷体_GB2312" w:hAnsi="楷体_GB2312" w:eastAsia="楷体_GB2312" w:cs="楷体_GB2312"/>
          <w:spacing w:val="0"/>
          <w:sz w:val="31"/>
          <w:szCs w:val="31"/>
          <w:highlight w:val="none"/>
          <w:shd w:val="clear" w:color="auto" w:fill="FFFFFF"/>
        </w:rPr>
      </w:pPr>
    </w:p>
    <w:p w14:paraId="3632E7A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6"/>
        <w:jc w:val="both"/>
        <w:textAlignment w:val="auto"/>
        <w:rPr>
          <w:rFonts w:hint="eastAsia" w:ascii="楷体_GB2312" w:hAnsi="楷体_GB2312" w:eastAsia="楷体_GB2312" w:cs="楷体_GB2312"/>
          <w:spacing w:val="0"/>
          <w:sz w:val="31"/>
          <w:szCs w:val="31"/>
          <w:highlight w:val="none"/>
          <w:shd w:val="clear" w:color="auto" w:fill="FFFFFF"/>
        </w:rPr>
      </w:pPr>
      <w:r>
        <w:rPr>
          <w:rFonts w:hint="eastAsia" w:ascii="楷体_GB2312" w:hAnsi="楷体_GB2312" w:eastAsia="楷体_GB2312" w:cs="楷体_GB2312"/>
          <w:spacing w:val="0"/>
          <w:sz w:val="31"/>
          <w:szCs w:val="31"/>
          <w:highlight w:val="none"/>
          <w:shd w:val="clear" w:color="auto" w:fill="FFFFFF"/>
        </w:rPr>
        <w:t>（一）积极推进主动公开</w:t>
      </w:r>
    </w:p>
    <w:p w14:paraId="0F1476E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不断加强信息发布规范性，回应公众关切，及时准确发布权威政府信息，强化公众参与互动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增进公众对</w:t>
      </w:r>
      <w:r>
        <w:rPr>
          <w:rFonts w:hint="eastAsia" w:ascii="仿宋_GB2312" w:hAnsi="仿宋_GB2312" w:eastAsia="仿宋_GB2312" w:cs="仿宋_GB2312"/>
          <w:sz w:val="32"/>
          <w:szCs w:val="32"/>
          <w:highlight w:val="none"/>
          <w:lang w:val="en-US" w:eastAsia="zh-CN"/>
        </w:rPr>
        <w:t>卫生健康</w:t>
      </w:r>
      <w:r>
        <w:rPr>
          <w:rFonts w:hint="eastAsia" w:ascii="仿宋_GB2312" w:hAnsi="仿宋_GB2312" w:eastAsia="仿宋_GB2312" w:cs="仿宋_GB2312"/>
          <w:sz w:val="32"/>
          <w:szCs w:val="32"/>
          <w:highlight w:val="none"/>
        </w:rPr>
        <w:t>工作的</w:t>
      </w:r>
      <w:r>
        <w:rPr>
          <w:rFonts w:hint="eastAsia" w:ascii="仿宋_GB2312" w:hAnsi="仿宋_GB2312" w:eastAsia="仿宋_GB2312" w:cs="仿宋_GB2312"/>
          <w:sz w:val="32"/>
          <w:szCs w:val="32"/>
          <w:highlight w:val="none"/>
          <w:lang w:val="en-US" w:eastAsia="zh-CN"/>
        </w:rPr>
        <w:t>认识</w:t>
      </w:r>
      <w:r>
        <w:rPr>
          <w:rFonts w:hint="eastAsia" w:ascii="仿宋_GB2312" w:hAnsi="仿宋_GB2312" w:eastAsia="仿宋_GB2312" w:cs="仿宋_GB2312"/>
          <w:sz w:val="32"/>
          <w:szCs w:val="32"/>
          <w:highlight w:val="none"/>
        </w:rPr>
        <w:t>。严格按照信息公开的内容格式标准，准确公开市卫生健康局简介、领导信息和机构设置情况，集中展现部门工作职能、机构设置、单位领导、职能清单、服务清单等配置要素。积极回应卫生健康领域社会热点关切。通过</w:t>
      </w:r>
      <w:r>
        <w:rPr>
          <w:rFonts w:hint="eastAsia" w:ascii="仿宋_GB2312" w:hAnsi="仿宋_GB2312" w:eastAsia="仿宋_GB2312" w:cs="仿宋_GB2312"/>
          <w:sz w:val="32"/>
          <w:szCs w:val="32"/>
          <w:highlight w:val="none"/>
          <w:lang w:val="en-US" w:eastAsia="zh-CN"/>
        </w:rPr>
        <w:t>开展</w:t>
      </w:r>
      <w:r>
        <w:rPr>
          <w:rFonts w:hint="eastAsia" w:ascii="仿宋_GB2312" w:hAnsi="仿宋_GB2312" w:eastAsia="仿宋_GB2312" w:cs="仿宋_GB2312"/>
          <w:sz w:val="32"/>
          <w:szCs w:val="32"/>
          <w:highlight w:val="none"/>
        </w:rPr>
        <w:t>调研、制定公开目录、确定平台等措施，分类有序推进公共企事业单位信息公开工作，不断提高医疗卫生机构服务水平。</w:t>
      </w:r>
    </w:p>
    <w:p w14:paraId="2E139A4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6"/>
        <w:jc w:val="both"/>
        <w:textAlignment w:val="auto"/>
        <w:rPr>
          <w:rFonts w:hint="eastAsia" w:ascii="楷体_GB2312" w:hAnsi="楷体_GB2312" w:eastAsia="楷体_GB2312" w:cs="楷体_GB2312"/>
          <w:spacing w:val="0"/>
          <w:sz w:val="31"/>
          <w:szCs w:val="31"/>
          <w:highlight w:val="none"/>
          <w:shd w:val="clear" w:color="auto" w:fill="FFFFFF"/>
        </w:rPr>
      </w:pPr>
      <w:r>
        <w:rPr>
          <w:rFonts w:hint="eastAsia" w:ascii="楷体_GB2312" w:hAnsi="楷体_GB2312" w:eastAsia="楷体_GB2312" w:cs="楷体_GB2312"/>
          <w:spacing w:val="0"/>
          <w:sz w:val="31"/>
          <w:szCs w:val="31"/>
          <w:highlight w:val="none"/>
          <w:shd w:val="clear" w:color="auto" w:fill="FFFFFF"/>
        </w:rPr>
        <w:t>（二）依法做好依申请公开</w:t>
      </w:r>
    </w:p>
    <w:p w14:paraId="6417A65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滕州市卫生健康局高度重视依申请公开工作，明确办公室专人负责，将咨询电话、电子邮箱等在网站专栏予以公布，方便申请人申请公开信息，全面规范依申请公开行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为。2024年，卫</w:t>
      </w:r>
      <w:r>
        <w:rPr>
          <w:rFonts w:hint="eastAsia" w:ascii="仿宋_GB2312" w:hAnsi="仿宋_GB2312" w:eastAsia="仿宋_GB2312" w:cs="仿宋_GB2312"/>
          <w:color w:val="000000" w:themeColor="text1"/>
          <w:sz w:val="32"/>
          <w:szCs w:val="32"/>
          <w:highlight w:val="none"/>
          <w14:textFill>
            <w14:solidFill>
              <w14:schemeClr w14:val="tx1"/>
            </w14:solidFill>
          </w14:textFill>
        </w:rPr>
        <w:t>生健康局共受理政府信息公开依申请事项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均为自然人申请。其中，2件</w:t>
      </w:r>
      <w:r>
        <w:rPr>
          <w:rFonts w:hint="eastAsia" w:ascii="仿宋_GB2312" w:hAnsi="仿宋_GB2312" w:eastAsia="仿宋_GB2312" w:cs="仿宋_GB2312"/>
          <w:color w:val="000000" w:themeColor="text1"/>
          <w:sz w:val="32"/>
          <w:szCs w:val="32"/>
          <w:highlight w:val="none"/>
          <w14:textFill>
            <w14:solidFill>
              <w14:schemeClr w14:val="tx1"/>
            </w14:solidFill>
          </w14:textFill>
        </w:rPr>
        <w:t>已严格按照《条例》相关规定按时按要求对申请人进行答复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均为不掌握相关信息无法提供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sz w:val="32"/>
          <w:szCs w:val="32"/>
          <w:highlight w:val="none"/>
          <w:lang w:val="en-US" w:eastAsia="zh-CN"/>
        </w:rPr>
        <w:t>3件</w:t>
      </w:r>
      <w:r>
        <w:rPr>
          <w:rFonts w:hint="eastAsia" w:ascii="仿宋_GB2312" w:hAnsi="仿宋_GB2312" w:eastAsia="仿宋_GB2312" w:cs="仿宋_GB2312"/>
          <w:sz w:val="32"/>
          <w:szCs w:val="32"/>
          <w:highlight w:val="none"/>
          <w:lang w:eastAsia="zh-CN"/>
        </w:rPr>
        <w:t>结转下年度继续办理。</w:t>
      </w:r>
      <w:r>
        <w:rPr>
          <w:rFonts w:hint="eastAsia" w:ascii="仿宋_GB2312" w:hAnsi="仿宋_GB2312" w:eastAsia="仿宋_GB2312" w:cs="仿宋_GB2312"/>
          <w:sz w:val="32"/>
          <w:szCs w:val="32"/>
          <w:highlight w:val="none"/>
          <w:lang w:val="en-US" w:eastAsia="zh-CN"/>
        </w:rPr>
        <w:t>与2023年相比，增加2件。</w:t>
      </w:r>
      <w:r>
        <w:rPr>
          <w:rFonts w:hint="eastAsia" w:ascii="仿宋_GB2312" w:hAnsi="仿宋_GB2312" w:eastAsia="仿宋_GB2312" w:cs="仿宋_GB2312"/>
          <w:sz w:val="32"/>
          <w:szCs w:val="32"/>
          <w:highlight w:val="none"/>
        </w:rPr>
        <w:t>本年度无因政府信息公开引起行政复议、行政诉讼的情况。</w:t>
      </w:r>
    </w:p>
    <w:p w14:paraId="02F7571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6"/>
        <w:jc w:val="both"/>
        <w:textAlignment w:val="auto"/>
        <w:rPr>
          <w:rFonts w:hint="eastAsia" w:ascii="楷体_GB2312" w:hAnsi="楷体_GB2312" w:eastAsia="楷体_GB2312" w:cs="楷体_GB2312"/>
          <w:spacing w:val="0"/>
          <w:sz w:val="31"/>
          <w:szCs w:val="31"/>
          <w:highlight w:val="none"/>
          <w:shd w:val="clear" w:color="auto" w:fill="FFFFFF"/>
          <w:lang w:eastAsia="zh-CN"/>
        </w:rPr>
      </w:pPr>
      <w:r>
        <w:rPr>
          <w:rFonts w:hint="eastAsia" w:ascii="楷体_GB2312" w:hAnsi="楷体_GB2312" w:eastAsia="楷体_GB2312" w:cs="楷体_GB2312"/>
          <w:spacing w:val="0"/>
          <w:sz w:val="31"/>
          <w:szCs w:val="31"/>
          <w:highlight w:val="none"/>
          <w:shd w:val="clear" w:color="auto" w:fill="FFFFFF"/>
        </w:rPr>
        <w:t>（三）不断加强政府信息管理</w:t>
      </w:r>
    </w:p>
    <w:p w14:paraId="5B3639F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做好政府信息主动公开目录修订完善工作，建立了政务信息公开、审查、责任追究的政府信息全生命周期管理制度。加强政策解读和依申请公开答复规范化建设，推动卫生健康信息公开工作提质增效。严格落实保密审查制度，对应公开的信息主动公开，明确审核主体责任、审核流程，对涉及单位机密及其他不能公开的信息，坚决按照有关要求做好涉密保密工作。</w:t>
      </w:r>
    </w:p>
    <w:p w14:paraId="782F56F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6"/>
        <w:jc w:val="both"/>
        <w:textAlignment w:val="auto"/>
        <w:rPr>
          <w:rFonts w:hint="eastAsia" w:ascii="楷体_GB2312" w:hAnsi="楷体_GB2312" w:eastAsia="楷体_GB2312" w:cs="楷体_GB2312"/>
          <w:spacing w:val="0"/>
          <w:sz w:val="31"/>
          <w:szCs w:val="31"/>
          <w:highlight w:val="none"/>
          <w:shd w:val="clear" w:color="auto" w:fill="FFFFFF"/>
        </w:rPr>
      </w:pPr>
      <w:r>
        <w:rPr>
          <w:rFonts w:hint="eastAsia" w:ascii="楷体_GB2312" w:hAnsi="楷体_GB2312" w:eastAsia="楷体_GB2312" w:cs="楷体_GB2312"/>
          <w:spacing w:val="0"/>
          <w:sz w:val="31"/>
          <w:szCs w:val="31"/>
          <w:highlight w:val="none"/>
          <w:shd w:val="clear" w:color="auto" w:fill="FFFFFF"/>
        </w:rPr>
        <w:t>（四）持续推进政府信息公开平台建设</w:t>
      </w:r>
    </w:p>
    <w:p w14:paraId="57EAB8FA">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firstLine="643" w:firstLineChars="200"/>
        <w:jc w:val="both"/>
        <w:textAlignment w:val="auto"/>
        <w:rPr>
          <w:rFonts w:hint="eastAsia" w:ascii="仿宋_GB2312" w:hAnsi="仿宋_GB2312" w:eastAsia="仿宋_GB2312" w:cs="仿宋_GB2312"/>
          <w:b/>
          <w:bCs/>
          <w:kern w:val="0"/>
          <w:sz w:val="32"/>
          <w:szCs w:val="32"/>
          <w:highlight w:val="none"/>
          <w:lang w:val="en-US" w:eastAsia="zh-CN" w:bidi="ar"/>
        </w:rPr>
      </w:pPr>
      <w:r>
        <w:rPr>
          <w:rFonts w:hint="eastAsia" w:ascii="仿宋_GB2312" w:hAnsi="仿宋_GB2312" w:eastAsia="仿宋_GB2312" w:cs="仿宋_GB2312"/>
          <w:b/>
          <w:bCs/>
          <w:kern w:val="0"/>
          <w:sz w:val="32"/>
          <w:szCs w:val="32"/>
          <w:highlight w:val="none"/>
          <w:lang w:val="en-US" w:eastAsia="zh-CN" w:bidi="ar"/>
        </w:rPr>
        <w:t>一是完善工作制度。</w:t>
      </w:r>
      <w:r>
        <w:rPr>
          <w:rFonts w:hint="eastAsia" w:ascii="仿宋_GB2312" w:hAnsi="仿宋_GB2312" w:eastAsia="仿宋_GB2312" w:cs="仿宋_GB2312"/>
          <w:kern w:val="0"/>
          <w:sz w:val="32"/>
          <w:szCs w:val="32"/>
          <w:highlight w:val="none"/>
          <w:lang w:val="en-US" w:eastAsia="zh-CN" w:bidi="ar"/>
        </w:rPr>
        <w:t>逐步完善细化政府信息公开的工作制度，扎实推进政府信息公开平台建设，抓好创新公开方式，完善公开内容，不断提高政府信息公开质效，落实信息发布前审核审查制度，严格审核信息的发布。</w:t>
      </w:r>
      <w:r>
        <w:rPr>
          <w:rFonts w:hint="eastAsia" w:ascii="仿宋_GB2312" w:hAnsi="仿宋_GB2312" w:eastAsia="仿宋_GB2312" w:cs="仿宋_GB2312"/>
          <w:b/>
          <w:bCs/>
          <w:kern w:val="0"/>
          <w:sz w:val="32"/>
          <w:szCs w:val="32"/>
          <w:highlight w:val="none"/>
          <w:lang w:val="en-US" w:eastAsia="zh-CN" w:bidi="ar"/>
        </w:rPr>
        <w:t>二是畅通公开渠道。</w:t>
      </w:r>
      <w:r>
        <w:rPr>
          <w:rFonts w:hint="eastAsia" w:ascii="仿宋_GB2312" w:hAnsi="仿宋_GB2312" w:eastAsia="仿宋_GB2312" w:cs="仿宋_GB2312"/>
          <w:kern w:val="0"/>
          <w:sz w:val="32"/>
          <w:szCs w:val="32"/>
          <w:highlight w:val="none"/>
          <w:lang w:val="en-US" w:eastAsia="zh-CN" w:bidi="ar"/>
        </w:rPr>
        <w:t>定期维护网站平台，确保信息发布及时准确。做到应公开尽公开，同时不断拓宽政府信息公开渠道。通过网站市长信箱、网络问政、在线咨询、征集调查等在线互动功能和市长热线、政行风热线、专家坐诊等互动交流渠道，依托市政府门户网设置滕州市各医疗机构信息公开专栏，全面公开医疗机构院务信息，回应公众需求，服务人民群众。8月29日开展“政府开放日”活动，邀请党代表、人大代表、政协委员、医院行风监督员、患者家属代表、媒体记者等，通过沉浸式体验、座谈交流等方式，切实感受医疗服务能力的提升。</w:t>
      </w:r>
      <w:r>
        <w:rPr>
          <w:rFonts w:hint="eastAsia" w:ascii="仿宋_GB2312" w:hAnsi="仿宋_GB2312" w:eastAsia="仿宋_GB2312" w:cs="仿宋_GB2312"/>
          <w:b/>
          <w:bCs/>
          <w:kern w:val="0"/>
          <w:sz w:val="32"/>
          <w:szCs w:val="32"/>
          <w:highlight w:val="none"/>
          <w:lang w:val="en-US" w:eastAsia="zh-CN" w:bidi="ar"/>
        </w:rPr>
        <w:t>三是聚焦媒体通联合作。</w:t>
      </w:r>
      <w:r>
        <w:rPr>
          <w:rFonts w:hint="eastAsia" w:ascii="仿宋_GB2312" w:hAnsi="仿宋_GB2312" w:eastAsia="仿宋_GB2312" w:cs="仿宋_GB2312"/>
          <w:kern w:val="0"/>
          <w:sz w:val="32"/>
          <w:szCs w:val="32"/>
          <w:highlight w:val="none"/>
          <w:lang w:val="en-US" w:eastAsia="zh-CN" w:bidi="ar"/>
        </w:rPr>
        <w:t>加强媒体的合作，先后组织市中心人民医院、市中医医院、市精神卫生专家等走进电视台，开展健康知识讲座。提升宣传质量，2024年在各类媒体发稿2571篇，其中国家级媒体发稿257篇。</w:t>
      </w:r>
    </w:p>
    <w:p w14:paraId="2BF1A3A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firstLine="646"/>
        <w:jc w:val="both"/>
        <w:textAlignment w:val="auto"/>
        <w:rPr>
          <w:rFonts w:hint="eastAsia" w:ascii="楷体_GB2312" w:hAnsi="楷体_GB2312" w:eastAsia="楷体_GB2312" w:cs="楷体_GB2312"/>
          <w:spacing w:val="0"/>
          <w:sz w:val="31"/>
          <w:szCs w:val="31"/>
          <w:highlight w:val="none"/>
          <w:shd w:val="clear" w:color="auto" w:fill="FFFFFF"/>
        </w:rPr>
      </w:pPr>
      <w:r>
        <w:rPr>
          <w:rFonts w:hint="eastAsia" w:ascii="楷体_GB2312" w:hAnsi="楷体_GB2312" w:eastAsia="楷体_GB2312" w:cs="楷体_GB2312"/>
          <w:spacing w:val="0"/>
          <w:sz w:val="31"/>
          <w:szCs w:val="31"/>
          <w:highlight w:val="none"/>
          <w:shd w:val="clear" w:color="auto" w:fill="FFFFFF"/>
        </w:rPr>
        <w:t>（五）强化监督保障</w:t>
      </w:r>
    </w:p>
    <w:p w14:paraId="656BA76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调整完善以主要负责同志为组长、分管领导为副组长、各相关科室负责人为成员的机制，明确了各自的职责和工作措施。完善信息公开的制度机制，确保各项制度得到落实，促进政务公开工作深入开展。2024年，本单位未发生因信息公开审查不当或保密审查机构未履行保密审查职责而引起的失泄密情况。2024年度列入滕州市市直部门绩效考核</w:t>
      </w:r>
      <w:r>
        <w:rPr>
          <w:rFonts w:hint="eastAsia" w:ascii="仿宋_GB2312" w:hAnsi="仿宋_GB2312" w:eastAsia="仿宋_GB2312" w:cs="仿宋_GB2312"/>
          <w:kern w:val="0"/>
          <w:sz w:val="32"/>
          <w:szCs w:val="32"/>
          <w:highlight w:val="none"/>
          <w:lang w:val="en-US" w:eastAsia="zh-CN" w:bidi="ar"/>
        </w:rPr>
        <w:t>，未进行社会评议，未发生责任追究情况。</w:t>
      </w:r>
    </w:p>
    <w:p w14:paraId="1EFA63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rFonts w:hint="eastAsia" w:ascii="黑体" w:hAnsi="宋体" w:eastAsia="黑体" w:cs="黑体"/>
          <w:sz w:val="31"/>
          <w:szCs w:val="31"/>
          <w:highlight w:val="none"/>
        </w:rPr>
      </w:pPr>
    </w:p>
    <w:p w14:paraId="74A76F6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20" w:firstLineChars="200"/>
        <w:jc w:val="both"/>
        <w:textAlignment w:val="auto"/>
        <w:rPr>
          <w:highlight w:val="none"/>
        </w:rPr>
      </w:pPr>
      <w:r>
        <w:rPr>
          <w:rFonts w:hint="eastAsia" w:ascii="黑体" w:hAnsi="宋体" w:eastAsia="黑体" w:cs="黑体"/>
          <w:sz w:val="31"/>
          <w:szCs w:val="31"/>
          <w:highlight w:val="none"/>
        </w:rPr>
        <w:t>二、 主动公开政府信息情况统计表</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14:paraId="5A8827C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24499B6B">
            <w:pPr>
              <w:widowControl/>
              <w:jc w:val="center"/>
              <w:rPr>
                <w:rFonts w:ascii="黑体" w:hAnsi="黑体" w:eastAsia="黑体" w:cs="宋体"/>
                <w:color w:val="000000"/>
                <w:kern w:val="0"/>
                <w:szCs w:val="21"/>
                <w:highlight w:val="none"/>
              </w:rPr>
            </w:pPr>
            <w:r>
              <w:rPr>
                <w:rFonts w:hint="eastAsia" w:ascii="黑体" w:hAnsi="黑体" w:eastAsia="黑体" w:cs="宋体"/>
                <w:color w:val="000000"/>
                <w:kern w:val="0"/>
                <w:szCs w:val="21"/>
                <w:highlight w:val="none"/>
              </w:rPr>
              <w:t>第二十条第（一）项</w:t>
            </w:r>
          </w:p>
        </w:tc>
      </w:tr>
      <w:tr w14:paraId="12F919A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4694C98D">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2206" w:type="dxa"/>
            <w:tcBorders>
              <w:top w:val="nil"/>
              <w:left w:val="nil"/>
              <w:bottom w:val="single" w:color="auto" w:sz="8" w:space="0"/>
              <w:right w:val="single" w:color="auto" w:sz="8" w:space="0"/>
            </w:tcBorders>
            <w:noWrap w:val="0"/>
            <w:vAlign w:val="center"/>
          </w:tcPr>
          <w:p w14:paraId="12158898">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本年制发件数</w:t>
            </w:r>
          </w:p>
        </w:tc>
        <w:tc>
          <w:tcPr>
            <w:tcW w:w="2206" w:type="dxa"/>
            <w:tcBorders>
              <w:top w:val="nil"/>
              <w:left w:val="nil"/>
              <w:bottom w:val="single" w:color="auto" w:sz="8" w:space="0"/>
              <w:right w:val="single" w:color="auto" w:sz="8" w:space="0"/>
            </w:tcBorders>
            <w:noWrap w:val="0"/>
            <w:vAlign w:val="center"/>
          </w:tcPr>
          <w:p w14:paraId="54E3A45B">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本年废止件数</w:t>
            </w:r>
          </w:p>
        </w:tc>
        <w:tc>
          <w:tcPr>
            <w:tcW w:w="2206" w:type="dxa"/>
            <w:tcBorders>
              <w:top w:val="nil"/>
              <w:left w:val="nil"/>
              <w:bottom w:val="single" w:color="auto" w:sz="8" w:space="0"/>
              <w:right w:val="single" w:color="auto" w:sz="8" w:space="0"/>
            </w:tcBorders>
            <w:noWrap w:val="0"/>
            <w:vAlign w:val="center"/>
          </w:tcPr>
          <w:p w14:paraId="4242EB53">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现行有效件数</w:t>
            </w:r>
          </w:p>
        </w:tc>
      </w:tr>
      <w:tr w14:paraId="61ACC21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49876430">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规章</w:t>
            </w:r>
          </w:p>
        </w:tc>
        <w:tc>
          <w:tcPr>
            <w:tcW w:w="2206" w:type="dxa"/>
            <w:tcBorders>
              <w:top w:val="nil"/>
              <w:left w:val="nil"/>
              <w:bottom w:val="single" w:color="auto" w:sz="8" w:space="0"/>
              <w:right w:val="single" w:color="auto" w:sz="8" w:space="0"/>
            </w:tcBorders>
            <w:noWrap w:val="0"/>
            <w:vAlign w:val="center"/>
          </w:tcPr>
          <w:p w14:paraId="2B69CD73">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noWrap w:val="0"/>
            <w:vAlign w:val="center"/>
          </w:tcPr>
          <w:p w14:paraId="67575A74">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noWrap w:val="0"/>
            <w:vAlign w:val="center"/>
          </w:tcPr>
          <w:p w14:paraId="617D7F80">
            <w:pPr>
              <w:widowControl/>
              <w:jc w:val="center"/>
              <w:rPr>
                <w:rFonts w:ascii="仿宋_GB2312" w:hAnsi="Calibri" w:eastAsia="仿宋_GB2312" w:cs="Calibri"/>
                <w:color w:val="auto"/>
                <w:kern w:val="0"/>
                <w:szCs w:val="21"/>
                <w:highlight w:val="none"/>
              </w:rPr>
            </w:pPr>
            <w:r>
              <w:rPr>
                <w:rFonts w:hint="eastAsia" w:ascii="仿宋_GB2312" w:hAnsi="宋体" w:eastAsia="仿宋_GB2312" w:cs="宋体"/>
                <w:color w:val="auto"/>
                <w:kern w:val="0"/>
                <w:szCs w:val="21"/>
                <w:highlight w:val="none"/>
                <w:lang w:val="en-US" w:eastAsia="zh-CN"/>
              </w:rPr>
              <w:t>0</w:t>
            </w:r>
          </w:p>
        </w:tc>
      </w:tr>
      <w:tr w14:paraId="25EDA2F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48D6896">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行政规范性文件</w:t>
            </w:r>
          </w:p>
        </w:tc>
        <w:tc>
          <w:tcPr>
            <w:tcW w:w="2206" w:type="dxa"/>
            <w:tcBorders>
              <w:top w:val="nil"/>
              <w:left w:val="nil"/>
              <w:bottom w:val="single" w:color="auto" w:sz="8" w:space="0"/>
              <w:right w:val="single" w:color="auto" w:sz="8" w:space="0"/>
            </w:tcBorders>
            <w:noWrap w:val="0"/>
            <w:vAlign w:val="center"/>
          </w:tcPr>
          <w:p w14:paraId="73B763B5">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noWrap w:val="0"/>
            <w:vAlign w:val="center"/>
          </w:tcPr>
          <w:p w14:paraId="45D457F5">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0</w:t>
            </w:r>
          </w:p>
        </w:tc>
        <w:tc>
          <w:tcPr>
            <w:tcW w:w="2206" w:type="dxa"/>
            <w:tcBorders>
              <w:top w:val="nil"/>
              <w:left w:val="nil"/>
              <w:bottom w:val="single" w:color="auto" w:sz="8" w:space="0"/>
              <w:right w:val="single" w:color="auto" w:sz="8" w:space="0"/>
            </w:tcBorders>
            <w:noWrap w:val="0"/>
            <w:vAlign w:val="center"/>
          </w:tcPr>
          <w:p w14:paraId="681E0F6F">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7</w:t>
            </w:r>
          </w:p>
        </w:tc>
      </w:tr>
      <w:tr w14:paraId="3C8C4878">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612D9DF">
            <w:pPr>
              <w:widowControl/>
              <w:jc w:val="center"/>
              <w:rPr>
                <w:rFonts w:ascii="黑体" w:hAnsi="黑体" w:eastAsia="黑体" w:cs="宋体"/>
                <w:color w:val="000000"/>
                <w:kern w:val="0"/>
                <w:szCs w:val="21"/>
                <w:highlight w:val="none"/>
              </w:rPr>
            </w:pPr>
            <w:r>
              <w:rPr>
                <w:rFonts w:hint="eastAsia" w:ascii="黑体" w:hAnsi="黑体" w:eastAsia="黑体" w:cs="宋体"/>
                <w:color w:val="000000"/>
                <w:kern w:val="0"/>
                <w:szCs w:val="21"/>
                <w:highlight w:val="none"/>
              </w:rPr>
              <w:t>第二十条第（五）项</w:t>
            </w:r>
          </w:p>
        </w:tc>
      </w:tr>
      <w:tr w14:paraId="632F9DD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4DB60472">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5F15CF09">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本年处理决定数量</w:t>
            </w:r>
          </w:p>
        </w:tc>
      </w:tr>
      <w:tr w14:paraId="36F7260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436182E">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1B311B49">
            <w:pPr>
              <w:widowControl/>
              <w:jc w:val="center"/>
              <w:rPr>
                <w:rFonts w:hint="eastAsia" w:ascii="仿宋_GB2312" w:hAnsi="Calibri" w:eastAsia="仿宋_GB2312" w:cs="Calibri"/>
                <w:color w:val="000000"/>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0</w:t>
            </w:r>
          </w:p>
        </w:tc>
      </w:tr>
      <w:tr w14:paraId="504D6C2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C6CDB6E">
            <w:pPr>
              <w:widowControl/>
              <w:jc w:val="center"/>
              <w:rPr>
                <w:rFonts w:ascii="黑体" w:hAnsi="黑体" w:eastAsia="黑体" w:cs="宋体"/>
                <w:color w:val="000000"/>
                <w:kern w:val="0"/>
                <w:szCs w:val="21"/>
                <w:highlight w:val="none"/>
              </w:rPr>
            </w:pPr>
            <w:r>
              <w:rPr>
                <w:rFonts w:hint="eastAsia" w:ascii="黑体" w:hAnsi="黑体" w:eastAsia="黑体" w:cs="宋体"/>
                <w:color w:val="000000"/>
                <w:kern w:val="0"/>
                <w:szCs w:val="21"/>
                <w:highlight w:val="none"/>
              </w:rPr>
              <w:t>第二十条第（六）项</w:t>
            </w:r>
          </w:p>
        </w:tc>
      </w:tr>
      <w:tr w14:paraId="4E79CD7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FE908E2">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7848242A">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本年处理决定数量</w:t>
            </w:r>
          </w:p>
        </w:tc>
      </w:tr>
      <w:tr w14:paraId="7D8D6D6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2A45C996">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03B73FA6">
            <w:pPr>
              <w:widowControl/>
              <w:jc w:val="center"/>
              <w:rPr>
                <w:rFonts w:hint="eastAsia" w:ascii="仿宋_GB2312" w:hAnsi="Calibri" w:eastAsia="仿宋_GB2312" w:cs="Calibri"/>
                <w:color w:val="auto"/>
                <w:kern w:val="0"/>
                <w:szCs w:val="21"/>
                <w:highlight w:val="none"/>
                <w:lang w:eastAsia="zh-CN"/>
              </w:rPr>
            </w:pPr>
            <w:r>
              <w:rPr>
                <w:rFonts w:hint="eastAsia" w:ascii="仿宋_GB2312" w:hAnsi="Calibri" w:eastAsia="仿宋_GB2312" w:cs="Calibri"/>
                <w:color w:val="auto"/>
                <w:kern w:val="0"/>
                <w:szCs w:val="21"/>
                <w:highlight w:val="none"/>
                <w:lang w:val="en-US" w:eastAsia="zh-CN"/>
              </w:rPr>
              <w:t>235</w:t>
            </w:r>
          </w:p>
        </w:tc>
      </w:tr>
      <w:tr w14:paraId="78C39E5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4D958333">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0B9EFEFF">
            <w:pPr>
              <w:widowControl/>
              <w:jc w:val="center"/>
              <w:rPr>
                <w:rFonts w:hint="eastAsia" w:ascii="仿宋_GB2312" w:hAnsi="Calibri" w:eastAsia="仿宋_GB2312" w:cs="Calibri"/>
                <w:color w:val="auto"/>
                <w:kern w:val="0"/>
                <w:szCs w:val="21"/>
                <w:highlight w:val="none"/>
                <w:lang w:eastAsia="zh-CN"/>
              </w:rPr>
            </w:pPr>
            <w:r>
              <w:rPr>
                <w:rFonts w:hint="eastAsia" w:ascii="仿宋_GB2312" w:hAnsi="Calibri" w:eastAsia="仿宋_GB2312" w:cs="Calibri"/>
                <w:color w:val="auto"/>
                <w:kern w:val="0"/>
                <w:szCs w:val="21"/>
                <w:highlight w:val="none"/>
                <w:lang w:val="en-US" w:eastAsia="zh-CN"/>
              </w:rPr>
              <w:t>0</w:t>
            </w:r>
          </w:p>
        </w:tc>
      </w:tr>
      <w:tr w14:paraId="40610820">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46D039F">
            <w:pPr>
              <w:widowControl/>
              <w:jc w:val="center"/>
              <w:rPr>
                <w:rFonts w:ascii="黑体" w:hAnsi="黑体" w:eastAsia="黑体" w:cs="宋体"/>
                <w:color w:val="000000"/>
                <w:kern w:val="0"/>
                <w:szCs w:val="21"/>
                <w:highlight w:val="none"/>
              </w:rPr>
            </w:pPr>
            <w:r>
              <w:rPr>
                <w:rFonts w:hint="eastAsia" w:ascii="黑体" w:hAnsi="黑体" w:eastAsia="黑体" w:cs="宋体"/>
                <w:color w:val="000000"/>
                <w:kern w:val="0"/>
                <w:szCs w:val="21"/>
                <w:highlight w:val="none"/>
              </w:rPr>
              <w:t>第二十条第（八）项</w:t>
            </w:r>
          </w:p>
        </w:tc>
      </w:tr>
      <w:tr w14:paraId="37ED795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C0CCA31">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4CE09CD2">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本年收费金额（单位：万元）</w:t>
            </w:r>
          </w:p>
        </w:tc>
      </w:tr>
      <w:tr w14:paraId="6796767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9DD2306">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6D1131E7">
            <w:pPr>
              <w:widowControl/>
              <w:jc w:val="center"/>
              <w:rPr>
                <w:rFonts w:hint="eastAsia" w:ascii="仿宋_GB2312" w:hAnsi="Calibri" w:eastAsia="仿宋_GB2312" w:cs="Calibri"/>
                <w:color w:val="000000"/>
                <w:kern w:val="0"/>
                <w:szCs w:val="21"/>
                <w:highlight w:val="none"/>
                <w:lang w:eastAsia="zh-CN"/>
              </w:rPr>
            </w:pPr>
            <w:r>
              <w:rPr>
                <w:rFonts w:hint="eastAsia" w:ascii="仿宋_GB2312" w:eastAsia="仿宋_GB2312" w:cs="Calibri"/>
                <w:color w:val="auto"/>
                <w:kern w:val="0"/>
                <w:szCs w:val="21"/>
                <w:highlight w:val="none"/>
                <w:lang w:val="en-US" w:eastAsia="zh-CN"/>
              </w:rPr>
              <w:t>0</w:t>
            </w:r>
          </w:p>
        </w:tc>
      </w:tr>
    </w:tbl>
    <w:p w14:paraId="612E393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firstLine="620" w:firstLineChars="200"/>
        <w:textAlignment w:val="auto"/>
        <w:rPr>
          <w:rFonts w:hint="eastAsia" w:ascii="黑体" w:hAnsi="宋体" w:eastAsia="黑体" w:cs="黑体"/>
          <w:sz w:val="31"/>
          <w:szCs w:val="31"/>
          <w:highlight w:val="none"/>
        </w:rPr>
      </w:pPr>
    </w:p>
    <w:p w14:paraId="3A04540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firstLine="620" w:firstLineChars="200"/>
        <w:textAlignment w:val="auto"/>
        <w:rPr>
          <w:rFonts w:hint="eastAsia" w:ascii="黑体" w:hAnsi="宋体" w:eastAsia="黑体" w:cs="黑体"/>
          <w:sz w:val="31"/>
          <w:szCs w:val="31"/>
          <w:highlight w:val="none"/>
        </w:rPr>
      </w:pPr>
      <w:bookmarkStart w:id="9" w:name="_GoBack"/>
    </w:p>
    <w:p w14:paraId="7F422CF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firstLine="620" w:firstLineChars="200"/>
        <w:textAlignment w:val="auto"/>
        <w:rPr>
          <w:rFonts w:hint="eastAsia" w:ascii="黑体" w:hAnsi="宋体" w:eastAsia="黑体" w:cs="黑体"/>
          <w:sz w:val="31"/>
          <w:szCs w:val="31"/>
          <w:highlight w:val="none"/>
        </w:rPr>
      </w:pPr>
    </w:p>
    <w:bookmarkEnd w:id="9"/>
    <w:p w14:paraId="686C812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firstLine="620" w:firstLineChars="200"/>
        <w:textAlignment w:val="auto"/>
        <w:rPr>
          <w:highlight w:val="none"/>
        </w:rPr>
      </w:pPr>
      <w:r>
        <w:rPr>
          <w:rFonts w:hint="eastAsia" w:ascii="黑体" w:hAnsi="宋体" w:eastAsia="黑体" w:cs="黑体"/>
          <w:sz w:val="31"/>
          <w:szCs w:val="31"/>
          <w:highlight w:val="none"/>
        </w:rPr>
        <w:t>三、收到和处理政府信息公开申请情况统计表</w:t>
      </w:r>
    </w:p>
    <w:tbl>
      <w:tblPr>
        <w:tblStyle w:val="7"/>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14:paraId="18B0B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14:paraId="0BE7D8A7">
            <w:pPr>
              <w:widowControl/>
              <w:jc w:val="center"/>
              <w:rPr>
                <w:rFonts w:ascii="楷体_GB2312" w:hAnsi="黑体" w:eastAsia="楷体_GB2312"/>
                <w:kern w:val="0"/>
                <w:szCs w:val="21"/>
                <w:highlight w:val="none"/>
              </w:rPr>
            </w:pPr>
            <w:r>
              <w:rPr>
                <w:rFonts w:hint="eastAsia" w:ascii="楷体_GB2312" w:hAnsi="黑体" w:eastAsia="楷体_GB2312"/>
                <w:kern w:val="0"/>
                <w:szCs w:val="21"/>
                <w:highlight w:val="none"/>
              </w:rPr>
              <w:t>（本列数据的勾稽关系为：第一项加第二项之和，</w:t>
            </w:r>
          </w:p>
          <w:p w14:paraId="52B5C2A0">
            <w:pPr>
              <w:widowControl/>
              <w:jc w:val="center"/>
              <w:rPr>
                <w:rFonts w:ascii="仿宋_GB2312" w:hAnsi="Times New Roman" w:eastAsia="仿宋_GB2312"/>
                <w:szCs w:val="21"/>
                <w:highlight w:val="none"/>
              </w:rPr>
            </w:pPr>
            <w:r>
              <w:rPr>
                <w:rFonts w:hint="eastAsia" w:ascii="楷体_GB2312" w:hAnsi="黑体" w:eastAsia="楷体_GB2312"/>
                <w:kern w:val="0"/>
                <w:szCs w:val="21"/>
                <w:highlight w:val="none"/>
              </w:rPr>
              <w:t>等于第三项加第四项之和）</w:t>
            </w:r>
          </w:p>
        </w:tc>
        <w:tc>
          <w:tcPr>
            <w:tcW w:w="4448" w:type="dxa"/>
            <w:gridSpan w:val="10"/>
            <w:noWrap w:val="0"/>
            <w:tcMar>
              <w:left w:w="108" w:type="dxa"/>
              <w:right w:w="108" w:type="dxa"/>
            </w:tcMar>
            <w:vAlign w:val="center"/>
          </w:tcPr>
          <w:p w14:paraId="298B0C73">
            <w:pPr>
              <w:widowControl/>
              <w:spacing w:line="320" w:lineRule="exact"/>
              <w:jc w:val="center"/>
              <w:rPr>
                <w:rFonts w:ascii="黑体" w:hAnsi="黑体" w:eastAsia="黑体"/>
                <w:szCs w:val="21"/>
                <w:highlight w:val="none"/>
              </w:rPr>
            </w:pPr>
            <w:r>
              <w:rPr>
                <w:rFonts w:hint="eastAsia" w:ascii="黑体" w:hAnsi="黑体" w:eastAsia="黑体"/>
                <w:kern w:val="0"/>
                <w:szCs w:val="21"/>
                <w:highlight w:val="none"/>
              </w:rPr>
              <w:t>申请人情况</w:t>
            </w:r>
          </w:p>
        </w:tc>
      </w:tr>
      <w:tr w14:paraId="30A69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14:paraId="285567B3">
            <w:pPr>
              <w:jc w:val="center"/>
              <w:rPr>
                <w:rFonts w:ascii="仿宋_GB2312" w:hAnsi="Times New Roman" w:eastAsia="仿宋_GB2312"/>
                <w:szCs w:val="21"/>
                <w:highlight w:val="none"/>
              </w:rPr>
            </w:pPr>
          </w:p>
        </w:tc>
        <w:tc>
          <w:tcPr>
            <w:tcW w:w="747" w:type="dxa"/>
            <w:vMerge w:val="restart"/>
            <w:noWrap w:val="0"/>
            <w:tcMar>
              <w:left w:w="108" w:type="dxa"/>
              <w:right w:w="108" w:type="dxa"/>
            </w:tcMar>
            <w:vAlign w:val="center"/>
          </w:tcPr>
          <w:p w14:paraId="55B9334D">
            <w:pPr>
              <w:widowControl/>
              <w:jc w:val="center"/>
              <w:rPr>
                <w:rFonts w:ascii="黑体" w:hAnsi="黑体" w:eastAsia="黑体"/>
                <w:szCs w:val="21"/>
                <w:highlight w:val="none"/>
              </w:rPr>
            </w:pPr>
            <w:r>
              <w:rPr>
                <w:rFonts w:hint="eastAsia" w:ascii="黑体" w:hAnsi="黑体" w:eastAsia="黑体"/>
                <w:kern w:val="0"/>
                <w:szCs w:val="21"/>
                <w:highlight w:val="none"/>
              </w:rPr>
              <w:t>自然人</w:t>
            </w:r>
          </w:p>
        </w:tc>
        <w:tc>
          <w:tcPr>
            <w:tcW w:w="3000" w:type="dxa"/>
            <w:gridSpan w:val="7"/>
            <w:noWrap w:val="0"/>
            <w:tcMar>
              <w:left w:w="108" w:type="dxa"/>
              <w:right w:w="108" w:type="dxa"/>
            </w:tcMar>
            <w:vAlign w:val="center"/>
          </w:tcPr>
          <w:p w14:paraId="17B9DD9F">
            <w:pPr>
              <w:widowControl/>
              <w:spacing w:line="320" w:lineRule="exact"/>
              <w:jc w:val="center"/>
              <w:rPr>
                <w:rFonts w:ascii="黑体" w:hAnsi="黑体" w:eastAsia="黑体"/>
                <w:szCs w:val="21"/>
                <w:highlight w:val="none"/>
              </w:rPr>
            </w:pPr>
            <w:r>
              <w:rPr>
                <w:rFonts w:hint="eastAsia" w:ascii="黑体" w:hAnsi="黑体" w:eastAsia="黑体"/>
                <w:kern w:val="0"/>
                <w:szCs w:val="21"/>
                <w:highlight w:val="none"/>
              </w:rPr>
              <w:t>法人或其他组织</w:t>
            </w:r>
          </w:p>
        </w:tc>
        <w:tc>
          <w:tcPr>
            <w:tcW w:w="701" w:type="dxa"/>
            <w:gridSpan w:val="2"/>
            <w:vMerge w:val="restart"/>
            <w:noWrap w:val="0"/>
            <w:tcMar>
              <w:left w:w="108" w:type="dxa"/>
              <w:right w:w="108" w:type="dxa"/>
            </w:tcMar>
            <w:vAlign w:val="center"/>
          </w:tcPr>
          <w:p w14:paraId="79838F5A">
            <w:pPr>
              <w:widowControl/>
              <w:jc w:val="center"/>
              <w:rPr>
                <w:rFonts w:ascii="黑体" w:hAnsi="黑体" w:eastAsia="黑体"/>
                <w:szCs w:val="21"/>
                <w:highlight w:val="none"/>
              </w:rPr>
            </w:pPr>
            <w:r>
              <w:rPr>
                <w:rFonts w:hint="eastAsia" w:ascii="黑体" w:hAnsi="黑体" w:eastAsia="黑体"/>
                <w:kern w:val="0"/>
                <w:szCs w:val="21"/>
                <w:highlight w:val="none"/>
              </w:rPr>
              <w:t>总计</w:t>
            </w:r>
          </w:p>
        </w:tc>
      </w:tr>
      <w:tr w14:paraId="42B79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14:paraId="0DDFED41">
            <w:pPr>
              <w:jc w:val="center"/>
              <w:rPr>
                <w:rFonts w:ascii="仿宋_GB2312" w:hAnsi="Times New Roman" w:eastAsia="仿宋_GB2312"/>
                <w:szCs w:val="21"/>
                <w:highlight w:val="none"/>
              </w:rPr>
            </w:pPr>
          </w:p>
        </w:tc>
        <w:tc>
          <w:tcPr>
            <w:tcW w:w="747" w:type="dxa"/>
            <w:vMerge w:val="continue"/>
            <w:noWrap w:val="0"/>
            <w:tcMar>
              <w:left w:w="108" w:type="dxa"/>
              <w:right w:w="108" w:type="dxa"/>
            </w:tcMar>
            <w:vAlign w:val="center"/>
          </w:tcPr>
          <w:p w14:paraId="5F243485">
            <w:pPr>
              <w:jc w:val="center"/>
              <w:rPr>
                <w:rFonts w:ascii="黑体" w:hAnsi="黑体" w:eastAsia="黑体"/>
                <w:szCs w:val="21"/>
                <w:highlight w:val="none"/>
              </w:rPr>
            </w:pPr>
          </w:p>
        </w:tc>
        <w:tc>
          <w:tcPr>
            <w:tcW w:w="540" w:type="dxa"/>
            <w:gridSpan w:val="2"/>
            <w:noWrap w:val="0"/>
            <w:tcMar>
              <w:left w:w="108" w:type="dxa"/>
              <w:right w:w="108" w:type="dxa"/>
            </w:tcMar>
            <w:vAlign w:val="center"/>
          </w:tcPr>
          <w:p w14:paraId="3D4E03F4">
            <w:pPr>
              <w:widowControl/>
              <w:spacing w:line="320" w:lineRule="exact"/>
              <w:ind w:left="-106" w:leftChars="-51" w:right="-107" w:rightChars="-51" w:hanging="1"/>
              <w:jc w:val="center"/>
              <w:rPr>
                <w:rFonts w:ascii="黑体" w:hAnsi="黑体" w:eastAsia="黑体"/>
                <w:szCs w:val="21"/>
                <w:highlight w:val="none"/>
              </w:rPr>
            </w:pPr>
            <w:r>
              <w:rPr>
                <w:rFonts w:hint="eastAsia" w:ascii="黑体" w:hAnsi="黑体" w:eastAsia="黑体"/>
                <w:kern w:val="0"/>
                <w:szCs w:val="21"/>
                <w:highlight w:val="none"/>
              </w:rPr>
              <w:t>商业企业</w:t>
            </w:r>
          </w:p>
        </w:tc>
        <w:tc>
          <w:tcPr>
            <w:tcW w:w="540" w:type="dxa"/>
            <w:gridSpan w:val="2"/>
            <w:noWrap w:val="0"/>
            <w:tcMar>
              <w:left w:w="108" w:type="dxa"/>
              <w:right w:w="108" w:type="dxa"/>
            </w:tcMar>
            <w:vAlign w:val="center"/>
          </w:tcPr>
          <w:p w14:paraId="5EAABBBE">
            <w:pPr>
              <w:widowControl/>
              <w:spacing w:line="320" w:lineRule="exact"/>
              <w:ind w:left="-107" w:leftChars="-51" w:right="-107" w:rightChars="-51"/>
              <w:jc w:val="center"/>
              <w:rPr>
                <w:rFonts w:ascii="黑体" w:hAnsi="黑体" w:eastAsia="黑体"/>
                <w:szCs w:val="21"/>
                <w:highlight w:val="none"/>
              </w:rPr>
            </w:pPr>
            <w:r>
              <w:rPr>
                <w:rFonts w:hint="eastAsia" w:ascii="黑体" w:hAnsi="黑体" w:eastAsia="黑体"/>
                <w:kern w:val="0"/>
                <w:szCs w:val="21"/>
                <w:highlight w:val="none"/>
              </w:rPr>
              <w:t>科研机构</w:t>
            </w:r>
          </w:p>
        </w:tc>
        <w:tc>
          <w:tcPr>
            <w:tcW w:w="720" w:type="dxa"/>
            <w:noWrap w:val="0"/>
            <w:tcMar>
              <w:left w:w="108" w:type="dxa"/>
              <w:right w:w="108" w:type="dxa"/>
            </w:tcMar>
            <w:vAlign w:val="center"/>
          </w:tcPr>
          <w:p w14:paraId="6159FE6D">
            <w:pPr>
              <w:widowControl/>
              <w:spacing w:line="320" w:lineRule="exact"/>
              <w:ind w:left="-107" w:leftChars="-51" w:right="-107" w:rightChars="-51"/>
              <w:jc w:val="center"/>
              <w:rPr>
                <w:rFonts w:ascii="黑体" w:hAnsi="黑体" w:eastAsia="黑体"/>
                <w:szCs w:val="21"/>
                <w:highlight w:val="none"/>
              </w:rPr>
            </w:pPr>
            <w:r>
              <w:rPr>
                <w:rFonts w:hint="eastAsia" w:ascii="黑体" w:hAnsi="黑体" w:eastAsia="黑体"/>
                <w:kern w:val="0"/>
                <w:szCs w:val="21"/>
                <w:highlight w:val="none"/>
              </w:rPr>
              <w:t>社会公益组织</w:t>
            </w:r>
          </w:p>
        </w:tc>
        <w:tc>
          <w:tcPr>
            <w:tcW w:w="675" w:type="dxa"/>
            <w:noWrap w:val="0"/>
            <w:tcMar>
              <w:left w:w="108" w:type="dxa"/>
              <w:right w:w="108" w:type="dxa"/>
            </w:tcMar>
            <w:vAlign w:val="center"/>
          </w:tcPr>
          <w:p w14:paraId="76AC87DA">
            <w:pPr>
              <w:widowControl/>
              <w:spacing w:line="320" w:lineRule="exact"/>
              <w:ind w:left="-106" w:leftChars="-51" w:right="-107" w:rightChars="-51" w:hanging="1"/>
              <w:jc w:val="center"/>
              <w:rPr>
                <w:rFonts w:ascii="黑体" w:hAnsi="黑体" w:eastAsia="黑体"/>
                <w:szCs w:val="21"/>
                <w:highlight w:val="none"/>
              </w:rPr>
            </w:pPr>
            <w:r>
              <w:rPr>
                <w:rFonts w:hint="eastAsia" w:ascii="黑体" w:hAnsi="黑体" w:eastAsia="黑体"/>
                <w:kern w:val="0"/>
                <w:szCs w:val="21"/>
                <w:highlight w:val="none"/>
              </w:rPr>
              <w:t>法律服务机构</w:t>
            </w:r>
          </w:p>
        </w:tc>
        <w:tc>
          <w:tcPr>
            <w:tcW w:w="525" w:type="dxa"/>
            <w:noWrap w:val="0"/>
            <w:tcMar>
              <w:left w:w="108" w:type="dxa"/>
              <w:right w:w="108" w:type="dxa"/>
            </w:tcMar>
            <w:vAlign w:val="center"/>
          </w:tcPr>
          <w:p w14:paraId="190F20D5">
            <w:pPr>
              <w:widowControl/>
              <w:spacing w:line="360" w:lineRule="exact"/>
              <w:ind w:left="-63" w:leftChars="-30" w:right="-134" w:rightChars="-64"/>
              <w:jc w:val="center"/>
              <w:rPr>
                <w:rFonts w:ascii="黑体" w:hAnsi="黑体" w:eastAsia="黑体"/>
                <w:szCs w:val="21"/>
                <w:highlight w:val="none"/>
              </w:rPr>
            </w:pPr>
            <w:r>
              <w:rPr>
                <w:rFonts w:hint="eastAsia" w:ascii="黑体" w:hAnsi="黑体" w:eastAsia="黑体"/>
                <w:kern w:val="0"/>
                <w:szCs w:val="21"/>
                <w:highlight w:val="none"/>
              </w:rPr>
              <w:t>其他</w:t>
            </w:r>
          </w:p>
        </w:tc>
        <w:tc>
          <w:tcPr>
            <w:tcW w:w="701" w:type="dxa"/>
            <w:gridSpan w:val="2"/>
            <w:vMerge w:val="continue"/>
            <w:noWrap w:val="0"/>
            <w:tcMar>
              <w:left w:w="108" w:type="dxa"/>
              <w:right w:w="108" w:type="dxa"/>
            </w:tcMar>
            <w:vAlign w:val="center"/>
          </w:tcPr>
          <w:p w14:paraId="1E9DE87E">
            <w:pPr>
              <w:jc w:val="center"/>
              <w:rPr>
                <w:rFonts w:ascii="仿宋_GB2312" w:hAnsi="Times New Roman" w:eastAsia="仿宋_GB2312"/>
                <w:szCs w:val="21"/>
                <w:highlight w:val="none"/>
              </w:rPr>
            </w:pPr>
          </w:p>
        </w:tc>
      </w:tr>
      <w:tr w14:paraId="39382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2B40E839">
            <w:pPr>
              <w:widowControl/>
              <w:rPr>
                <w:rFonts w:ascii="黑体" w:hAnsi="黑体" w:eastAsia="黑体"/>
                <w:szCs w:val="21"/>
                <w:highlight w:val="none"/>
              </w:rPr>
            </w:pPr>
            <w:r>
              <w:rPr>
                <w:rFonts w:hint="eastAsia" w:ascii="黑体" w:hAnsi="黑体" w:eastAsia="黑体"/>
                <w:kern w:val="0"/>
                <w:szCs w:val="21"/>
                <w:highlight w:val="none"/>
              </w:rPr>
              <w:t>一、</w:t>
            </w:r>
            <w:bookmarkStart w:id="0" w:name="_Hlk66973412"/>
            <w:r>
              <w:rPr>
                <w:rFonts w:hint="eastAsia" w:ascii="黑体" w:hAnsi="黑体" w:eastAsia="黑体"/>
                <w:kern w:val="0"/>
                <w:szCs w:val="21"/>
                <w:highlight w:val="none"/>
              </w:rPr>
              <w:t>本年新收政府信息公开申请数量</w:t>
            </w:r>
            <w:bookmarkEnd w:id="0"/>
          </w:p>
        </w:tc>
        <w:tc>
          <w:tcPr>
            <w:tcW w:w="747" w:type="dxa"/>
            <w:noWrap w:val="0"/>
            <w:tcMar>
              <w:left w:w="108" w:type="dxa"/>
              <w:right w:w="108" w:type="dxa"/>
            </w:tcMar>
            <w:vAlign w:val="center"/>
          </w:tcPr>
          <w:p w14:paraId="3EEB3BE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5</w:t>
            </w:r>
          </w:p>
        </w:tc>
        <w:tc>
          <w:tcPr>
            <w:tcW w:w="540" w:type="dxa"/>
            <w:gridSpan w:val="2"/>
            <w:noWrap w:val="0"/>
            <w:tcMar>
              <w:left w:w="108" w:type="dxa"/>
              <w:right w:w="108" w:type="dxa"/>
            </w:tcMar>
            <w:vAlign w:val="center"/>
          </w:tcPr>
          <w:p w14:paraId="241643B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0" w:type="dxa"/>
            <w:gridSpan w:val="2"/>
            <w:noWrap w:val="0"/>
            <w:tcMar>
              <w:left w:w="108" w:type="dxa"/>
              <w:right w:w="108" w:type="dxa"/>
            </w:tcMar>
            <w:vAlign w:val="center"/>
          </w:tcPr>
          <w:p w14:paraId="0AEF532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0318FCF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49858F3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25" w:type="dxa"/>
            <w:noWrap w:val="0"/>
            <w:tcMar>
              <w:left w:w="108" w:type="dxa"/>
              <w:right w:w="108" w:type="dxa"/>
            </w:tcMar>
            <w:vAlign w:val="center"/>
          </w:tcPr>
          <w:p w14:paraId="462761E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1" w:type="dxa"/>
            <w:gridSpan w:val="2"/>
            <w:noWrap w:val="0"/>
            <w:tcMar>
              <w:left w:w="108" w:type="dxa"/>
              <w:right w:w="108" w:type="dxa"/>
            </w:tcMar>
            <w:vAlign w:val="center"/>
          </w:tcPr>
          <w:p w14:paraId="42A1BED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5</w:t>
            </w:r>
          </w:p>
        </w:tc>
      </w:tr>
      <w:tr w14:paraId="61EA63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187B3E93">
            <w:pPr>
              <w:widowControl/>
              <w:rPr>
                <w:rFonts w:ascii="黑体" w:hAnsi="黑体" w:eastAsia="黑体"/>
                <w:szCs w:val="21"/>
                <w:highlight w:val="none"/>
              </w:rPr>
            </w:pPr>
            <w:r>
              <w:rPr>
                <w:rFonts w:hint="eastAsia" w:ascii="黑体" w:hAnsi="黑体" w:eastAsia="黑体"/>
                <w:kern w:val="0"/>
                <w:szCs w:val="21"/>
                <w:highlight w:val="none"/>
              </w:rPr>
              <w:t>二、上年结转政府信息公开申请数量</w:t>
            </w:r>
          </w:p>
        </w:tc>
        <w:tc>
          <w:tcPr>
            <w:tcW w:w="747" w:type="dxa"/>
            <w:noWrap w:val="0"/>
            <w:tcMar>
              <w:left w:w="108" w:type="dxa"/>
              <w:right w:w="108" w:type="dxa"/>
            </w:tcMar>
            <w:vAlign w:val="center"/>
          </w:tcPr>
          <w:p w14:paraId="35A3FB9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0" w:type="dxa"/>
            <w:gridSpan w:val="2"/>
            <w:noWrap w:val="0"/>
            <w:tcMar>
              <w:left w:w="108" w:type="dxa"/>
              <w:right w:w="108" w:type="dxa"/>
            </w:tcMar>
            <w:vAlign w:val="center"/>
          </w:tcPr>
          <w:p w14:paraId="7EEC343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0" w:type="dxa"/>
            <w:gridSpan w:val="2"/>
            <w:noWrap w:val="0"/>
            <w:tcMar>
              <w:left w:w="108" w:type="dxa"/>
              <w:right w:w="108" w:type="dxa"/>
            </w:tcMar>
            <w:vAlign w:val="center"/>
          </w:tcPr>
          <w:p w14:paraId="5CF1FA0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621CCB4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456A57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25" w:type="dxa"/>
            <w:noWrap w:val="0"/>
            <w:tcMar>
              <w:left w:w="108" w:type="dxa"/>
              <w:right w:w="108" w:type="dxa"/>
            </w:tcMar>
            <w:vAlign w:val="center"/>
          </w:tcPr>
          <w:p w14:paraId="3E1C14A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1" w:type="dxa"/>
            <w:gridSpan w:val="2"/>
            <w:noWrap w:val="0"/>
            <w:tcMar>
              <w:left w:w="108" w:type="dxa"/>
              <w:right w:w="108" w:type="dxa"/>
            </w:tcMar>
            <w:vAlign w:val="center"/>
          </w:tcPr>
          <w:p w14:paraId="7770C16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0CE0C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14:paraId="73673099">
            <w:pPr>
              <w:widowControl/>
              <w:spacing w:after="180"/>
              <w:rPr>
                <w:rFonts w:ascii="黑体" w:hAnsi="黑体" w:eastAsia="黑体"/>
                <w:szCs w:val="21"/>
                <w:highlight w:val="none"/>
              </w:rPr>
            </w:pPr>
            <w:r>
              <w:rPr>
                <w:rFonts w:hint="eastAsia" w:ascii="黑体" w:hAnsi="黑体" w:eastAsia="黑体"/>
                <w:kern w:val="0"/>
                <w:szCs w:val="21"/>
                <w:highlight w:val="none"/>
              </w:rPr>
              <w:t>三、本年度办理结果</w:t>
            </w:r>
          </w:p>
        </w:tc>
        <w:tc>
          <w:tcPr>
            <w:tcW w:w="4677" w:type="dxa"/>
            <w:gridSpan w:val="2"/>
            <w:noWrap w:val="0"/>
            <w:tcMar>
              <w:left w:w="108" w:type="dxa"/>
              <w:right w:w="108" w:type="dxa"/>
            </w:tcMar>
            <w:vAlign w:val="center"/>
          </w:tcPr>
          <w:p w14:paraId="5C48348F">
            <w:pPr>
              <w:widowControl/>
              <w:rPr>
                <w:rFonts w:ascii="黑体" w:hAnsi="黑体" w:eastAsia="黑体"/>
                <w:szCs w:val="21"/>
                <w:highlight w:val="none"/>
              </w:rPr>
            </w:pPr>
            <w:r>
              <w:rPr>
                <w:rFonts w:hint="eastAsia" w:ascii="黑体" w:hAnsi="黑体" w:eastAsia="黑体"/>
                <w:kern w:val="0"/>
                <w:szCs w:val="21"/>
                <w:highlight w:val="none"/>
              </w:rPr>
              <w:t>（一）予以公开</w:t>
            </w:r>
          </w:p>
        </w:tc>
        <w:tc>
          <w:tcPr>
            <w:tcW w:w="752" w:type="dxa"/>
            <w:gridSpan w:val="2"/>
            <w:noWrap w:val="0"/>
            <w:tcMar>
              <w:left w:w="108" w:type="dxa"/>
              <w:right w:w="108" w:type="dxa"/>
            </w:tcMar>
            <w:vAlign w:val="center"/>
          </w:tcPr>
          <w:p w14:paraId="08760D3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0" w:type="dxa"/>
            <w:gridSpan w:val="2"/>
            <w:noWrap w:val="0"/>
            <w:tcMar>
              <w:left w:w="108" w:type="dxa"/>
              <w:right w:w="108" w:type="dxa"/>
            </w:tcMar>
            <w:vAlign w:val="center"/>
          </w:tcPr>
          <w:p w14:paraId="4DA4AD1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5" w:type="dxa"/>
            <w:noWrap w:val="0"/>
            <w:tcMar>
              <w:left w:w="108" w:type="dxa"/>
              <w:right w:w="108" w:type="dxa"/>
            </w:tcMar>
            <w:vAlign w:val="center"/>
          </w:tcPr>
          <w:p w14:paraId="17E1288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1DDE6E4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7B592EB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26" w:type="dxa"/>
            <w:gridSpan w:val="2"/>
            <w:noWrap w:val="0"/>
            <w:tcMar>
              <w:left w:w="108" w:type="dxa"/>
              <w:right w:w="108" w:type="dxa"/>
            </w:tcMar>
            <w:vAlign w:val="center"/>
          </w:tcPr>
          <w:p w14:paraId="745B96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0" w:type="dxa"/>
            <w:noWrap w:val="0"/>
            <w:tcMar>
              <w:left w:w="108" w:type="dxa"/>
              <w:right w:w="108" w:type="dxa"/>
            </w:tcMar>
            <w:vAlign w:val="center"/>
          </w:tcPr>
          <w:p w14:paraId="5096C8E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2CB010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52FF6F89">
            <w:pPr>
              <w:rPr>
                <w:rFonts w:ascii="黑体" w:hAnsi="黑体" w:eastAsia="黑体"/>
                <w:szCs w:val="21"/>
                <w:highlight w:val="none"/>
              </w:rPr>
            </w:pPr>
          </w:p>
        </w:tc>
        <w:tc>
          <w:tcPr>
            <w:tcW w:w="4677" w:type="dxa"/>
            <w:gridSpan w:val="2"/>
            <w:noWrap w:val="0"/>
            <w:tcMar>
              <w:left w:w="108" w:type="dxa"/>
              <w:right w:w="108" w:type="dxa"/>
            </w:tcMar>
            <w:vAlign w:val="center"/>
          </w:tcPr>
          <w:p w14:paraId="058F5625">
            <w:pPr>
              <w:widowControl/>
              <w:rPr>
                <w:rFonts w:ascii="黑体" w:hAnsi="黑体" w:eastAsia="黑体"/>
                <w:szCs w:val="21"/>
                <w:highlight w:val="none"/>
              </w:rPr>
            </w:pPr>
            <w:r>
              <w:rPr>
                <w:rFonts w:hint="eastAsia" w:ascii="黑体" w:hAnsi="黑体" w:eastAsia="黑体"/>
                <w:kern w:val="0"/>
                <w:szCs w:val="21"/>
                <w:highlight w:val="none"/>
              </w:rPr>
              <w:t>（二）部分公开（</w:t>
            </w:r>
            <w:bookmarkStart w:id="1" w:name="_Hlk66973981"/>
            <w:r>
              <w:rPr>
                <w:rFonts w:hint="eastAsia" w:ascii="黑体" w:hAnsi="黑体" w:eastAsia="黑体"/>
                <w:kern w:val="0"/>
                <w:szCs w:val="21"/>
                <w:highlight w:val="none"/>
              </w:rPr>
              <w:t>区分处理的，只计这一情形，不计其他情形</w:t>
            </w:r>
            <w:bookmarkEnd w:id="1"/>
            <w:r>
              <w:rPr>
                <w:rFonts w:hint="eastAsia" w:ascii="黑体" w:hAnsi="黑体" w:eastAsia="黑体"/>
                <w:kern w:val="0"/>
                <w:szCs w:val="21"/>
                <w:highlight w:val="none"/>
              </w:rPr>
              <w:t>）</w:t>
            </w:r>
          </w:p>
        </w:tc>
        <w:tc>
          <w:tcPr>
            <w:tcW w:w="752" w:type="dxa"/>
            <w:gridSpan w:val="2"/>
            <w:noWrap w:val="0"/>
            <w:tcMar>
              <w:left w:w="108" w:type="dxa"/>
              <w:right w:w="108" w:type="dxa"/>
            </w:tcMar>
            <w:vAlign w:val="center"/>
          </w:tcPr>
          <w:p w14:paraId="0CA01F9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0" w:type="dxa"/>
            <w:gridSpan w:val="2"/>
            <w:noWrap w:val="0"/>
            <w:tcMar>
              <w:left w:w="108" w:type="dxa"/>
              <w:right w:w="108" w:type="dxa"/>
            </w:tcMar>
            <w:vAlign w:val="center"/>
          </w:tcPr>
          <w:p w14:paraId="0F4EB74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5" w:type="dxa"/>
            <w:noWrap w:val="0"/>
            <w:tcMar>
              <w:left w:w="108" w:type="dxa"/>
              <w:right w:w="108" w:type="dxa"/>
            </w:tcMar>
            <w:vAlign w:val="center"/>
          </w:tcPr>
          <w:p w14:paraId="1B95C46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3ECF1E6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16A0C22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26" w:type="dxa"/>
            <w:gridSpan w:val="2"/>
            <w:noWrap w:val="0"/>
            <w:tcMar>
              <w:left w:w="108" w:type="dxa"/>
              <w:right w:w="108" w:type="dxa"/>
            </w:tcMar>
            <w:vAlign w:val="center"/>
          </w:tcPr>
          <w:p w14:paraId="24E4524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0" w:type="dxa"/>
            <w:noWrap w:val="0"/>
            <w:tcMar>
              <w:left w:w="108" w:type="dxa"/>
              <w:right w:w="108" w:type="dxa"/>
            </w:tcMar>
            <w:vAlign w:val="center"/>
          </w:tcPr>
          <w:p w14:paraId="105D73E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76BB2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BC22A8F">
            <w:pPr>
              <w:rPr>
                <w:rFonts w:ascii="黑体" w:hAnsi="黑体" w:eastAsia="黑体"/>
                <w:szCs w:val="21"/>
                <w:highlight w:val="none"/>
              </w:rPr>
            </w:pPr>
          </w:p>
        </w:tc>
        <w:tc>
          <w:tcPr>
            <w:tcW w:w="1701" w:type="dxa"/>
            <w:vMerge w:val="restart"/>
            <w:noWrap w:val="0"/>
            <w:tcMar>
              <w:left w:w="108" w:type="dxa"/>
              <w:right w:w="108" w:type="dxa"/>
            </w:tcMar>
            <w:vAlign w:val="center"/>
          </w:tcPr>
          <w:p w14:paraId="4CB44008">
            <w:pPr>
              <w:keepNext w:val="0"/>
              <w:keepLines w:val="0"/>
              <w:pageBreakBefore w:val="0"/>
              <w:widowControl/>
              <w:kinsoku/>
              <w:wordWrap/>
              <w:overflowPunct/>
              <w:topLinePunct w:val="0"/>
              <w:autoSpaceDE/>
              <w:autoSpaceDN/>
              <w:bidi w:val="0"/>
              <w:adjustRightInd/>
              <w:snapToGrid/>
              <w:spacing w:line="240" w:lineRule="exact"/>
              <w:ind w:left="-107" w:leftChars="-51"/>
              <w:textAlignment w:val="auto"/>
              <w:rPr>
                <w:rFonts w:ascii="黑体" w:hAnsi="黑体" w:eastAsia="黑体"/>
                <w:szCs w:val="21"/>
                <w:highlight w:val="none"/>
              </w:rPr>
            </w:pPr>
            <w:r>
              <w:rPr>
                <w:rFonts w:hint="eastAsia" w:ascii="黑体" w:hAnsi="黑体" w:eastAsia="黑体"/>
                <w:kern w:val="0"/>
                <w:szCs w:val="21"/>
                <w:highlight w:val="none"/>
              </w:rPr>
              <w:t>（三）不予公开</w:t>
            </w:r>
          </w:p>
        </w:tc>
        <w:tc>
          <w:tcPr>
            <w:tcW w:w="2976" w:type="dxa"/>
            <w:noWrap w:val="0"/>
            <w:tcMar>
              <w:left w:w="108" w:type="dxa"/>
              <w:right w:w="108" w:type="dxa"/>
            </w:tcMar>
            <w:vAlign w:val="center"/>
          </w:tcPr>
          <w:p w14:paraId="17DB0F78">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黑体" w:eastAsia="仿宋_GB2312"/>
                <w:kern w:val="0"/>
                <w:szCs w:val="21"/>
                <w:highlight w:val="none"/>
              </w:rPr>
            </w:pPr>
            <w:r>
              <w:rPr>
                <w:rFonts w:hint="eastAsia" w:ascii="仿宋_GB2312" w:hAnsi="黑体" w:eastAsia="仿宋_GB2312"/>
                <w:kern w:val="0"/>
                <w:szCs w:val="21"/>
                <w:highlight w:val="none"/>
              </w:rPr>
              <w:t>1.属于国家秘密</w:t>
            </w:r>
          </w:p>
        </w:tc>
        <w:tc>
          <w:tcPr>
            <w:tcW w:w="747" w:type="dxa"/>
            <w:noWrap w:val="0"/>
            <w:tcMar>
              <w:left w:w="108" w:type="dxa"/>
              <w:right w:w="108" w:type="dxa"/>
            </w:tcMar>
            <w:vAlign w:val="center"/>
          </w:tcPr>
          <w:p w14:paraId="5650351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6940CA2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5AAF35E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2D28D2D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4A1BF78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68EA8C3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79EF328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0E960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27AD010">
            <w:pPr>
              <w:rPr>
                <w:rFonts w:ascii="黑体" w:hAnsi="黑体" w:eastAsia="黑体"/>
                <w:szCs w:val="21"/>
                <w:highlight w:val="none"/>
              </w:rPr>
            </w:pPr>
          </w:p>
        </w:tc>
        <w:tc>
          <w:tcPr>
            <w:tcW w:w="1701" w:type="dxa"/>
            <w:vMerge w:val="continue"/>
            <w:noWrap w:val="0"/>
            <w:tcMar>
              <w:left w:w="108" w:type="dxa"/>
              <w:right w:w="108" w:type="dxa"/>
            </w:tcMar>
            <w:vAlign w:val="center"/>
          </w:tcPr>
          <w:p w14:paraId="538B9BCE">
            <w:pPr>
              <w:spacing w:line="200" w:lineRule="exact"/>
              <w:rPr>
                <w:rFonts w:ascii="黑体" w:hAnsi="黑体" w:eastAsia="黑体"/>
                <w:szCs w:val="21"/>
                <w:highlight w:val="none"/>
              </w:rPr>
            </w:pPr>
          </w:p>
        </w:tc>
        <w:tc>
          <w:tcPr>
            <w:tcW w:w="2976" w:type="dxa"/>
            <w:noWrap w:val="0"/>
            <w:tcMar>
              <w:left w:w="108" w:type="dxa"/>
              <w:right w:w="108" w:type="dxa"/>
            </w:tcMar>
            <w:vAlign w:val="center"/>
          </w:tcPr>
          <w:p w14:paraId="5ED1FAA8">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黑体" w:eastAsia="仿宋_GB2312"/>
                <w:kern w:val="0"/>
                <w:szCs w:val="21"/>
                <w:highlight w:val="none"/>
              </w:rPr>
            </w:pPr>
            <w:r>
              <w:rPr>
                <w:rFonts w:hint="eastAsia" w:ascii="仿宋_GB2312" w:hAnsi="黑体" w:eastAsia="仿宋_GB2312"/>
                <w:kern w:val="0"/>
                <w:szCs w:val="21"/>
                <w:highlight w:val="none"/>
              </w:rPr>
              <w:t>2.</w:t>
            </w:r>
            <w:bookmarkStart w:id="2" w:name="_Hlk66974104"/>
            <w:r>
              <w:rPr>
                <w:rFonts w:hint="eastAsia" w:ascii="仿宋_GB2312" w:hAnsi="黑体" w:eastAsia="仿宋_GB2312"/>
                <w:kern w:val="0"/>
                <w:szCs w:val="21"/>
                <w:highlight w:val="none"/>
              </w:rPr>
              <w:t>其他法律行政法规禁止公开</w:t>
            </w:r>
            <w:bookmarkEnd w:id="2"/>
          </w:p>
        </w:tc>
        <w:tc>
          <w:tcPr>
            <w:tcW w:w="747" w:type="dxa"/>
            <w:noWrap w:val="0"/>
            <w:tcMar>
              <w:left w:w="108" w:type="dxa"/>
              <w:right w:w="108" w:type="dxa"/>
            </w:tcMar>
            <w:vAlign w:val="center"/>
          </w:tcPr>
          <w:p w14:paraId="17D6078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3D0768D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09E327E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03AFD9C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3AE5594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7E8AFEA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66937DF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1BBE84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5BC59A21">
            <w:pPr>
              <w:rPr>
                <w:rFonts w:ascii="黑体" w:hAnsi="黑体" w:eastAsia="黑体"/>
                <w:szCs w:val="21"/>
                <w:highlight w:val="none"/>
              </w:rPr>
            </w:pPr>
          </w:p>
        </w:tc>
        <w:tc>
          <w:tcPr>
            <w:tcW w:w="1701" w:type="dxa"/>
            <w:vMerge w:val="continue"/>
            <w:noWrap w:val="0"/>
            <w:tcMar>
              <w:left w:w="108" w:type="dxa"/>
              <w:right w:w="108" w:type="dxa"/>
            </w:tcMar>
            <w:vAlign w:val="center"/>
          </w:tcPr>
          <w:p w14:paraId="21A291ED">
            <w:pPr>
              <w:spacing w:line="200" w:lineRule="exact"/>
              <w:rPr>
                <w:rFonts w:ascii="黑体" w:hAnsi="黑体" w:eastAsia="黑体"/>
                <w:szCs w:val="21"/>
                <w:highlight w:val="none"/>
              </w:rPr>
            </w:pPr>
          </w:p>
        </w:tc>
        <w:tc>
          <w:tcPr>
            <w:tcW w:w="2976" w:type="dxa"/>
            <w:noWrap w:val="0"/>
            <w:tcMar>
              <w:left w:w="108" w:type="dxa"/>
              <w:right w:w="108" w:type="dxa"/>
            </w:tcMar>
            <w:vAlign w:val="center"/>
          </w:tcPr>
          <w:p w14:paraId="5EE10F4B">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黑体" w:eastAsia="仿宋_GB2312"/>
                <w:kern w:val="0"/>
                <w:szCs w:val="21"/>
                <w:highlight w:val="none"/>
              </w:rPr>
            </w:pPr>
            <w:r>
              <w:rPr>
                <w:rFonts w:hint="eastAsia" w:ascii="仿宋_GB2312" w:hAnsi="黑体" w:eastAsia="仿宋_GB2312"/>
                <w:kern w:val="0"/>
                <w:szCs w:val="21"/>
                <w:highlight w:val="none"/>
              </w:rPr>
              <w:t>3.危及“三安全一稳定”</w:t>
            </w:r>
          </w:p>
        </w:tc>
        <w:tc>
          <w:tcPr>
            <w:tcW w:w="747" w:type="dxa"/>
            <w:noWrap w:val="0"/>
            <w:tcMar>
              <w:left w:w="108" w:type="dxa"/>
              <w:right w:w="108" w:type="dxa"/>
            </w:tcMar>
            <w:vAlign w:val="center"/>
          </w:tcPr>
          <w:p w14:paraId="70F5248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4759C2F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6E321DB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702D5B3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0E11DEA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17AEB6E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2AC6AF4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1F8765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20FB9DB">
            <w:pPr>
              <w:rPr>
                <w:rFonts w:ascii="黑体" w:hAnsi="黑体" w:eastAsia="黑体"/>
                <w:szCs w:val="21"/>
                <w:highlight w:val="none"/>
              </w:rPr>
            </w:pPr>
          </w:p>
        </w:tc>
        <w:tc>
          <w:tcPr>
            <w:tcW w:w="1701" w:type="dxa"/>
            <w:vMerge w:val="continue"/>
            <w:noWrap w:val="0"/>
            <w:tcMar>
              <w:left w:w="108" w:type="dxa"/>
              <w:right w:w="108" w:type="dxa"/>
            </w:tcMar>
            <w:vAlign w:val="center"/>
          </w:tcPr>
          <w:p w14:paraId="4B503452">
            <w:pPr>
              <w:spacing w:line="200" w:lineRule="exact"/>
              <w:rPr>
                <w:rFonts w:ascii="黑体" w:hAnsi="黑体" w:eastAsia="黑体"/>
                <w:szCs w:val="21"/>
                <w:highlight w:val="none"/>
              </w:rPr>
            </w:pPr>
          </w:p>
        </w:tc>
        <w:tc>
          <w:tcPr>
            <w:tcW w:w="2976" w:type="dxa"/>
            <w:noWrap w:val="0"/>
            <w:tcMar>
              <w:left w:w="108" w:type="dxa"/>
              <w:right w:w="108" w:type="dxa"/>
            </w:tcMar>
            <w:vAlign w:val="center"/>
          </w:tcPr>
          <w:p w14:paraId="5B981E05">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黑体" w:eastAsia="仿宋_GB2312"/>
                <w:kern w:val="0"/>
                <w:szCs w:val="21"/>
                <w:highlight w:val="none"/>
              </w:rPr>
            </w:pPr>
            <w:r>
              <w:rPr>
                <w:rFonts w:hint="eastAsia" w:ascii="仿宋_GB2312" w:hAnsi="黑体" w:eastAsia="仿宋_GB2312"/>
                <w:kern w:val="0"/>
                <w:szCs w:val="21"/>
                <w:highlight w:val="none"/>
              </w:rPr>
              <w:t>4.</w:t>
            </w:r>
            <w:bookmarkStart w:id="3" w:name="_Hlk66974290"/>
            <w:r>
              <w:rPr>
                <w:rFonts w:hint="eastAsia" w:ascii="仿宋_GB2312" w:hAnsi="黑体" w:eastAsia="仿宋_GB2312"/>
                <w:kern w:val="0"/>
                <w:szCs w:val="21"/>
                <w:highlight w:val="none"/>
              </w:rPr>
              <w:t>保护第三方合法权益</w:t>
            </w:r>
            <w:bookmarkEnd w:id="3"/>
          </w:p>
        </w:tc>
        <w:tc>
          <w:tcPr>
            <w:tcW w:w="747" w:type="dxa"/>
            <w:noWrap w:val="0"/>
            <w:tcMar>
              <w:left w:w="108" w:type="dxa"/>
              <w:right w:w="108" w:type="dxa"/>
            </w:tcMar>
            <w:vAlign w:val="center"/>
          </w:tcPr>
          <w:p w14:paraId="7377DB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569A2F2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4DE7554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46F799D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062AB24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230C9AC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58246A9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771F56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5AA42D57">
            <w:pPr>
              <w:rPr>
                <w:rFonts w:ascii="黑体" w:hAnsi="黑体" w:eastAsia="黑体"/>
                <w:szCs w:val="21"/>
                <w:highlight w:val="none"/>
              </w:rPr>
            </w:pPr>
          </w:p>
        </w:tc>
        <w:tc>
          <w:tcPr>
            <w:tcW w:w="1701" w:type="dxa"/>
            <w:vMerge w:val="continue"/>
            <w:noWrap w:val="0"/>
            <w:tcMar>
              <w:left w:w="108" w:type="dxa"/>
              <w:right w:w="108" w:type="dxa"/>
            </w:tcMar>
            <w:vAlign w:val="center"/>
          </w:tcPr>
          <w:p w14:paraId="6ACF81A9">
            <w:pPr>
              <w:spacing w:line="200" w:lineRule="exact"/>
              <w:rPr>
                <w:rFonts w:ascii="黑体" w:hAnsi="黑体" w:eastAsia="黑体"/>
                <w:szCs w:val="21"/>
                <w:highlight w:val="none"/>
              </w:rPr>
            </w:pPr>
          </w:p>
        </w:tc>
        <w:tc>
          <w:tcPr>
            <w:tcW w:w="2976" w:type="dxa"/>
            <w:noWrap w:val="0"/>
            <w:tcMar>
              <w:left w:w="108" w:type="dxa"/>
              <w:right w:w="108" w:type="dxa"/>
            </w:tcMar>
            <w:vAlign w:val="center"/>
          </w:tcPr>
          <w:p w14:paraId="611D0B1D">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黑体" w:eastAsia="仿宋_GB2312"/>
                <w:kern w:val="0"/>
                <w:szCs w:val="21"/>
                <w:highlight w:val="none"/>
              </w:rPr>
            </w:pPr>
            <w:r>
              <w:rPr>
                <w:rFonts w:hint="eastAsia" w:ascii="仿宋_GB2312" w:hAnsi="黑体" w:eastAsia="仿宋_GB2312"/>
                <w:kern w:val="0"/>
                <w:szCs w:val="21"/>
                <w:highlight w:val="none"/>
              </w:rPr>
              <w:t>5.属于三类内部事务信息</w:t>
            </w:r>
          </w:p>
        </w:tc>
        <w:tc>
          <w:tcPr>
            <w:tcW w:w="747" w:type="dxa"/>
            <w:noWrap w:val="0"/>
            <w:tcMar>
              <w:left w:w="108" w:type="dxa"/>
              <w:right w:w="108" w:type="dxa"/>
            </w:tcMar>
            <w:vAlign w:val="center"/>
          </w:tcPr>
          <w:p w14:paraId="2AD30F1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6952900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7D82F31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587EA47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165B730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2E00D31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24B4BC2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61276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5756C7E2">
            <w:pPr>
              <w:rPr>
                <w:rFonts w:ascii="黑体" w:hAnsi="黑体" w:eastAsia="黑体"/>
                <w:szCs w:val="21"/>
                <w:highlight w:val="none"/>
              </w:rPr>
            </w:pPr>
          </w:p>
        </w:tc>
        <w:tc>
          <w:tcPr>
            <w:tcW w:w="1701" w:type="dxa"/>
            <w:vMerge w:val="continue"/>
            <w:noWrap w:val="0"/>
            <w:tcMar>
              <w:left w:w="108" w:type="dxa"/>
              <w:right w:w="108" w:type="dxa"/>
            </w:tcMar>
            <w:vAlign w:val="center"/>
          </w:tcPr>
          <w:p w14:paraId="30EDDFAA">
            <w:pPr>
              <w:spacing w:line="200" w:lineRule="exact"/>
              <w:rPr>
                <w:rFonts w:ascii="黑体" w:hAnsi="黑体" w:eastAsia="黑体"/>
                <w:szCs w:val="21"/>
                <w:highlight w:val="none"/>
              </w:rPr>
            </w:pPr>
          </w:p>
        </w:tc>
        <w:tc>
          <w:tcPr>
            <w:tcW w:w="2976" w:type="dxa"/>
            <w:noWrap w:val="0"/>
            <w:tcMar>
              <w:left w:w="108" w:type="dxa"/>
              <w:right w:w="108" w:type="dxa"/>
            </w:tcMar>
            <w:vAlign w:val="center"/>
          </w:tcPr>
          <w:p w14:paraId="445BCE75">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黑体" w:eastAsia="仿宋_GB2312"/>
                <w:kern w:val="0"/>
                <w:szCs w:val="21"/>
                <w:highlight w:val="none"/>
              </w:rPr>
            </w:pPr>
            <w:r>
              <w:rPr>
                <w:rFonts w:hint="eastAsia" w:ascii="仿宋_GB2312" w:hAnsi="黑体" w:eastAsia="仿宋_GB2312"/>
                <w:kern w:val="0"/>
                <w:szCs w:val="21"/>
                <w:highlight w:val="none"/>
              </w:rPr>
              <w:t>6.</w:t>
            </w:r>
            <w:bookmarkStart w:id="4" w:name="_Hlk66974555"/>
            <w:r>
              <w:rPr>
                <w:rFonts w:hint="eastAsia" w:ascii="仿宋_GB2312" w:hAnsi="黑体" w:eastAsia="仿宋_GB2312"/>
                <w:kern w:val="0"/>
                <w:szCs w:val="21"/>
                <w:highlight w:val="none"/>
              </w:rPr>
              <w:t>属于四类过程性信息</w:t>
            </w:r>
            <w:bookmarkEnd w:id="4"/>
          </w:p>
        </w:tc>
        <w:tc>
          <w:tcPr>
            <w:tcW w:w="747" w:type="dxa"/>
            <w:noWrap w:val="0"/>
            <w:tcMar>
              <w:left w:w="108" w:type="dxa"/>
              <w:right w:w="108" w:type="dxa"/>
            </w:tcMar>
            <w:vAlign w:val="center"/>
          </w:tcPr>
          <w:p w14:paraId="1C2509B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12CC7D0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310B21D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618CCFF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431EA76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3B7943D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747280B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66F2B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1EA12A6">
            <w:pPr>
              <w:rPr>
                <w:rFonts w:ascii="黑体" w:hAnsi="黑体" w:eastAsia="黑体"/>
                <w:szCs w:val="21"/>
                <w:highlight w:val="none"/>
              </w:rPr>
            </w:pPr>
          </w:p>
        </w:tc>
        <w:tc>
          <w:tcPr>
            <w:tcW w:w="1701" w:type="dxa"/>
            <w:vMerge w:val="continue"/>
            <w:noWrap w:val="0"/>
            <w:tcMar>
              <w:left w:w="108" w:type="dxa"/>
              <w:right w:w="108" w:type="dxa"/>
            </w:tcMar>
            <w:vAlign w:val="center"/>
          </w:tcPr>
          <w:p w14:paraId="54577C4C">
            <w:pPr>
              <w:spacing w:line="200" w:lineRule="exact"/>
              <w:rPr>
                <w:rFonts w:ascii="黑体" w:hAnsi="黑体" w:eastAsia="黑体"/>
                <w:szCs w:val="21"/>
                <w:highlight w:val="none"/>
              </w:rPr>
            </w:pPr>
          </w:p>
        </w:tc>
        <w:tc>
          <w:tcPr>
            <w:tcW w:w="2976" w:type="dxa"/>
            <w:noWrap w:val="0"/>
            <w:tcMar>
              <w:left w:w="108" w:type="dxa"/>
              <w:right w:w="108" w:type="dxa"/>
            </w:tcMar>
            <w:vAlign w:val="center"/>
          </w:tcPr>
          <w:p w14:paraId="6E724111">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黑体" w:eastAsia="仿宋_GB2312"/>
                <w:kern w:val="0"/>
                <w:szCs w:val="21"/>
                <w:highlight w:val="none"/>
              </w:rPr>
            </w:pPr>
            <w:r>
              <w:rPr>
                <w:rFonts w:hint="eastAsia" w:ascii="仿宋_GB2312" w:hAnsi="黑体" w:eastAsia="仿宋_GB2312"/>
                <w:kern w:val="0"/>
                <w:szCs w:val="21"/>
                <w:highlight w:val="none"/>
              </w:rPr>
              <w:t>7.属于行政执法案卷</w:t>
            </w:r>
          </w:p>
        </w:tc>
        <w:tc>
          <w:tcPr>
            <w:tcW w:w="747" w:type="dxa"/>
            <w:noWrap w:val="0"/>
            <w:tcMar>
              <w:left w:w="108" w:type="dxa"/>
              <w:right w:w="108" w:type="dxa"/>
            </w:tcMar>
            <w:vAlign w:val="center"/>
          </w:tcPr>
          <w:p w14:paraId="7902DEC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19FF246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6BA7EE7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2EDD8A6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11399E0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758225F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2E7ECAD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239B2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5A4EADD4">
            <w:pPr>
              <w:rPr>
                <w:rFonts w:ascii="黑体" w:hAnsi="黑体" w:eastAsia="黑体"/>
                <w:szCs w:val="21"/>
                <w:highlight w:val="none"/>
              </w:rPr>
            </w:pPr>
          </w:p>
        </w:tc>
        <w:tc>
          <w:tcPr>
            <w:tcW w:w="1701" w:type="dxa"/>
            <w:vMerge w:val="continue"/>
            <w:noWrap w:val="0"/>
            <w:tcMar>
              <w:left w:w="108" w:type="dxa"/>
              <w:right w:w="108" w:type="dxa"/>
            </w:tcMar>
            <w:vAlign w:val="center"/>
          </w:tcPr>
          <w:p w14:paraId="011D9B4F">
            <w:pPr>
              <w:spacing w:line="200" w:lineRule="exact"/>
              <w:rPr>
                <w:rFonts w:ascii="黑体" w:hAnsi="黑体" w:eastAsia="黑体"/>
                <w:szCs w:val="21"/>
                <w:highlight w:val="none"/>
              </w:rPr>
            </w:pPr>
          </w:p>
        </w:tc>
        <w:tc>
          <w:tcPr>
            <w:tcW w:w="2976" w:type="dxa"/>
            <w:noWrap w:val="0"/>
            <w:tcMar>
              <w:left w:w="108" w:type="dxa"/>
              <w:right w:w="108" w:type="dxa"/>
            </w:tcMar>
            <w:vAlign w:val="center"/>
          </w:tcPr>
          <w:p w14:paraId="52D1FBA5">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黑体" w:eastAsia="仿宋_GB2312"/>
                <w:kern w:val="0"/>
                <w:szCs w:val="21"/>
                <w:highlight w:val="none"/>
              </w:rPr>
            </w:pPr>
            <w:r>
              <w:rPr>
                <w:rFonts w:hint="eastAsia" w:ascii="仿宋_GB2312" w:hAnsi="黑体" w:eastAsia="仿宋_GB2312"/>
                <w:kern w:val="0"/>
                <w:szCs w:val="21"/>
                <w:highlight w:val="none"/>
              </w:rPr>
              <w:t>8.</w:t>
            </w:r>
            <w:bookmarkStart w:id="5" w:name="_Hlk66975211"/>
            <w:r>
              <w:rPr>
                <w:rFonts w:hint="eastAsia" w:ascii="仿宋_GB2312" w:hAnsi="黑体" w:eastAsia="仿宋_GB2312"/>
                <w:kern w:val="0"/>
                <w:szCs w:val="21"/>
                <w:highlight w:val="none"/>
              </w:rPr>
              <w:t>属于行政查询事项</w:t>
            </w:r>
            <w:bookmarkEnd w:id="5"/>
          </w:p>
        </w:tc>
        <w:tc>
          <w:tcPr>
            <w:tcW w:w="747" w:type="dxa"/>
            <w:noWrap w:val="0"/>
            <w:tcMar>
              <w:left w:w="108" w:type="dxa"/>
              <w:right w:w="108" w:type="dxa"/>
            </w:tcMar>
            <w:vAlign w:val="center"/>
          </w:tcPr>
          <w:p w14:paraId="6E6E87A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67055B1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10FA0F0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717F239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1CA27F3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0AE053E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421A9B0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0D6AB0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717474E">
            <w:pPr>
              <w:rPr>
                <w:rFonts w:ascii="黑体" w:hAnsi="黑体" w:eastAsia="黑体"/>
                <w:szCs w:val="21"/>
                <w:highlight w:val="none"/>
              </w:rPr>
            </w:pPr>
          </w:p>
        </w:tc>
        <w:tc>
          <w:tcPr>
            <w:tcW w:w="1701" w:type="dxa"/>
            <w:vMerge w:val="restart"/>
            <w:noWrap w:val="0"/>
            <w:tcMar>
              <w:left w:w="108" w:type="dxa"/>
              <w:right w:w="108" w:type="dxa"/>
            </w:tcMar>
            <w:vAlign w:val="center"/>
          </w:tcPr>
          <w:p w14:paraId="7F8FA728">
            <w:pPr>
              <w:widowControl/>
              <w:spacing w:line="200" w:lineRule="exact"/>
              <w:ind w:left="-107" w:leftChars="-51"/>
              <w:rPr>
                <w:rFonts w:ascii="黑体" w:hAnsi="黑体" w:eastAsia="黑体"/>
                <w:szCs w:val="21"/>
                <w:highlight w:val="none"/>
              </w:rPr>
            </w:pPr>
            <w:r>
              <w:rPr>
                <w:rFonts w:hint="eastAsia" w:ascii="黑体" w:hAnsi="黑体" w:eastAsia="黑体"/>
                <w:kern w:val="0"/>
                <w:szCs w:val="21"/>
                <w:highlight w:val="none"/>
              </w:rPr>
              <w:t>（四）无法提供</w:t>
            </w:r>
          </w:p>
        </w:tc>
        <w:tc>
          <w:tcPr>
            <w:tcW w:w="2976" w:type="dxa"/>
            <w:noWrap w:val="0"/>
            <w:tcMar>
              <w:left w:w="108" w:type="dxa"/>
              <w:right w:w="108" w:type="dxa"/>
            </w:tcMar>
            <w:vAlign w:val="center"/>
          </w:tcPr>
          <w:p w14:paraId="4F3275AD">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1.本机关不掌握相关政府信息</w:t>
            </w:r>
          </w:p>
        </w:tc>
        <w:tc>
          <w:tcPr>
            <w:tcW w:w="747" w:type="dxa"/>
            <w:noWrap w:val="0"/>
            <w:tcMar>
              <w:left w:w="108" w:type="dxa"/>
              <w:right w:w="108" w:type="dxa"/>
            </w:tcMar>
            <w:vAlign w:val="center"/>
          </w:tcPr>
          <w:p w14:paraId="700BF99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2</w:t>
            </w:r>
          </w:p>
        </w:tc>
        <w:tc>
          <w:tcPr>
            <w:tcW w:w="540" w:type="dxa"/>
            <w:gridSpan w:val="2"/>
            <w:noWrap w:val="0"/>
            <w:tcMar>
              <w:left w:w="108" w:type="dxa"/>
              <w:right w:w="108" w:type="dxa"/>
            </w:tcMar>
            <w:vAlign w:val="center"/>
          </w:tcPr>
          <w:p w14:paraId="295B082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070A310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0682D1E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3A78BF5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092B8DB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0D07E2C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2</w:t>
            </w:r>
          </w:p>
        </w:tc>
      </w:tr>
      <w:tr w14:paraId="78EFFE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F97A761">
            <w:pPr>
              <w:rPr>
                <w:rFonts w:ascii="黑体" w:hAnsi="黑体" w:eastAsia="黑体"/>
                <w:szCs w:val="21"/>
                <w:highlight w:val="none"/>
              </w:rPr>
            </w:pPr>
          </w:p>
        </w:tc>
        <w:tc>
          <w:tcPr>
            <w:tcW w:w="1701" w:type="dxa"/>
            <w:vMerge w:val="continue"/>
            <w:noWrap w:val="0"/>
            <w:tcMar>
              <w:left w:w="108" w:type="dxa"/>
              <w:right w:w="108" w:type="dxa"/>
            </w:tcMar>
            <w:vAlign w:val="center"/>
          </w:tcPr>
          <w:p w14:paraId="1B0590A4">
            <w:pPr>
              <w:spacing w:line="200" w:lineRule="exact"/>
              <w:ind w:left="-107" w:leftChars="-51"/>
              <w:rPr>
                <w:rFonts w:ascii="黑体" w:hAnsi="黑体" w:eastAsia="黑体"/>
                <w:szCs w:val="21"/>
                <w:highlight w:val="none"/>
              </w:rPr>
            </w:pPr>
          </w:p>
        </w:tc>
        <w:tc>
          <w:tcPr>
            <w:tcW w:w="2976" w:type="dxa"/>
            <w:noWrap w:val="0"/>
            <w:tcMar>
              <w:left w:w="108" w:type="dxa"/>
              <w:right w:w="108" w:type="dxa"/>
            </w:tcMar>
            <w:vAlign w:val="center"/>
          </w:tcPr>
          <w:p w14:paraId="6151F6F3">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2.</w:t>
            </w:r>
            <w:bookmarkStart w:id="6" w:name="_Hlk66975392"/>
            <w:r>
              <w:rPr>
                <w:rFonts w:hint="eastAsia" w:ascii="仿宋_GB2312" w:hAnsi="黑体" w:eastAsia="仿宋_GB2312"/>
                <w:kern w:val="0"/>
                <w:szCs w:val="21"/>
                <w:highlight w:val="none"/>
              </w:rPr>
              <w:t>没有现成信息需要另行制作</w:t>
            </w:r>
            <w:bookmarkEnd w:id="6"/>
          </w:p>
        </w:tc>
        <w:tc>
          <w:tcPr>
            <w:tcW w:w="747" w:type="dxa"/>
            <w:noWrap w:val="0"/>
            <w:tcMar>
              <w:left w:w="108" w:type="dxa"/>
              <w:right w:w="108" w:type="dxa"/>
            </w:tcMar>
            <w:vAlign w:val="center"/>
          </w:tcPr>
          <w:p w14:paraId="4CD1412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474B59B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0A0DFCD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5DE46D1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49F40AC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2C5B3EF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02A75B5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77B907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5C50C9D">
            <w:pPr>
              <w:rPr>
                <w:rFonts w:ascii="黑体" w:hAnsi="黑体" w:eastAsia="黑体"/>
                <w:szCs w:val="21"/>
                <w:highlight w:val="none"/>
              </w:rPr>
            </w:pPr>
          </w:p>
        </w:tc>
        <w:tc>
          <w:tcPr>
            <w:tcW w:w="1701" w:type="dxa"/>
            <w:vMerge w:val="continue"/>
            <w:noWrap w:val="0"/>
            <w:tcMar>
              <w:left w:w="108" w:type="dxa"/>
              <w:right w:w="108" w:type="dxa"/>
            </w:tcMar>
            <w:vAlign w:val="center"/>
          </w:tcPr>
          <w:p w14:paraId="5E9E36AE">
            <w:pPr>
              <w:spacing w:line="200" w:lineRule="exact"/>
              <w:ind w:left="-107" w:leftChars="-51"/>
              <w:rPr>
                <w:rFonts w:ascii="黑体" w:hAnsi="黑体" w:eastAsia="黑体"/>
                <w:szCs w:val="21"/>
                <w:highlight w:val="none"/>
              </w:rPr>
            </w:pPr>
          </w:p>
        </w:tc>
        <w:tc>
          <w:tcPr>
            <w:tcW w:w="2976" w:type="dxa"/>
            <w:noWrap w:val="0"/>
            <w:tcMar>
              <w:left w:w="108" w:type="dxa"/>
              <w:right w:w="108" w:type="dxa"/>
            </w:tcMar>
            <w:vAlign w:val="center"/>
          </w:tcPr>
          <w:p w14:paraId="2CF5042C">
            <w:pPr>
              <w:widowControl/>
              <w:spacing w:line="2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3.</w:t>
            </w:r>
            <w:bookmarkStart w:id="7" w:name="_Hlk66975466"/>
            <w:r>
              <w:rPr>
                <w:rFonts w:hint="eastAsia" w:ascii="仿宋_GB2312" w:hAnsi="黑体" w:eastAsia="仿宋_GB2312"/>
                <w:kern w:val="0"/>
                <w:szCs w:val="21"/>
                <w:highlight w:val="none"/>
              </w:rPr>
              <w:t>补正后申请内容仍不明确</w:t>
            </w:r>
            <w:bookmarkEnd w:id="7"/>
          </w:p>
        </w:tc>
        <w:tc>
          <w:tcPr>
            <w:tcW w:w="747" w:type="dxa"/>
            <w:noWrap w:val="0"/>
            <w:tcMar>
              <w:left w:w="108" w:type="dxa"/>
              <w:right w:w="108" w:type="dxa"/>
            </w:tcMar>
            <w:vAlign w:val="center"/>
          </w:tcPr>
          <w:p w14:paraId="10026D1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60991C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1B413C2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19903A9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05F9462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4295E65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58E3C55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2ABB0A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9D369DA">
            <w:pPr>
              <w:rPr>
                <w:rFonts w:ascii="黑体" w:hAnsi="黑体" w:eastAsia="黑体"/>
                <w:szCs w:val="21"/>
                <w:highlight w:val="none"/>
              </w:rPr>
            </w:pPr>
          </w:p>
        </w:tc>
        <w:tc>
          <w:tcPr>
            <w:tcW w:w="1701" w:type="dxa"/>
            <w:vMerge w:val="restart"/>
            <w:noWrap w:val="0"/>
            <w:tcMar>
              <w:left w:w="108" w:type="dxa"/>
              <w:right w:w="108" w:type="dxa"/>
            </w:tcMar>
            <w:vAlign w:val="center"/>
          </w:tcPr>
          <w:p w14:paraId="1AAB53D2">
            <w:pPr>
              <w:widowControl/>
              <w:spacing w:line="200" w:lineRule="exact"/>
              <w:ind w:left="-107" w:leftChars="-51"/>
              <w:rPr>
                <w:rFonts w:ascii="黑体" w:hAnsi="黑体" w:eastAsia="黑体"/>
                <w:szCs w:val="21"/>
                <w:highlight w:val="none"/>
              </w:rPr>
            </w:pPr>
            <w:r>
              <w:rPr>
                <w:rFonts w:hint="eastAsia" w:ascii="黑体" w:hAnsi="黑体" w:eastAsia="黑体"/>
                <w:kern w:val="0"/>
                <w:szCs w:val="21"/>
                <w:highlight w:val="none"/>
              </w:rPr>
              <w:t>（五）不予处理</w:t>
            </w:r>
          </w:p>
        </w:tc>
        <w:tc>
          <w:tcPr>
            <w:tcW w:w="2976" w:type="dxa"/>
            <w:noWrap w:val="0"/>
            <w:tcMar>
              <w:left w:w="108" w:type="dxa"/>
              <w:right w:w="108" w:type="dxa"/>
            </w:tcMar>
            <w:vAlign w:val="center"/>
          </w:tcPr>
          <w:p w14:paraId="6BA31990">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黑体" w:eastAsia="仿宋_GB2312"/>
                <w:kern w:val="0"/>
                <w:szCs w:val="21"/>
                <w:highlight w:val="none"/>
              </w:rPr>
            </w:pPr>
            <w:r>
              <w:rPr>
                <w:rFonts w:hint="eastAsia" w:ascii="仿宋_GB2312" w:hAnsi="黑体" w:eastAsia="仿宋_GB2312"/>
                <w:kern w:val="0"/>
                <w:szCs w:val="21"/>
                <w:highlight w:val="none"/>
              </w:rPr>
              <w:t>1.</w:t>
            </w:r>
            <w:bookmarkStart w:id="8" w:name="_Hlk66975537"/>
            <w:r>
              <w:rPr>
                <w:rFonts w:hint="eastAsia" w:ascii="仿宋_GB2312" w:hAnsi="黑体" w:eastAsia="仿宋_GB2312"/>
                <w:kern w:val="0"/>
                <w:szCs w:val="21"/>
                <w:highlight w:val="none"/>
              </w:rPr>
              <w:t>信访举报投诉类申请</w:t>
            </w:r>
            <w:bookmarkEnd w:id="8"/>
          </w:p>
        </w:tc>
        <w:tc>
          <w:tcPr>
            <w:tcW w:w="747" w:type="dxa"/>
            <w:noWrap w:val="0"/>
            <w:tcMar>
              <w:left w:w="108" w:type="dxa"/>
              <w:right w:w="108" w:type="dxa"/>
            </w:tcMar>
            <w:vAlign w:val="center"/>
          </w:tcPr>
          <w:p w14:paraId="3B3FEC2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65EB0E7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0D19AA3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342266B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3256500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03F4476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22D7C5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1BEAB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DD27AD9">
            <w:pPr>
              <w:rPr>
                <w:rFonts w:ascii="黑体" w:hAnsi="黑体" w:eastAsia="黑体"/>
                <w:szCs w:val="21"/>
                <w:highlight w:val="none"/>
              </w:rPr>
            </w:pPr>
          </w:p>
        </w:tc>
        <w:tc>
          <w:tcPr>
            <w:tcW w:w="1701" w:type="dxa"/>
            <w:vMerge w:val="continue"/>
            <w:noWrap w:val="0"/>
            <w:tcMar>
              <w:left w:w="108" w:type="dxa"/>
              <w:right w:w="108" w:type="dxa"/>
            </w:tcMar>
            <w:vAlign w:val="center"/>
          </w:tcPr>
          <w:p w14:paraId="3752C3F3">
            <w:pPr>
              <w:spacing w:line="200" w:lineRule="exact"/>
              <w:rPr>
                <w:rFonts w:ascii="黑体" w:hAnsi="黑体" w:eastAsia="黑体"/>
                <w:szCs w:val="21"/>
                <w:highlight w:val="none"/>
              </w:rPr>
            </w:pPr>
          </w:p>
        </w:tc>
        <w:tc>
          <w:tcPr>
            <w:tcW w:w="2976" w:type="dxa"/>
            <w:noWrap w:val="0"/>
            <w:tcMar>
              <w:left w:w="108" w:type="dxa"/>
              <w:right w:w="108" w:type="dxa"/>
            </w:tcMar>
            <w:vAlign w:val="center"/>
          </w:tcPr>
          <w:p w14:paraId="05C3D4C9">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黑体" w:eastAsia="仿宋_GB2312"/>
                <w:kern w:val="0"/>
                <w:szCs w:val="21"/>
                <w:highlight w:val="none"/>
              </w:rPr>
            </w:pPr>
            <w:r>
              <w:rPr>
                <w:rFonts w:hint="eastAsia" w:ascii="仿宋_GB2312" w:hAnsi="黑体" w:eastAsia="仿宋_GB2312"/>
                <w:kern w:val="0"/>
                <w:szCs w:val="21"/>
                <w:highlight w:val="none"/>
              </w:rPr>
              <w:t>2.重复申请</w:t>
            </w:r>
          </w:p>
        </w:tc>
        <w:tc>
          <w:tcPr>
            <w:tcW w:w="747" w:type="dxa"/>
            <w:noWrap w:val="0"/>
            <w:tcMar>
              <w:left w:w="108" w:type="dxa"/>
              <w:right w:w="108" w:type="dxa"/>
            </w:tcMar>
            <w:vAlign w:val="center"/>
          </w:tcPr>
          <w:p w14:paraId="31C0D29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4F3E12B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1AF421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2A81698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06AC389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1ED0FB5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7561301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66B518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35A9823">
            <w:pPr>
              <w:rPr>
                <w:rFonts w:ascii="黑体" w:hAnsi="黑体" w:eastAsia="黑体"/>
                <w:szCs w:val="21"/>
                <w:highlight w:val="none"/>
              </w:rPr>
            </w:pPr>
          </w:p>
        </w:tc>
        <w:tc>
          <w:tcPr>
            <w:tcW w:w="1701" w:type="dxa"/>
            <w:vMerge w:val="continue"/>
            <w:noWrap w:val="0"/>
            <w:tcMar>
              <w:left w:w="108" w:type="dxa"/>
              <w:right w:w="108" w:type="dxa"/>
            </w:tcMar>
            <w:vAlign w:val="center"/>
          </w:tcPr>
          <w:p w14:paraId="46AA3291">
            <w:pPr>
              <w:spacing w:line="200" w:lineRule="exact"/>
              <w:rPr>
                <w:rFonts w:ascii="黑体" w:hAnsi="黑体" w:eastAsia="黑体"/>
                <w:szCs w:val="21"/>
                <w:highlight w:val="none"/>
              </w:rPr>
            </w:pPr>
          </w:p>
        </w:tc>
        <w:tc>
          <w:tcPr>
            <w:tcW w:w="2976" w:type="dxa"/>
            <w:noWrap w:val="0"/>
            <w:tcMar>
              <w:left w:w="108" w:type="dxa"/>
              <w:right w:w="108" w:type="dxa"/>
            </w:tcMar>
            <w:vAlign w:val="center"/>
          </w:tcPr>
          <w:p w14:paraId="052BD5A2">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黑体" w:eastAsia="仿宋_GB2312"/>
                <w:szCs w:val="21"/>
                <w:highlight w:val="none"/>
              </w:rPr>
            </w:pPr>
            <w:r>
              <w:rPr>
                <w:rFonts w:hint="eastAsia" w:ascii="仿宋_GB2312" w:hAnsi="黑体" w:eastAsia="仿宋_GB2312"/>
                <w:kern w:val="0"/>
                <w:szCs w:val="21"/>
                <w:highlight w:val="none"/>
              </w:rPr>
              <w:t>3.要求提供公开出版物</w:t>
            </w:r>
          </w:p>
        </w:tc>
        <w:tc>
          <w:tcPr>
            <w:tcW w:w="747" w:type="dxa"/>
            <w:noWrap w:val="0"/>
            <w:tcMar>
              <w:left w:w="108" w:type="dxa"/>
              <w:right w:w="108" w:type="dxa"/>
            </w:tcMar>
            <w:vAlign w:val="center"/>
          </w:tcPr>
          <w:p w14:paraId="5EA238D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186EBB3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54D4F5C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10F972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07C7F97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41846FF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4C2677E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1DFCD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5146D203">
            <w:pPr>
              <w:rPr>
                <w:rFonts w:ascii="黑体" w:hAnsi="黑体" w:eastAsia="黑体"/>
                <w:szCs w:val="21"/>
                <w:highlight w:val="none"/>
              </w:rPr>
            </w:pPr>
          </w:p>
        </w:tc>
        <w:tc>
          <w:tcPr>
            <w:tcW w:w="1701" w:type="dxa"/>
            <w:vMerge w:val="continue"/>
            <w:noWrap w:val="0"/>
            <w:tcMar>
              <w:left w:w="108" w:type="dxa"/>
              <w:right w:w="108" w:type="dxa"/>
            </w:tcMar>
            <w:vAlign w:val="center"/>
          </w:tcPr>
          <w:p w14:paraId="2EA24637">
            <w:pPr>
              <w:spacing w:line="200" w:lineRule="exact"/>
              <w:rPr>
                <w:rFonts w:ascii="黑体" w:hAnsi="黑体" w:eastAsia="黑体"/>
                <w:szCs w:val="21"/>
                <w:highlight w:val="none"/>
              </w:rPr>
            </w:pPr>
          </w:p>
        </w:tc>
        <w:tc>
          <w:tcPr>
            <w:tcW w:w="2976" w:type="dxa"/>
            <w:noWrap w:val="0"/>
            <w:tcMar>
              <w:left w:w="108" w:type="dxa"/>
              <w:right w:w="108" w:type="dxa"/>
            </w:tcMar>
            <w:vAlign w:val="center"/>
          </w:tcPr>
          <w:p w14:paraId="63BB5F47">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黑体" w:eastAsia="仿宋_GB2312"/>
                <w:szCs w:val="21"/>
                <w:highlight w:val="none"/>
              </w:rPr>
            </w:pPr>
            <w:r>
              <w:rPr>
                <w:rFonts w:hint="eastAsia" w:ascii="仿宋_GB2312" w:hAnsi="黑体" w:eastAsia="仿宋_GB2312"/>
                <w:kern w:val="0"/>
                <w:szCs w:val="21"/>
                <w:highlight w:val="none"/>
              </w:rPr>
              <w:t>4.无正当理由大量反复申请</w:t>
            </w:r>
          </w:p>
        </w:tc>
        <w:tc>
          <w:tcPr>
            <w:tcW w:w="747" w:type="dxa"/>
            <w:noWrap w:val="0"/>
            <w:tcMar>
              <w:left w:w="108" w:type="dxa"/>
              <w:right w:w="108" w:type="dxa"/>
            </w:tcMar>
            <w:vAlign w:val="center"/>
          </w:tcPr>
          <w:p w14:paraId="61CF686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18A0851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1340541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57F3CD5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0907D35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47E8AC4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50E5B3E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10755B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16B06470">
            <w:pPr>
              <w:rPr>
                <w:rFonts w:ascii="黑体" w:hAnsi="黑体" w:eastAsia="黑体"/>
                <w:szCs w:val="21"/>
                <w:highlight w:val="none"/>
              </w:rPr>
            </w:pPr>
          </w:p>
        </w:tc>
        <w:tc>
          <w:tcPr>
            <w:tcW w:w="1701" w:type="dxa"/>
            <w:vMerge w:val="continue"/>
            <w:noWrap w:val="0"/>
            <w:tcMar>
              <w:left w:w="108" w:type="dxa"/>
              <w:right w:w="108" w:type="dxa"/>
            </w:tcMar>
            <w:vAlign w:val="center"/>
          </w:tcPr>
          <w:p w14:paraId="20D855EF">
            <w:pPr>
              <w:spacing w:line="200" w:lineRule="exact"/>
              <w:rPr>
                <w:rFonts w:ascii="黑体" w:hAnsi="黑体" w:eastAsia="黑体"/>
                <w:szCs w:val="21"/>
                <w:highlight w:val="none"/>
              </w:rPr>
            </w:pPr>
          </w:p>
        </w:tc>
        <w:tc>
          <w:tcPr>
            <w:tcW w:w="2976" w:type="dxa"/>
            <w:noWrap w:val="0"/>
            <w:tcMar>
              <w:left w:w="108" w:type="dxa"/>
              <w:right w:w="108" w:type="dxa"/>
            </w:tcMar>
            <w:vAlign w:val="center"/>
          </w:tcPr>
          <w:p w14:paraId="57784B59">
            <w:pPr>
              <w:keepNext w:val="0"/>
              <w:keepLines w:val="0"/>
              <w:pageBreakBefore w:val="0"/>
              <w:widowControl/>
              <w:kinsoku/>
              <w:wordWrap/>
              <w:overflowPunct/>
              <w:topLinePunct w:val="0"/>
              <w:autoSpaceDE/>
              <w:autoSpaceDN/>
              <w:bidi w:val="0"/>
              <w:adjustRightInd/>
              <w:snapToGrid/>
              <w:spacing w:line="240" w:lineRule="exact"/>
              <w:textAlignment w:val="auto"/>
              <w:rPr>
                <w:rFonts w:ascii="仿宋_GB2312" w:hAnsi="黑体" w:eastAsia="仿宋_GB2312"/>
                <w:kern w:val="0"/>
                <w:szCs w:val="21"/>
                <w:highlight w:val="none"/>
              </w:rPr>
            </w:pPr>
            <w:r>
              <w:rPr>
                <w:rFonts w:hint="eastAsia" w:ascii="仿宋_GB2312" w:hAnsi="黑体" w:eastAsia="仿宋_GB2312"/>
                <w:kern w:val="0"/>
                <w:szCs w:val="21"/>
                <w:highlight w:val="none"/>
              </w:rPr>
              <w:t>5.要求行政机关确认或重新</w:t>
            </w:r>
          </w:p>
          <w:p w14:paraId="68631C70">
            <w:pPr>
              <w:keepNext w:val="0"/>
              <w:keepLines w:val="0"/>
              <w:pageBreakBefore w:val="0"/>
              <w:widowControl/>
              <w:kinsoku/>
              <w:wordWrap/>
              <w:overflowPunct/>
              <w:topLinePunct w:val="0"/>
              <w:autoSpaceDE/>
              <w:autoSpaceDN/>
              <w:bidi w:val="0"/>
              <w:adjustRightInd/>
              <w:snapToGrid/>
              <w:spacing w:line="240" w:lineRule="exact"/>
              <w:ind w:firstLine="210" w:firstLineChars="100"/>
              <w:textAlignment w:val="auto"/>
              <w:rPr>
                <w:rFonts w:ascii="仿宋_GB2312" w:hAnsi="黑体" w:eastAsia="仿宋_GB2312"/>
                <w:szCs w:val="21"/>
                <w:highlight w:val="none"/>
              </w:rPr>
            </w:pPr>
            <w:r>
              <w:rPr>
                <w:rFonts w:hint="eastAsia" w:ascii="仿宋_GB2312" w:hAnsi="黑体" w:eastAsia="仿宋_GB2312"/>
                <w:kern w:val="0"/>
                <w:szCs w:val="21"/>
                <w:highlight w:val="none"/>
              </w:rPr>
              <w:t>出具已获取信息</w:t>
            </w:r>
          </w:p>
        </w:tc>
        <w:tc>
          <w:tcPr>
            <w:tcW w:w="747" w:type="dxa"/>
            <w:noWrap w:val="0"/>
            <w:tcMar>
              <w:left w:w="108" w:type="dxa"/>
              <w:right w:w="108" w:type="dxa"/>
            </w:tcMar>
            <w:vAlign w:val="center"/>
          </w:tcPr>
          <w:p w14:paraId="4B47098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74704F7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4CC440D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520F68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6791160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0BD9A26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600AB0D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13E51D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18EA0F81">
            <w:pPr>
              <w:rPr>
                <w:rFonts w:ascii="黑体" w:hAnsi="黑体" w:eastAsia="黑体"/>
                <w:szCs w:val="21"/>
                <w:highlight w:val="none"/>
              </w:rPr>
            </w:pPr>
          </w:p>
        </w:tc>
        <w:tc>
          <w:tcPr>
            <w:tcW w:w="1701" w:type="dxa"/>
            <w:vMerge w:val="restart"/>
            <w:noWrap w:val="0"/>
            <w:tcMar>
              <w:left w:w="108" w:type="dxa"/>
              <w:right w:w="108" w:type="dxa"/>
            </w:tcMar>
            <w:vAlign w:val="center"/>
          </w:tcPr>
          <w:p w14:paraId="015B0FC3">
            <w:pPr>
              <w:widowControl/>
              <w:spacing w:line="300" w:lineRule="exact"/>
              <w:rPr>
                <w:rFonts w:ascii="黑体" w:hAnsi="黑体" w:eastAsia="黑体"/>
                <w:kern w:val="0"/>
                <w:szCs w:val="21"/>
                <w:highlight w:val="none"/>
              </w:rPr>
            </w:pPr>
            <w:r>
              <w:rPr>
                <w:rFonts w:hint="eastAsia" w:ascii="黑体" w:hAnsi="黑体" w:eastAsia="黑体"/>
                <w:kern w:val="0"/>
                <w:szCs w:val="21"/>
                <w:highlight w:val="none"/>
              </w:rPr>
              <w:t>（六）其他处理</w:t>
            </w:r>
          </w:p>
        </w:tc>
        <w:tc>
          <w:tcPr>
            <w:tcW w:w="2976" w:type="dxa"/>
            <w:noWrap w:val="0"/>
            <w:vAlign w:val="center"/>
          </w:tcPr>
          <w:p w14:paraId="054B30A8">
            <w:pPr>
              <w:widowControl/>
              <w:spacing w:line="300" w:lineRule="exact"/>
              <w:rPr>
                <w:rFonts w:ascii="仿宋_GB2312" w:hAnsi="楷体" w:eastAsia="仿宋_GB2312"/>
                <w:highlight w:val="none"/>
              </w:rPr>
            </w:pPr>
            <w:r>
              <w:rPr>
                <w:rFonts w:hint="eastAsia" w:ascii="仿宋_GB2312" w:hAnsi="楷体" w:eastAsia="仿宋_GB2312"/>
                <w:highlight w:val="none"/>
              </w:rPr>
              <w:t>1.申请人无正当理由逾期不补正、行政机关不再处理其政府信息公开申请</w:t>
            </w:r>
          </w:p>
        </w:tc>
        <w:tc>
          <w:tcPr>
            <w:tcW w:w="747" w:type="dxa"/>
            <w:noWrap w:val="0"/>
            <w:tcMar>
              <w:left w:w="108" w:type="dxa"/>
              <w:right w:w="108" w:type="dxa"/>
            </w:tcMar>
            <w:vAlign w:val="center"/>
          </w:tcPr>
          <w:p w14:paraId="688F5FC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2AE0382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40" w:type="dxa"/>
            <w:gridSpan w:val="2"/>
            <w:noWrap w:val="0"/>
            <w:tcMar>
              <w:left w:w="108" w:type="dxa"/>
              <w:right w:w="108" w:type="dxa"/>
            </w:tcMar>
            <w:vAlign w:val="center"/>
          </w:tcPr>
          <w:p w14:paraId="4C63517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20" w:type="dxa"/>
            <w:noWrap w:val="0"/>
            <w:tcMar>
              <w:left w:w="108" w:type="dxa"/>
              <w:right w:w="108" w:type="dxa"/>
            </w:tcMar>
            <w:vAlign w:val="center"/>
          </w:tcPr>
          <w:p w14:paraId="4E88E30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675" w:type="dxa"/>
            <w:noWrap w:val="0"/>
            <w:tcMar>
              <w:left w:w="108" w:type="dxa"/>
              <w:right w:w="108" w:type="dxa"/>
            </w:tcMar>
            <w:vAlign w:val="center"/>
          </w:tcPr>
          <w:p w14:paraId="3D02ED0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525" w:type="dxa"/>
            <w:noWrap w:val="0"/>
            <w:tcMar>
              <w:left w:w="108" w:type="dxa"/>
              <w:right w:w="108" w:type="dxa"/>
            </w:tcMar>
            <w:vAlign w:val="center"/>
          </w:tcPr>
          <w:p w14:paraId="352D918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c>
          <w:tcPr>
            <w:tcW w:w="701" w:type="dxa"/>
            <w:gridSpan w:val="2"/>
            <w:noWrap w:val="0"/>
            <w:tcMar>
              <w:left w:w="108" w:type="dxa"/>
              <w:right w:w="108" w:type="dxa"/>
            </w:tcMar>
            <w:vAlign w:val="center"/>
          </w:tcPr>
          <w:p w14:paraId="73BD1E8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highlight w:val="none"/>
              </w:rPr>
            </w:pPr>
            <w:r>
              <w:rPr>
                <w:rFonts w:hint="eastAsia" w:ascii="仿宋_GB2312" w:hAnsi="Times New Roman" w:eastAsia="仿宋_GB2312"/>
                <w:szCs w:val="21"/>
                <w:highlight w:val="none"/>
                <w:lang w:val="en-US" w:eastAsia="zh-CN"/>
              </w:rPr>
              <w:t>0</w:t>
            </w:r>
          </w:p>
        </w:tc>
      </w:tr>
      <w:tr w14:paraId="177563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B77DCD0">
            <w:pPr>
              <w:rPr>
                <w:rFonts w:ascii="黑体" w:hAnsi="黑体" w:eastAsia="黑体"/>
                <w:szCs w:val="21"/>
                <w:highlight w:val="none"/>
              </w:rPr>
            </w:pPr>
          </w:p>
        </w:tc>
        <w:tc>
          <w:tcPr>
            <w:tcW w:w="1701" w:type="dxa"/>
            <w:vMerge w:val="continue"/>
            <w:noWrap w:val="0"/>
            <w:tcMar>
              <w:left w:w="108" w:type="dxa"/>
              <w:right w:w="108" w:type="dxa"/>
            </w:tcMar>
            <w:vAlign w:val="center"/>
          </w:tcPr>
          <w:p w14:paraId="29E3A6FB">
            <w:pPr>
              <w:widowControl/>
              <w:spacing w:line="300" w:lineRule="exact"/>
              <w:rPr>
                <w:rFonts w:ascii="黑体" w:hAnsi="黑体" w:eastAsia="黑体"/>
                <w:kern w:val="0"/>
                <w:szCs w:val="21"/>
                <w:highlight w:val="none"/>
              </w:rPr>
            </w:pPr>
          </w:p>
        </w:tc>
        <w:tc>
          <w:tcPr>
            <w:tcW w:w="2976" w:type="dxa"/>
            <w:noWrap w:val="0"/>
            <w:vAlign w:val="center"/>
          </w:tcPr>
          <w:p w14:paraId="59265F81">
            <w:pPr>
              <w:widowControl/>
              <w:spacing w:line="300" w:lineRule="exact"/>
              <w:rPr>
                <w:rFonts w:ascii="仿宋_GB2312" w:hAnsi="黑体" w:eastAsia="仿宋_GB2312"/>
                <w:kern w:val="0"/>
                <w:szCs w:val="21"/>
                <w:highlight w:val="none"/>
              </w:rPr>
            </w:pPr>
            <w:r>
              <w:rPr>
                <w:rFonts w:hint="eastAsia" w:ascii="仿宋_GB2312" w:hAnsi="楷体" w:eastAsia="仿宋_GB2312"/>
                <w:highlight w:val="none"/>
              </w:rPr>
              <w:t>2.申请人逾期未按收费通知要求缴纳费用、行政机关不再处理其政府信息公开申请</w:t>
            </w:r>
          </w:p>
        </w:tc>
        <w:tc>
          <w:tcPr>
            <w:tcW w:w="747" w:type="dxa"/>
            <w:noWrap w:val="0"/>
            <w:tcMar>
              <w:left w:w="108" w:type="dxa"/>
              <w:right w:w="108" w:type="dxa"/>
            </w:tcMar>
            <w:vAlign w:val="center"/>
          </w:tcPr>
          <w:p w14:paraId="4DAF666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noWrap w:val="0"/>
            <w:tcMar>
              <w:left w:w="108" w:type="dxa"/>
              <w:right w:w="108" w:type="dxa"/>
            </w:tcMar>
            <w:vAlign w:val="center"/>
          </w:tcPr>
          <w:p w14:paraId="3FAD4EF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noWrap w:val="0"/>
            <w:tcMar>
              <w:left w:w="108" w:type="dxa"/>
              <w:right w:w="108" w:type="dxa"/>
            </w:tcMar>
            <w:vAlign w:val="center"/>
          </w:tcPr>
          <w:p w14:paraId="4770673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6500C56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31DC3FE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noWrap w:val="0"/>
            <w:tcMar>
              <w:left w:w="108" w:type="dxa"/>
              <w:right w:w="108" w:type="dxa"/>
            </w:tcMar>
            <w:vAlign w:val="center"/>
          </w:tcPr>
          <w:p w14:paraId="6F8861D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noWrap w:val="0"/>
            <w:tcMar>
              <w:left w:w="108" w:type="dxa"/>
              <w:right w:w="108" w:type="dxa"/>
            </w:tcMar>
            <w:vAlign w:val="center"/>
          </w:tcPr>
          <w:p w14:paraId="5D81C90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14:paraId="470CA5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6296F506">
            <w:pPr>
              <w:rPr>
                <w:rFonts w:ascii="黑体" w:hAnsi="黑体" w:eastAsia="黑体"/>
                <w:szCs w:val="21"/>
                <w:highlight w:val="none"/>
              </w:rPr>
            </w:pPr>
          </w:p>
        </w:tc>
        <w:tc>
          <w:tcPr>
            <w:tcW w:w="1701" w:type="dxa"/>
            <w:vMerge w:val="continue"/>
            <w:noWrap w:val="0"/>
            <w:tcMar>
              <w:left w:w="108" w:type="dxa"/>
              <w:right w:w="108" w:type="dxa"/>
            </w:tcMar>
            <w:vAlign w:val="center"/>
          </w:tcPr>
          <w:p w14:paraId="6F15F9A5">
            <w:pPr>
              <w:widowControl/>
              <w:spacing w:line="300" w:lineRule="exact"/>
              <w:rPr>
                <w:rFonts w:ascii="黑体" w:hAnsi="黑体" w:eastAsia="黑体"/>
                <w:kern w:val="0"/>
                <w:szCs w:val="21"/>
                <w:highlight w:val="none"/>
              </w:rPr>
            </w:pPr>
          </w:p>
        </w:tc>
        <w:tc>
          <w:tcPr>
            <w:tcW w:w="2976" w:type="dxa"/>
            <w:noWrap w:val="0"/>
            <w:vAlign w:val="center"/>
          </w:tcPr>
          <w:p w14:paraId="6DE6DD82">
            <w:pPr>
              <w:widowControl/>
              <w:spacing w:line="300" w:lineRule="exact"/>
              <w:rPr>
                <w:rFonts w:ascii="仿宋_GB2312" w:hAnsi="黑体" w:eastAsia="仿宋_GB2312"/>
                <w:kern w:val="0"/>
                <w:szCs w:val="21"/>
                <w:highlight w:val="none"/>
              </w:rPr>
            </w:pPr>
            <w:r>
              <w:rPr>
                <w:rFonts w:hint="eastAsia" w:ascii="仿宋_GB2312" w:hAnsi="楷体" w:eastAsia="仿宋_GB2312"/>
                <w:highlight w:val="none"/>
              </w:rPr>
              <w:t>3.其他</w:t>
            </w:r>
          </w:p>
        </w:tc>
        <w:tc>
          <w:tcPr>
            <w:tcW w:w="747" w:type="dxa"/>
            <w:noWrap w:val="0"/>
            <w:tcMar>
              <w:left w:w="108" w:type="dxa"/>
              <w:right w:w="108" w:type="dxa"/>
            </w:tcMar>
            <w:vAlign w:val="center"/>
          </w:tcPr>
          <w:p w14:paraId="32FD7EB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0" w:type="dxa"/>
            <w:gridSpan w:val="2"/>
            <w:noWrap w:val="0"/>
            <w:tcMar>
              <w:left w:w="108" w:type="dxa"/>
              <w:right w:w="108" w:type="dxa"/>
            </w:tcMar>
            <w:vAlign w:val="center"/>
          </w:tcPr>
          <w:p w14:paraId="3E06FD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40" w:type="dxa"/>
            <w:gridSpan w:val="2"/>
            <w:noWrap w:val="0"/>
            <w:tcMar>
              <w:left w:w="108" w:type="dxa"/>
              <w:right w:w="108" w:type="dxa"/>
            </w:tcMar>
            <w:vAlign w:val="center"/>
          </w:tcPr>
          <w:p w14:paraId="67658F8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6CC08F3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271289F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noWrap w:val="0"/>
            <w:tcMar>
              <w:left w:w="108" w:type="dxa"/>
              <w:right w:w="108" w:type="dxa"/>
            </w:tcMar>
            <w:vAlign w:val="center"/>
          </w:tcPr>
          <w:p w14:paraId="5985CC2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noWrap w:val="0"/>
            <w:tcMar>
              <w:left w:w="108" w:type="dxa"/>
              <w:right w:w="108" w:type="dxa"/>
            </w:tcMar>
            <w:vAlign w:val="center"/>
          </w:tcPr>
          <w:p w14:paraId="40B63B9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lang w:val="en-US"/>
              </w:rPr>
            </w:pPr>
            <w:r>
              <w:rPr>
                <w:rFonts w:hint="eastAsia" w:ascii="仿宋_GB2312" w:hAnsi="Times New Roman" w:eastAsia="仿宋_GB2312"/>
                <w:color w:val="auto"/>
                <w:szCs w:val="21"/>
                <w:highlight w:val="none"/>
                <w:lang w:val="en-US" w:eastAsia="zh-CN"/>
              </w:rPr>
              <w:t>0</w:t>
            </w:r>
          </w:p>
        </w:tc>
      </w:tr>
      <w:tr w14:paraId="536ED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7C0FA936">
            <w:pPr>
              <w:rPr>
                <w:rFonts w:ascii="黑体" w:hAnsi="黑体" w:eastAsia="黑体"/>
                <w:szCs w:val="21"/>
                <w:highlight w:val="none"/>
              </w:rPr>
            </w:pPr>
          </w:p>
        </w:tc>
        <w:tc>
          <w:tcPr>
            <w:tcW w:w="4677" w:type="dxa"/>
            <w:gridSpan w:val="2"/>
            <w:noWrap w:val="0"/>
            <w:tcMar>
              <w:left w:w="108" w:type="dxa"/>
              <w:right w:w="108" w:type="dxa"/>
            </w:tcMar>
            <w:vAlign w:val="center"/>
          </w:tcPr>
          <w:p w14:paraId="0E14736C">
            <w:pPr>
              <w:widowControl/>
              <w:spacing w:line="300" w:lineRule="exact"/>
              <w:rPr>
                <w:rFonts w:ascii="黑体" w:hAnsi="黑体" w:eastAsia="黑体"/>
                <w:kern w:val="0"/>
                <w:szCs w:val="21"/>
                <w:highlight w:val="none"/>
              </w:rPr>
            </w:pPr>
            <w:r>
              <w:rPr>
                <w:rFonts w:hint="eastAsia" w:ascii="黑体" w:hAnsi="黑体" w:eastAsia="黑体"/>
                <w:kern w:val="0"/>
                <w:szCs w:val="21"/>
                <w:highlight w:val="none"/>
              </w:rPr>
              <w:t>（七）总计</w:t>
            </w:r>
          </w:p>
        </w:tc>
        <w:tc>
          <w:tcPr>
            <w:tcW w:w="747" w:type="dxa"/>
            <w:noWrap w:val="0"/>
            <w:tcMar>
              <w:left w:w="108" w:type="dxa"/>
              <w:right w:w="108" w:type="dxa"/>
            </w:tcMar>
            <w:vAlign w:val="center"/>
          </w:tcPr>
          <w:p w14:paraId="6BFFDB9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2</w:t>
            </w:r>
          </w:p>
        </w:tc>
        <w:tc>
          <w:tcPr>
            <w:tcW w:w="540" w:type="dxa"/>
            <w:gridSpan w:val="2"/>
            <w:noWrap w:val="0"/>
            <w:tcMar>
              <w:left w:w="108" w:type="dxa"/>
              <w:right w:w="108" w:type="dxa"/>
            </w:tcMar>
            <w:vAlign w:val="center"/>
          </w:tcPr>
          <w:p w14:paraId="0BE7BE5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noWrap w:val="0"/>
            <w:tcMar>
              <w:left w:w="108" w:type="dxa"/>
              <w:right w:w="108" w:type="dxa"/>
            </w:tcMar>
            <w:vAlign w:val="center"/>
          </w:tcPr>
          <w:p w14:paraId="5AE930C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5AEF2AF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5A9D662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noWrap w:val="0"/>
            <w:tcMar>
              <w:left w:w="108" w:type="dxa"/>
              <w:right w:w="108" w:type="dxa"/>
            </w:tcMar>
            <w:vAlign w:val="center"/>
          </w:tcPr>
          <w:p w14:paraId="6151CDE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noWrap w:val="0"/>
            <w:tcMar>
              <w:left w:w="108" w:type="dxa"/>
              <w:right w:w="108" w:type="dxa"/>
            </w:tcMar>
            <w:vAlign w:val="center"/>
          </w:tcPr>
          <w:p w14:paraId="5C1512F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lang w:val="en-US"/>
              </w:rPr>
            </w:pPr>
            <w:r>
              <w:rPr>
                <w:rFonts w:hint="eastAsia" w:ascii="仿宋_GB2312" w:hAnsi="Times New Roman" w:eastAsia="仿宋_GB2312"/>
                <w:color w:val="auto"/>
                <w:szCs w:val="21"/>
                <w:highlight w:val="none"/>
                <w:lang w:val="en-US" w:eastAsia="zh-CN"/>
              </w:rPr>
              <w:t>2</w:t>
            </w:r>
          </w:p>
        </w:tc>
      </w:tr>
      <w:tr w14:paraId="266ABF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14:paraId="0EC65E41">
            <w:pPr>
              <w:widowControl/>
              <w:spacing w:line="300" w:lineRule="exact"/>
              <w:rPr>
                <w:rFonts w:ascii="黑体" w:hAnsi="黑体" w:eastAsia="黑体"/>
                <w:kern w:val="0"/>
                <w:szCs w:val="21"/>
                <w:highlight w:val="none"/>
              </w:rPr>
            </w:pPr>
            <w:r>
              <w:rPr>
                <w:rFonts w:hint="eastAsia" w:ascii="黑体" w:hAnsi="黑体" w:eastAsia="黑体"/>
                <w:kern w:val="0"/>
                <w:szCs w:val="21"/>
                <w:highlight w:val="none"/>
              </w:rPr>
              <w:t>四、结转下年度继续办理</w:t>
            </w:r>
          </w:p>
        </w:tc>
        <w:tc>
          <w:tcPr>
            <w:tcW w:w="747" w:type="dxa"/>
            <w:noWrap w:val="0"/>
            <w:tcMar>
              <w:left w:w="108" w:type="dxa"/>
              <w:right w:w="108" w:type="dxa"/>
            </w:tcMar>
            <w:vAlign w:val="center"/>
          </w:tcPr>
          <w:p w14:paraId="4E661EA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3</w:t>
            </w:r>
          </w:p>
        </w:tc>
        <w:tc>
          <w:tcPr>
            <w:tcW w:w="540" w:type="dxa"/>
            <w:gridSpan w:val="2"/>
            <w:noWrap w:val="0"/>
            <w:tcMar>
              <w:left w:w="108" w:type="dxa"/>
              <w:right w:w="108" w:type="dxa"/>
            </w:tcMar>
            <w:vAlign w:val="center"/>
          </w:tcPr>
          <w:p w14:paraId="07D68ED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noWrap w:val="0"/>
            <w:tcMar>
              <w:left w:w="108" w:type="dxa"/>
              <w:right w:w="108" w:type="dxa"/>
            </w:tcMar>
            <w:vAlign w:val="center"/>
          </w:tcPr>
          <w:p w14:paraId="3E84345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63ECB04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24A2816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noWrap w:val="0"/>
            <w:tcMar>
              <w:left w:w="108" w:type="dxa"/>
              <w:right w:w="108" w:type="dxa"/>
            </w:tcMar>
            <w:vAlign w:val="center"/>
          </w:tcPr>
          <w:p w14:paraId="772B553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noWrap w:val="0"/>
            <w:tcMar>
              <w:left w:w="108" w:type="dxa"/>
              <w:right w:w="108" w:type="dxa"/>
            </w:tcMar>
            <w:vAlign w:val="center"/>
          </w:tcPr>
          <w:p w14:paraId="27BE743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lang w:val="en-US"/>
              </w:rPr>
            </w:pPr>
            <w:r>
              <w:rPr>
                <w:rFonts w:hint="eastAsia" w:ascii="仿宋_GB2312" w:hAnsi="Times New Roman" w:eastAsia="仿宋_GB2312"/>
                <w:color w:val="auto"/>
                <w:szCs w:val="21"/>
                <w:highlight w:val="none"/>
                <w:lang w:val="en-US" w:eastAsia="zh-CN"/>
              </w:rPr>
              <w:t>3</w:t>
            </w:r>
          </w:p>
        </w:tc>
      </w:tr>
    </w:tbl>
    <w:p w14:paraId="54F95E0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textAlignment w:val="auto"/>
        <w:rPr>
          <w:highlight w:val="none"/>
        </w:rPr>
      </w:pPr>
      <w:r>
        <w:rPr>
          <w:rFonts w:hint="eastAsia" w:ascii="黑体" w:hAnsi="宋体" w:eastAsia="黑体" w:cs="黑体"/>
          <w:sz w:val="31"/>
          <w:szCs w:val="31"/>
          <w:highlight w:val="none"/>
        </w:rPr>
        <w:t> </w:t>
      </w:r>
      <w:r>
        <w:rPr>
          <w:rFonts w:hint="eastAsia" w:ascii="黑体" w:hAnsi="宋体" w:eastAsia="黑体" w:cs="黑体"/>
          <w:sz w:val="31"/>
          <w:szCs w:val="31"/>
          <w:highlight w:val="none"/>
          <w:lang w:val="en-US" w:eastAsia="zh-CN"/>
        </w:rPr>
        <w:t xml:space="preserve">  </w:t>
      </w:r>
      <w:r>
        <w:rPr>
          <w:rFonts w:hint="eastAsia" w:ascii="黑体" w:hAnsi="宋体" w:eastAsia="黑体" w:cs="黑体"/>
          <w:sz w:val="31"/>
          <w:szCs w:val="31"/>
          <w:highlight w:val="none"/>
        </w:rPr>
        <w:t>四、政府信息公开行政复议、行政诉讼情况统计表</w:t>
      </w:r>
    </w:p>
    <w:tbl>
      <w:tblPr>
        <w:tblStyle w:val="7"/>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75" w:type="dxa"/>
          <w:left w:w="150" w:type="dxa"/>
          <w:bottom w:w="75" w:type="dxa"/>
          <w:right w:w="150" w:type="dxa"/>
        </w:tblCellMar>
      </w:tblPr>
      <w:tblGrid>
        <w:gridCol w:w="554"/>
        <w:gridCol w:w="554"/>
        <w:gridCol w:w="554"/>
        <w:gridCol w:w="555"/>
        <w:gridCol w:w="555"/>
        <w:gridCol w:w="555"/>
        <w:gridCol w:w="555"/>
        <w:gridCol w:w="555"/>
        <w:gridCol w:w="555"/>
        <w:gridCol w:w="555"/>
        <w:gridCol w:w="555"/>
        <w:gridCol w:w="555"/>
        <w:gridCol w:w="555"/>
        <w:gridCol w:w="555"/>
        <w:gridCol w:w="555"/>
      </w:tblGrid>
      <w:tr w14:paraId="3E9C6A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835" w:type="dxa"/>
            <w:gridSpan w:val="5"/>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628FAC9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行政复议</w:t>
            </w:r>
          </w:p>
        </w:tc>
        <w:tc>
          <w:tcPr>
            <w:tcW w:w="5655" w:type="dxa"/>
            <w:gridSpan w:val="10"/>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4475AB0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行政诉讼</w:t>
            </w:r>
          </w:p>
        </w:tc>
      </w:tr>
      <w:tr w14:paraId="67BA13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570" w:type="dxa"/>
            <w:vMerge w:val="restart"/>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4DFDF7C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结果维持</w:t>
            </w:r>
          </w:p>
        </w:tc>
        <w:tc>
          <w:tcPr>
            <w:tcW w:w="570" w:type="dxa"/>
            <w:vMerge w:val="restart"/>
            <w:tcBorders>
              <w:top w:val="nil"/>
              <w:left w:val="nil"/>
              <w:bottom w:val="single" w:color="auto" w:sz="6" w:space="0"/>
              <w:right w:val="single" w:color="auto" w:sz="6" w:space="0"/>
            </w:tcBorders>
            <w:noWrap w:val="0"/>
            <w:tcMar>
              <w:top w:w="0" w:type="dxa"/>
              <w:left w:w="0" w:type="dxa"/>
              <w:bottom w:w="0" w:type="dxa"/>
              <w:right w:w="0" w:type="dxa"/>
            </w:tcMar>
            <w:vAlign w:val="center"/>
          </w:tcPr>
          <w:p w14:paraId="53CEDB6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结果纠正</w:t>
            </w:r>
          </w:p>
        </w:tc>
        <w:tc>
          <w:tcPr>
            <w:tcW w:w="570" w:type="dxa"/>
            <w:vMerge w:val="restar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72D542F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其他结果</w:t>
            </w:r>
          </w:p>
        </w:tc>
        <w:tc>
          <w:tcPr>
            <w:tcW w:w="570" w:type="dxa"/>
            <w:vMerge w:val="restar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34B08E3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尚未审结</w:t>
            </w:r>
          </w:p>
        </w:tc>
        <w:tc>
          <w:tcPr>
            <w:tcW w:w="570" w:type="dxa"/>
            <w:vMerge w:val="restar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076EB1B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总计</w:t>
            </w:r>
          </w:p>
        </w:tc>
        <w:tc>
          <w:tcPr>
            <w:tcW w:w="2820" w:type="dxa"/>
            <w:gridSpan w:val="5"/>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2CEF078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color w:val="333333"/>
                <w:sz w:val="24"/>
                <w:szCs w:val="24"/>
                <w:highlight w:val="none"/>
                <w:shd w:val="clear" w:color="auto" w:fill="FFFFFF"/>
              </w:rPr>
              <w:t>未经复议直接起诉</w:t>
            </w:r>
          </w:p>
        </w:tc>
        <w:tc>
          <w:tcPr>
            <w:tcW w:w="2820" w:type="dxa"/>
            <w:gridSpan w:val="5"/>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07F6200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复议后起诉</w:t>
            </w:r>
          </w:p>
        </w:tc>
      </w:tr>
      <w:tr w14:paraId="53BB63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570" w:type="dxa"/>
            <w:vMerge w:val="continue"/>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60897F85">
            <w:pPr>
              <w:rPr>
                <w:rFonts w:hint="eastAsia" w:ascii="宋体"/>
                <w:sz w:val="24"/>
                <w:szCs w:val="24"/>
                <w:highlight w:val="none"/>
              </w:rPr>
            </w:pPr>
          </w:p>
        </w:tc>
        <w:tc>
          <w:tcPr>
            <w:tcW w:w="570" w:type="dxa"/>
            <w:vMerge w:val="continue"/>
            <w:tcBorders>
              <w:top w:val="nil"/>
              <w:left w:val="nil"/>
              <w:bottom w:val="single" w:color="auto" w:sz="6" w:space="0"/>
              <w:right w:val="single" w:color="auto" w:sz="6" w:space="0"/>
            </w:tcBorders>
            <w:noWrap w:val="0"/>
            <w:tcMar>
              <w:top w:w="0" w:type="dxa"/>
              <w:left w:w="0" w:type="dxa"/>
              <w:bottom w:w="0" w:type="dxa"/>
              <w:right w:w="0" w:type="dxa"/>
            </w:tcMar>
            <w:vAlign w:val="center"/>
          </w:tcPr>
          <w:p w14:paraId="6C1F059A">
            <w:pPr>
              <w:rPr>
                <w:rFonts w:hint="eastAsia" w:ascii="宋体"/>
                <w:sz w:val="24"/>
                <w:szCs w:val="24"/>
                <w:highlight w:val="none"/>
              </w:rPr>
            </w:pPr>
          </w:p>
        </w:tc>
        <w:tc>
          <w:tcPr>
            <w:tcW w:w="570" w:type="dxa"/>
            <w:vMerge w:val="continue"/>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07D209EF">
            <w:pPr>
              <w:rPr>
                <w:rFonts w:hint="eastAsia" w:ascii="宋体"/>
                <w:sz w:val="24"/>
                <w:szCs w:val="24"/>
                <w:highlight w:val="none"/>
              </w:rPr>
            </w:pPr>
          </w:p>
        </w:tc>
        <w:tc>
          <w:tcPr>
            <w:tcW w:w="570" w:type="dxa"/>
            <w:vMerge w:val="continue"/>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55F94ED8">
            <w:pPr>
              <w:rPr>
                <w:rFonts w:hint="eastAsia" w:ascii="宋体"/>
                <w:sz w:val="24"/>
                <w:szCs w:val="24"/>
                <w:highlight w:val="none"/>
              </w:rPr>
            </w:pPr>
          </w:p>
        </w:tc>
        <w:tc>
          <w:tcPr>
            <w:tcW w:w="570" w:type="dxa"/>
            <w:vMerge w:val="continue"/>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189185DF">
            <w:pPr>
              <w:rPr>
                <w:rFonts w:hint="eastAsia" w:ascii="宋体"/>
                <w:sz w:val="24"/>
                <w:szCs w:val="24"/>
                <w:highlight w:val="none"/>
              </w:rPr>
            </w:pP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17F209B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结果维持</w:t>
            </w: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6C3A9EC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结果纠正</w:t>
            </w:r>
          </w:p>
        </w:tc>
        <w:tc>
          <w:tcPr>
            <w:tcW w:w="570" w:type="dxa"/>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6596134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其他结果</w:t>
            </w:r>
          </w:p>
        </w:tc>
        <w:tc>
          <w:tcPr>
            <w:tcW w:w="570" w:type="dxa"/>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18B6A2B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尚未审结</w:t>
            </w:r>
          </w:p>
        </w:tc>
        <w:tc>
          <w:tcPr>
            <w:tcW w:w="570" w:type="dxa"/>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147B8D5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总计</w:t>
            </w:r>
          </w:p>
        </w:tc>
        <w:tc>
          <w:tcPr>
            <w:tcW w:w="570" w:type="dxa"/>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5D429D0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结果维持</w:t>
            </w:r>
          </w:p>
        </w:tc>
        <w:tc>
          <w:tcPr>
            <w:tcW w:w="570" w:type="dxa"/>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3937291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结果纠正</w:t>
            </w:r>
          </w:p>
        </w:tc>
        <w:tc>
          <w:tcPr>
            <w:tcW w:w="570" w:type="dxa"/>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72F3AB8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其他结果</w:t>
            </w:r>
          </w:p>
        </w:tc>
        <w:tc>
          <w:tcPr>
            <w:tcW w:w="570" w:type="dxa"/>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5A1CB76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尚未审结</w:t>
            </w:r>
          </w:p>
        </w:tc>
        <w:tc>
          <w:tcPr>
            <w:tcW w:w="570" w:type="dxa"/>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14:paraId="2A6EFE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总计</w:t>
            </w:r>
          </w:p>
        </w:tc>
      </w:tr>
      <w:tr w14:paraId="137B30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570" w:type="dxa"/>
            <w:tcBorders>
              <w:top w:val="nil"/>
              <w:left w:val="single" w:color="auto" w:sz="6" w:space="0"/>
              <w:bottom w:val="single" w:color="auto" w:sz="6" w:space="0"/>
              <w:right w:val="single" w:color="auto" w:sz="6" w:space="0"/>
            </w:tcBorders>
            <w:noWrap w:val="0"/>
            <w:tcMar>
              <w:top w:w="0" w:type="dxa"/>
              <w:left w:w="0" w:type="dxa"/>
              <w:bottom w:w="0" w:type="dxa"/>
              <w:right w:w="0" w:type="dxa"/>
            </w:tcMar>
            <w:vAlign w:val="center"/>
          </w:tcPr>
          <w:p w14:paraId="56A35CF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0</w:t>
            </w: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17AA58F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0</w:t>
            </w: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5494C8E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0</w:t>
            </w: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245F9AD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0</w:t>
            </w: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150DD23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0</w:t>
            </w: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2AF8069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0</w:t>
            </w: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42C1B27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0</w:t>
            </w: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26BA402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0</w:t>
            </w: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3DDBA31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0</w:t>
            </w: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26C53B6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0</w:t>
            </w: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13370CF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0</w:t>
            </w: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74E3927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0</w:t>
            </w: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41AE2C1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0</w:t>
            </w: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64E3DB6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0</w:t>
            </w:r>
          </w:p>
        </w:tc>
        <w:tc>
          <w:tcPr>
            <w:tcW w:w="570" w:type="dxa"/>
            <w:tcBorders>
              <w:top w:val="nil"/>
              <w:left w:val="nil"/>
              <w:bottom w:val="single" w:color="auto" w:sz="6" w:space="0"/>
              <w:right w:val="single" w:color="auto" w:sz="6" w:space="0"/>
            </w:tcBorders>
            <w:noWrap w:val="0"/>
            <w:tcMar>
              <w:top w:w="0" w:type="dxa"/>
              <w:left w:w="0" w:type="dxa"/>
              <w:bottom w:w="0" w:type="dxa"/>
              <w:right w:w="0" w:type="dxa"/>
            </w:tcMar>
            <w:vAlign w:val="center"/>
          </w:tcPr>
          <w:p w14:paraId="698D92C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25" w:afterAutospacing="0" w:line="315" w:lineRule="atLeast"/>
              <w:ind w:left="0" w:right="0"/>
              <w:jc w:val="center"/>
              <w:rPr>
                <w:highlight w:val="none"/>
              </w:rPr>
            </w:pPr>
            <w:r>
              <w:rPr>
                <w:rFonts w:hint="eastAsia" w:ascii="仿宋" w:hAnsi="仿宋" w:eastAsia="仿宋" w:cs="仿宋"/>
                <w:sz w:val="24"/>
                <w:szCs w:val="24"/>
                <w:highlight w:val="none"/>
              </w:rPr>
              <w:t>0</w:t>
            </w:r>
          </w:p>
        </w:tc>
      </w:tr>
    </w:tbl>
    <w:p w14:paraId="36394B1B">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20" w:firstLineChars="200"/>
        <w:textAlignment w:val="auto"/>
        <w:rPr>
          <w:rFonts w:hint="eastAsia" w:ascii="黑体" w:hAnsi="宋体" w:eastAsia="黑体" w:cs="黑体"/>
          <w:spacing w:val="0"/>
          <w:sz w:val="31"/>
          <w:szCs w:val="31"/>
          <w:highlight w:val="none"/>
        </w:rPr>
      </w:pPr>
    </w:p>
    <w:p w14:paraId="0102AE97">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20" w:firstLineChars="200"/>
        <w:textAlignment w:val="auto"/>
        <w:rPr>
          <w:highlight w:val="none"/>
        </w:rPr>
      </w:pPr>
      <w:r>
        <w:rPr>
          <w:rFonts w:hint="eastAsia" w:ascii="黑体" w:hAnsi="宋体" w:eastAsia="黑体" w:cs="黑体"/>
          <w:spacing w:val="0"/>
          <w:sz w:val="31"/>
          <w:szCs w:val="31"/>
          <w:highlight w:val="none"/>
        </w:rPr>
        <w:t>五、政府信息公开工作存在的主要问题及改进情况</w:t>
      </w:r>
    </w:p>
    <w:p w14:paraId="723E2AD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6"/>
        <w:jc w:val="both"/>
        <w:textAlignment w:val="auto"/>
        <w:rPr>
          <w:rFonts w:hint="eastAsia" w:ascii="楷体_GB2312" w:hAnsi="楷体_GB2312" w:eastAsia="楷体_GB2312" w:cs="楷体_GB2312"/>
          <w:spacing w:val="0"/>
          <w:sz w:val="32"/>
          <w:szCs w:val="32"/>
          <w:highlight w:val="none"/>
          <w:shd w:val="clear" w:color="auto" w:fill="FFFFFF"/>
        </w:rPr>
      </w:pPr>
      <w:r>
        <w:rPr>
          <w:rFonts w:hint="eastAsia" w:ascii="楷体_GB2312" w:hAnsi="楷体_GB2312" w:eastAsia="楷体_GB2312" w:cs="楷体_GB2312"/>
          <w:spacing w:val="0"/>
          <w:sz w:val="32"/>
          <w:szCs w:val="32"/>
          <w:highlight w:val="none"/>
          <w:shd w:val="clear" w:color="auto" w:fill="FFFFFF"/>
        </w:rPr>
        <w:t>（一）存在问题</w:t>
      </w:r>
    </w:p>
    <w:p w14:paraId="5A95BEB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6"/>
        <w:jc w:val="both"/>
        <w:textAlignment w:val="auto"/>
        <w:rPr>
          <w:rFonts w:hint="eastAsia" w:ascii="仿宋_GB2312" w:hAnsi="仿宋_GB2312" w:eastAsia="仿宋_GB2312" w:cs="仿宋_GB2312"/>
          <w:color w:val="0000FF"/>
          <w:kern w:val="0"/>
          <w:sz w:val="32"/>
          <w:szCs w:val="32"/>
          <w:highlight w:val="none"/>
          <w:lang w:val="en-US" w:eastAsia="zh-CN" w:bidi="ar"/>
        </w:rPr>
      </w:pPr>
      <w:r>
        <w:rPr>
          <w:rFonts w:hint="eastAsia" w:ascii="仿宋_GB2312" w:hAnsi="仿宋_GB2312" w:eastAsia="仿宋_GB2312" w:cs="仿宋_GB2312"/>
          <w:b/>
          <w:bCs/>
          <w:spacing w:val="0"/>
          <w:sz w:val="32"/>
          <w:szCs w:val="32"/>
          <w:highlight w:val="none"/>
          <w:shd w:val="clear" w:color="auto" w:fill="FFFFFF"/>
          <w:lang w:val="en-US" w:eastAsia="zh-CN"/>
        </w:rPr>
        <w:t>一是</w:t>
      </w:r>
      <w:r>
        <w:rPr>
          <w:rFonts w:hint="eastAsia" w:ascii="仿宋_GB2312" w:hAnsi="仿宋_GB2312" w:eastAsia="仿宋_GB2312" w:cs="仿宋_GB2312"/>
          <w:kern w:val="0"/>
          <w:sz w:val="32"/>
          <w:szCs w:val="32"/>
          <w:highlight w:val="none"/>
          <w:lang w:val="en-US" w:eastAsia="zh-CN" w:bidi="ar"/>
        </w:rPr>
        <w:t>对政务公开的重要性认识上还存在不足，存在顾虑思想，公开内容不全面、不细致；</w:t>
      </w:r>
      <w:r>
        <w:rPr>
          <w:rFonts w:hint="eastAsia" w:ascii="仿宋_GB2312" w:hAnsi="仿宋_GB2312" w:eastAsia="仿宋_GB2312" w:cs="仿宋_GB2312"/>
          <w:b/>
          <w:bCs/>
          <w:color w:val="auto"/>
          <w:kern w:val="0"/>
          <w:sz w:val="32"/>
          <w:szCs w:val="32"/>
          <w:highlight w:val="none"/>
          <w:lang w:val="en-US" w:eastAsia="zh-CN" w:bidi="ar"/>
        </w:rPr>
        <w:t>二是</w:t>
      </w:r>
      <w:r>
        <w:rPr>
          <w:rFonts w:hint="eastAsia" w:ascii="仿宋_GB2312" w:hAnsi="仿宋_GB2312" w:eastAsia="仿宋_GB2312" w:cs="仿宋_GB2312"/>
          <w:color w:val="auto"/>
          <w:kern w:val="0"/>
          <w:sz w:val="32"/>
          <w:szCs w:val="32"/>
          <w:highlight w:val="none"/>
          <w:lang w:val="en-US" w:eastAsia="zh-CN" w:bidi="ar"/>
        </w:rPr>
        <w:t>解读形式单一，多为文字复述原文，缺乏图表、案例、视频等多样化形式辅助理解。解读语言专业性过强，未充分考虑公众接受程度，导致群众难以把握政策核心要义与实际影响。</w:t>
      </w:r>
    </w:p>
    <w:p w14:paraId="57B03BC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spacing w:val="0"/>
          <w:sz w:val="32"/>
          <w:szCs w:val="32"/>
          <w:highlight w:val="none"/>
          <w:shd w:val="clear" w:color="auto" w:fill="FFFFFF"/>
          <w:lang w:val="en-US" w:eastAsia="zh-CN"/>
        </w:rPr>
      </w:pPr>
      <w:r>
        <w:rPr>
          <w:rFonts w:hint="eastAsia" w:ascii="楷体_GB2312" w:hAnsi="楷体_GB2312" w:eastAsia="楷体_GB2312" w:cs="楷体_GB2312"/>
          <w:spacing w:val="0"/>
          <w:sz w:val="32"/>
          <w:szCs w:val="32"/>
          <w:highlight w:val="none"/>
          <w:shd w:val="clear" w:color="auto" w:fill="FFFFFF"/>
          <w:lang w:val="en-US" w:eastAsia="zh-CN"/>
        </w:rPr>
        <w:t>（二）整改措施</w:t>
      </w:r>
    </w:p>
    <w:p w14:paraId="210D51E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6"/>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一是</w:t>
      </w:r>
      <w:r>
        <w:rPr>
          <w:rFonts w:hint="eastAsia" w:ascii="仿宋_GB2312" w:hAnsi="仿宋_GB2312" w:eastAsia="仿宋_GB2312" w:cs="仿宋_GB2312"/>
          <w:kern w:val="0"/>
          <w:sz w:val="32"/>
          <w:szCs w:val="32"/>
          <w:highlight w:val="none"/>
          <w:lang w:val="en-US" w:eastAsia="zh-CN" w:bidi="ar"/>
        </w:rPr>
        <w:t>健全政务公开机制，加强对政务公开工作的学习沟通和培训力度。坚持问题导向，不断学习先进经验，加强组织领导，加大工作力度，保障政府信息公开工作有力有序有效开展</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b/>
          <w:bCs/>
          <w:color w:val="auto"/>
          <w:kern w:val="0"/>
          <w:sz w:val="32"/>
          <w:szCs w:val="32"/>
          <w:highlight w:val="none"/>
          <w:lang w:val="en-US" w:eastAsia="zh-CN" w:bidi="ar"/>
        </w:rPr>
        <w:t>二是</w:t>
      </w:r>
      <w:r>
        <w:rPr>
          <w:rFonts w:hint="eastAsia" w:ascii="仿宋_GB2312" w:hAnsi="仿宋_GB2312" w:eastAsia="仿宋_GB2312" w:cs="仿宋_GB2312"/>
          <w:kern w:val="0"/>
          <w:sz w:val="32"/>
          <w:szCs w:val="32"/>
          <w:highlight w:val="none"/>
          <w:lang w:val="en-US" w:eastAsia="zh-CN" w:bidi="ar"/>
        </w:rPr>
        <w:t>丰富解读形式，如遇难以理解的政策文件搭配图文等解读形式。组织编写解读材料时，采用通俗易懂语言，多举生活实例，方便公众理解。</w:t>
      </w:r>
    </w:p>
    <w:p w14:paraId="7A7A79E9">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620" w:firstLineChars="200"/>
        <w:textAlignment w:val="auto"/>
        <w:rPr>
          <w:highlight w:val="none"/>
        </w:rPr>
      </w:pPr>
      <w:r>
        <w:rPr>
          <w:rFonts w:hint="eastAsia" w:ascii="黑体" w:hAnsi="宋体" w:eastAsia="黑体" w:cs="黑体"/>
          <w:sz w:val="31"/>
          <w:szCs w:val="31"/>
          <w:highlight w:val="none"/>
        </w:rPr>
        <w:t>六、其他需要报告的事项</w:t>
      </w:r>
    </w:p>
    <w:p w14:paraId="0396055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6"/>
        <w:jc w:val="both"/>
        <w:textAlignment w:val="auto"/>
        <w:rPr>
          <w:rFonts w:hint="eastAsia" w:ascii="楷体_GB2312" w:hAnsi="楷体_GB2312" w:eastAsia="楷体_GB2312" w:cs="楷体_GB2312"/>
          <w:spacing w:val="0"/>
          <w:sz w:val="32"/>
          <w:szCs w:val="32"/>
          <w:highlight w:val="none"/>
          <w:shd w:val="clear" w:color="auto" w:fill="FFFFFF"/>
        </w:rPr>
      </w:pPr>
      <w:r>
        <w:rPr>
          <w:rFonts w:hint="eastAsia" w:ascii="楷体_GB2312" w:hAnsi="楷体_GB2312" w:eastAsia="楷体_GB2312" w:cs="楷体_GB2312"/>
          <w:spacing w:val="0"/>
          <w:sz w:val="32"/>
          <w:szCs w:val="32"/>
          <w:highlight w:val="none"/>
          <w:shd w:val="clear" w:color="auto" w:fill="FFFFFF"/>
        </w:rPr>
        <w:t>（一）收取信息处理费的情况</w:t>
      </w:r>
    </w:p>
    <w:p w14:paraId="401F2C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6"/>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2024年，卫生健康局政府信息公开工作未发生《政府信息公开信息处理费管理办法》所列情况，无收费及减免情况。</w:t>
      </w:r>
    </w:p>
    <w:p w14:paraId="28A83C67">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spacing w:val="0"/>
          <w:sz w:val="32"/>
          <w:szCs w:val="32"/>
          <w:highlight w:val="none"/>
          <w:shd w:val="clear" w:color="auto" w:fill="FFFFFF"/>
        </w:rPr>
      </w:pPr>
      <w:r>
        <w:rPr>
          <w:rFonts w:hint="eastAsia" w:ascii="楷体_GB2312" w:hAnsi="楷体_GB2312" w:eastAsia="楷体_GB2312" w:cs="楷体_GB2312"/>
          <w:spacing w:val="0"/>
          <w:sz w:val="32"/>
          <w:szCs w:val="32"/>
          <w:highlight w:val="none"/>
          <w:shd w:val="clear" w:color="auto" w:fill="FFFFFF"/>
        </w:rPr>
        <w:t>落实上级年度政务公开工作要点情况</w:t>
      </w:r>
    </w:p>
    <w:p w14:paraId="0E6B67F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按照《2024年滕州市政务公开工作要点》要求，围绕重点领域信息公开，对每项公开内容逐一明确责任科室、完成时限，确保各项任务落到实处。进一步建立和完善政务公开工作制度，落实目标责任制，在严格执行信息公开保密审查制度的基础上，确保应公开的尽量公开，推动政务公开工作制度化、规范化。</w:t>
      </w:r>
    </w:p>
    <w:p w14:paraId="56915DF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spacing w:val="0"/>
          <w:sz w:val="32"/>
          <w:szCs w:val="32"/>
          <w:highlight w:val="none"/>
          <w:shd w:val="clear" w:color="auto" w:fill="FFFFFF"/>
        </w:rPr>
      </w:pPr>
      <w:r>
        <w:rPr>
          <w:rFonts w:hint="eastAsia" w:ascii="楷体_GB2312" w:hAnsi="楷体_GB2312" w:eastAsia="楷体_GB2312" w:cs="楷体_GB2312"/>
          <w:spacing w:val="0"/>
          <w:sz w:val="32"/>
          <w:szCs w:val="32"/>
          <w:highlight w:val="none"/>
          <w:shd w:val="clear" w:color="auto" w:fill="FFFFFF"/>
        </w:rPr>
        <w:t>（三）建议提案办理公开情况</w:t>
      </w:r>
    </w:p>
    <w:p w14:paraId="5A0F7A5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6"/>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2024年，滕州市卫生健康局收到滕州市政协提案35件、承办市人大代表提案4件，目前已办理完毕，并逐一答复了代表本人，均已按时办结，并公开答复。</w:t>
      </w:r>
    </w:p>
    <w:p w14:paraId="363AD2C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spacing w:val="0"/>
          <w:sz w:val="32"/>
          <w:szCs w:val="32"/>
          <w:highlight w:val="none"/>
          <w:shd w:val="clear" w:color="auto" w:fill="FFFFFF"/>
        </w:rPr>
      </w:pPr>
      <w:r>
        <w:rPr>
          <w:rFonts w:hint="eastAsia" w:ascii="楷体_GB2312" w:hAnsi="楷体_GB2312" w:eastAsia="楷体_GB2312" w:cs="楷体_GB2312"/>
          <w:spacing w:val="0"/>
          <w:sz w:val="32"/>
          <w:szCs w:val="32"/>
          <w:highlight w:val="none"/>
          <w:shd w:val="clear" w:color="auto" w:fill="FFFFFF"/>
        </w:rPr>
        <w:t>（四）开展政务创新方面</w:t>
      </w:r>
    </w:p>
    <w:p w14:paraId="0E555AE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滕州市卫生健康局采取线上线下相结合等方式，不断创新公开形式，完善公开目录，保障信息公开工作的完整性。持续完善公共企事业单位（医疗领域）信息公开。2024年“滕州卫生健康”微信公众号发布信息1109余条，关注人数达 4.7万人，成为卫生健康系统服务群众的重要阵地。</w:t>
      </w:r>
    </w:p>
    <w:p w14:paraId="5F7911B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楷体_GB2312" w:hAnsi="楷体_GB2312" w:eastAsia="楷体_GB2312" w:cs="楷体_GB2312"/>
          <w:spacing w:val="0"/>
          <w:sz w:val="32"/>
          <w:szCs w:val="32"/>
          <w:highlight w:val="none"/>
          <w:shd w:val="clear" w:color="auto" w:fill="FFFFFF"/>
        </w:rPr>
      </w:pPr>
      <w:r>
        <w:rPr>
          <w:rFonts w:hint="eastAsia" w:ascii="楷体_GB2312" w:hAnsi="楷体_GB2312" w:eastAsia="楷体_GB2312" w:cs="楷体_GB2312"/>
          <w:spacing w:val="0"/>
          <w:sz w:val="32"/>
          <w:szCs w:val="32"/>
          <w:highlight w:val="none"/>
          <w:shd w:val="clear" w:color="auto" w:fill="FFFFFF"/>
        </w:rPr>
        <w:t>（五）无需要报告的其他事项</w:t>
      </w:r>
    </w:p>
    <w:p w14:paraId="37D4DE7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本报告的电子版可在“中国滕州网”（http://www.tengzhou.gov.cn/）网站查询和下载。如对本报告有任何疑问，请与滕州市卫生健康局办公室联系。（地址：山东省滕州市学院路100号，联系电话：5513031，电子邮箱：tzwjjbgs@zz.shandong.cn）。</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0C2B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67F7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D67F7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5007E"/>
    <w:multiLevelType w:val="singleLevel"/>
    <w:tmpl w:val="BCC5007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OGFkMWU4MWY4OGQ5ODdiZTgwNmE3MjBjNmQ1MzIifQ=="/>
  </w:docVars>
  <w:rsids>
    <w:rsidRoot w:val="21A01464"/>
    <w:rsid w:val="03892B17"/>
    <w:rsid w:val="05C76F15"/>
    <w:rsid w:val="07690D52"/>
    <w:rsid w:val="0A514EC4"/>
    <w:rsid w:val="0F9E6FD4"/>
    <w:rsid w:val="12226794"/>
    <w:rsid w:val="125C6AC9"/>
    <w:rsid w:val="14186104"/>
    <w:rsid w:val="14F21B62"/>
    <w:rsid w:val="16937571"/>
    <w:rsid w:val="173F481C"/>
    <w:rsid w:val="19DB458C"/>
    <w:rsid w:val="1BF7D8C6"/>
    <w:rsid w:val="1C85246A"/>
    <w:rsid w:val="1F9F3282"/>
    <w:rsid w:val="21A01464"/>
    <w:rsid w:val="2363679C"/>
    <w:rsid w:val="326E6199"/>
    <w:rsid w:val="327D351E"/>
    <w:rsid w:val="3415006F"/>
    <w:rsid w:val="350430ED"/>
    <w:rsid w:val="38075BD0"/>
    <w:rsid w:val="384D5327"/>
    <w:rsid w:val="3BF5B267"/>
    <w:rsid w:val="404C62C4"/>
    <w:rsid w:val="4ED72F30"/>
    <w:rsid w:val="513E3C2C"/>
    <w:rsid w:val="51A9395E"/>
    <w:rsid w:val="571A0E15"/>
    <w:rsid w:val="579E52AD"/>
    <w:rsid w:val="58961997"/>
    <w:rsid w:val="5AD35652"/>
    <w:rsid w:val="5E983045"/>
    <w:rsid w:val="63917B12"/>
    <w:rsid w:val="6B7FDDAD"/>
    <w:rsid w:val="6C2B635C"/>
    <w:rsid w:val="6F76F44C"/>
    <w:rsid w:val="779D3F8C"/>
    <w:rsid w:val="77AB0C36"/>
    <w:rsid w:val="7ACB3979"/>
    <w:rsid w:val="7B372EF6"/>
    <w:rsid w:val="7B5FCB13"/>
    <w:rsid w:val="7D581A16"/>
    <w:rsid w:val="7DF60A48"/>
    <w:rsid w:val="7E7F3EC6"/>
    <w:rsid w:val="7EFF6DE8"/>
    <w:rsid w:val="7FCEB52B"/>
    <w:rsid w:val="8E5DC96A"/>
    <w:rsid w:val="CD7E30FA"/>
    <w:rsid w:val="D6F75988"/>
    <w:rsid w:val="DFD3F9EB"/>
    <w:rsid w:val="E3EFD7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政务信息公开</a:t>
            </a:r>
          </a:p>
        </c:rich>
      </c:tx>
      <c:layout>
        <c:manualLayout>
          <c:xMode val="edge"/>
          <c:yMode val="edge"/>
          <c:x val="0.390263319044703"/>
          <c:y val="0.053864168618267"/>
        </c:manualLayout>
      </c:layout>
      <c:overlay val="0"/>
      <c:spPr>
        <a:noFill/>
        <a:ln>
          <a:noFill/>
        </a:ln>
        <a:effectLst/>
      </c:spPr>
    </c:title>
    <c:autoTitleDeleted val="0"/>
    <c:plotArea>
      <c:layout>
        <c:manualLayout>
          <c:layoutTarget val="inner"/>
          <c:xMode val="edge"/>
          <c:yMode val="edge"/>
          <c:x val="0.321922841396203"/>
          <c:y val="0.190996617226125"/>
          <c:w val="0.347581139007961"/>
          <c:h val="0.738485558157689"/>
        </c:manualLayout>
      </c:layout>
      <c:doughnut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滕州市人民政府官网滕州市卫生健康局栏目</c:v>
                </c:pt>
                <c:pt idx="1">
                  <c:v>信息公开网站</c:v>
                </c:pt>
                <c:pt idx="2">
                  <c:v>微信公众号</c:v>
                </c:pt>
              </c:strCache>
            </c:strRef>
          </c:cat>
          <c:val>
            <c:numRef>
              <c:f>Sheet1!$B$2:$B$4</c:f>
              <c:numCache>
                <c:formatCode>General</c:formatCode>
                <c:ptCount val="3"/>
                <c:pt idx="0">
                  <c:v>75</c:v>
                </c:pt>
                <c:pt idx="1">
                  <c:v>187</c:v>
                </c:pt>
                <c:pt idx="2">
                  <c:v>1109</c:v>
                </c:pt>
              </c:numCache>
            </c:numRef>
          </c:val>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r"/>
      <c:layout>
        <c:manualLayout>
          <c:xMode val="edge"/>
          <c:yMode val="edge"/>
          <c:x val="0.701163502755664"/>
          <c:y val="0.348946135831382"/>
          <c:w val="0.28413962033068"/>
          <c:h val="0.410096278948738"/>
        </c:manualLayou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9937d1ad-2c6a-447a-994f-b71640855dc7}"/>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政务信息公开（政务公开网站）</a:t>
            </a:r>
          </a:p>
        </c:rich>
      </c:tx>
      <c:layout/>
      <c:overlay val="0"/>
      <c:spPr>
        <a:noFill/>
        <a:ln>
          <a:noFill/>
        </a:ln>
        <a:effectLst/>
      </c:spPr>
    </c:title>
    <c:autoTitleDeleted val="0"/>
    <c:plotArea>
      <c:layout>
        <c:manualLayout>
          <c:layoutTarget val="inner"/>
          <c:xMode val="edge"/>
          <c:yMode val="edge"/>
          <c:x val="0.263892244503503"/>
          <c:y val="0.161495962600935"/>
          <c:w val="0.44708866876057"/>
          <c:h val="0.786442838929027"/>
        </c:manualLayout>
      </c:layout>
      <c:doughnut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Lbls>
            <c:delete val="1"/>
          </c:dLbls>
          <c:cat>
            <c:strRef>
              <c:f>Sheet1!$A$2:$A$11</c:f>
              <c:strCache>
                <c:ptCount val="10"/>
                <c:pt idx="0">
                  <c:v>通知公告</c:v>
                </c:pt>
                <c:pt idx="1">
                  <c:v>部门计划</c:v>
                </c:pt>
                <c:pt idx="2">
                  <c:v>政策文件</c:v>
                </c:pt>
                <c:pt idx="3">
                  <c:v>财政信息</c:v>
                </c:pt>
                <c:pt idx="4">
                  <c:v>行政权力</c:v>
                </c:pt>
                <c:pt idx="5">
                  <c:v>建议提案</c:v>
                </c:pt>
                <c:pt idx="6">
                  <c:v>重点领域</c:v>
                </c:pt>
                <c:pt idx="7">
                  <c:v>组织管理</c:v>
                </c:pt>
                <c:pt idx="8">
                  <c:v>基本目录</c:v>
                </c:pt>
                <c:pt idx="9">
                  <c:v>公开指南</c:v>
                </c:pt>
              </c:strCache>
            </c:strRef>
          </c:cat>
          <c:val>
            <c:numRef>
              <c:f>Sheet1!$B$2:$B$11</c:f>
              <c:numCache>
                <c:formatCode>General</c:formatCode>
                <c:ptCount val="10"/>
                <c:pt idx="0">
                  <c:v>14</c:v>
                </c:pt>
                <c:pt idx="1">
                  <c:v>1</c:v>
                </c:pt>
                <c:pt idx="2">
                  <c:v>3</c:v>
                </c:pt>
                <c:pt idx="3">
                  <c:v>18</c:v>
                </c:pt>
                <c:pt idx="4">
                  <c:v>2</c:v>
                </c:pt>
                <c:pt idx="5">
                  <c:v>39</c:v>
                </c:pt>
                <c:pt idx="6">
                  <c:v>103</c:v>
                </c:pt>
                <c:pt idx="7">
                  <c:v>5</c:v>
                </c:pt>
                <c:pt idx="8">
                  <c:v>1</c:v>
                </c:pt>
                <c:pt idx="9">
                  <c:v>1</c:v>
                </c:pt>
              </c:numCache>
            </c:numRef>
          </c:val>
        </c:ser>
        <c:dLbls>
          <c:showLegendKey val="0"/>
          <c:showVal val="1"/>
          <c:showCatName val="0"/>
          <c:showSerName val="0"/>
          <c:showPercent val="0"/>
          <c:showBubbleSize val="0"/>
          <c:showLeaderLines val="1"/>
        </c:dLbls>
        <c:firstSliceAng val="0"/>
        <c:holeSize val="60"/>
      </c:doughnut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0e557350-1b37-43d1-90f4-0a74e4c88663}"/>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0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3257</Words>
  <Characters>3399</Characters>
  <Lines>0</Lines>
  <Paragraphs>0</Paragraphs>
  <TotalTime>50</TotalTime>
  <ScaleCrop>false</ScaleCrop>
  <LinksUpToDate>false</LinksUpToDate>
  <CharactersWithSpaces>3402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2024-01-13T23:51:00Z</dcterms:created>
  <dc:creator>WPS_1625018466</dc:creator>
  <cp:lastModifiedBy>满波</cp:lastModifiedBy>
  <dcterms:modified xsi:type="dcterms:W3CDTF">2025-01-26T08:23:46Z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50993A45138B45E88CD9E4B0A0E0FA95_13</vt:lpwstr>
  </property>
  <property fmtid="{D5CDD505-2E9C-101B-9397-08002B2CF9AE}" pid="4" name="KSOTemplateDocerSaveRecord">
    <vt:lpwstr>eyJoZGlkIjoiNjg1OGFkMWU4MWY4OGQ5ODdiZTgwNmE3MjBjNmQ1MzIiLCJ1c2VySWQiOiIyMDUwOTc0MzkifQ==</vt:lpwstr>
  </property>
</Properties>
</file>