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BFB2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滕州市发展和改革局</w:t>
      </w:r>
    </w:p>
    <w:p w14:paraId="39CD534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jc w:val="center"/>
        <w:textAlignment w:val="auto"/>
        <w:rPr>
          <w:rFonts w:ascii="仿宋_GB2312" w:eastAsia="仿宋_GB2312" w:cs="仿宋_GB2312"/>
          <w:sz w:val="31"/>
          <w:szCs w:val="31"/>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年政府信息公开工作年度报告</w:t>
      </w:r>
    </w:p>
    <w:p w14:paraId="76D671D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5"/>
        <w:textAlignment w:val="auto"/>
        <w:rPr>
          <w:rFonts w:ascii="仿宋_GB2312" w:eastAsia="仿宋_GB2312" w:cs="仿宋_GB2312"/>
          <w:sz w:val="31"/>
          <w:szCs w:val="31"/>
        </w:rPr>
      </w:pPr>
    </w:p>
    <w:p w14:paraId="35910B1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5"/>
        <w:jc w:val="both"/>
        <w:textAlignment w:val="auto"/>
        <w:rPr>
          <w:rFonts w:ascii="仿宋_GB2312" w:eastAsia="仿宋_GB2312" w:cs="仿宋_GB2312"/>
          <w:sz w:val="32"/>
          <w:szCs w:val="32"/>
        </w:rPr>
      </w:pPr>
      <w:r>
        <w:rPr>
          <w:rFonts w:ascii="仿宋_GB2312" w:eastAsia="仿宋_GB2312" w:cs="仿宋_GB2312"/>
          <w:sz w:val="31"/>
          <w:szCs w:val="31"/>
        </w:rPr>
        <w:t>根</w:t>
      </w:r>
      <w:r>
        <w:rPr>
          <w:rFonts w:ascii="仿宋_GB2312" w:eastAsia="仿宋_GB2312" w:cs="仿宋_GB2312"/>
          <w:sz w:val="32"/>
          <w:szCs w:val="32"/>
        </w:rPr>
        <w:t>据《中华人民共和国政府信息公开条例》以及省、枣庄市、滕州市政府有关政府信息公开文件要求，结合我局实际，编制并向社会公布滕州市发展和改革局（以下简称市发改局）</w:t>
      </w:r>
      <w:r>
        <w:rPr>
          <w:rFonts w:hint="default" w:ascii="仿宋_GB2312" w:eastAsia="仿宋_GB2312" w:cs="仿宋_GB2312"/>
          <w:sz w:val="32"/>
          <w:szCs w:val="32"/>
        </w:rPr>
        <w:t>202</w:t>
      </w:r>
      <w:r>
        <w:rPr>
          <w:rFonts w:hint="eastAsia" w:ascii="仿宋_GB2312" w:eastAsia="仿宋_GB2312" w:cs="仿宋_GB2312"/>
          <w:sz w:val="32"/>
          <w:szCs w:val="32"/>
          <w:lang w:val="en-US" w:eastAsia="zh-CN"/>
        </w:rPr>
        <w:t>4</w:t>
      </w:r>
      <w:r>
        <w:rPr>
          <w:rFonts w:ascii="仿宋_GB2312" w:eastAsia="仿宋_GB2312" w:cs="仿宋_GB2312"/>
          <w:sz w:val="32"/>
          <w:szCs w:val="32"/>
        </w:rPr>
        <w:t>年政府信息公开工作年度报告。本年度报告中所列数据的统计期限自</w:t>
      </w:r>
      <w:r>
        <w:rPr>
          <w:rFonts w:hint="default" w:ascii="仿宋_GB2312" w:eastAsia="仿宋_GB2312" w:cs="仿宋_GB2312"/>
          <w:sz w:val="32"/>
          <w:szCs w:val="32"/>
        </w:rPr>
        <w:t>202</w:t>
      </w:r>
      <w:r>
        <w:rPr>
          <w:rFonts w:hint="eastAsia" w:ascii="仿宋_GB2312" w:eastAsia="仿宋_GB2312" w:cs="仿宋_GB2312"/>
          <w:sz w:val="32"/>
          <w:szCs w:val="32"/>
          <w:lang w:val="en-US" w:eastAsia="zh-CN"/>
        </w:rPr>
        <w:t>4</w:t>
      </w:r>
      <w:r>
        <w:rPr>
          <w:rFonts w:ascii="仿宋_GB2312" w:eastAsia="仿宋_GB2312" w:cs="仿宋_GB2312"/>
          <w:sz w:val="32"/>
          <w:szCs w:val="32"/>
        </w:rPr>
        <w:t>年</w:t>
      </w:r>
      <w:r>
        <w:rPr>
          <w:rFonts w:hint="default" w:ascii="仿宋_GB2312" w:eastAsia="仿宋_GB2312" w:cs="仿宋_GB2312"/>
          <w:sz w:val="32"/>
          <w:szCs w:val="32"/>
        </w:rPr>
        <w:t>1</w:t>
      </w:r>
      <w:r>
        <w:rPr>
          <w:rFonts w:ascii="仿宋_GB2312" w:eastAsia="仿宋_GB2312" w:cs="仿宋_GB2312"/>
          <w:sz w:val="32"/>
          <w:szCs w:val="32"/>
        </w:rPr>
        <w:t>月</w:t>
      </w:r>
      <w:r>
        <w:rPr>
          <w:rFonts w:hint="default" w:ascii="仿宋_GB2312" w:eastAsia="仿宋_GB2312" w:cs="仿宋_GB2312"/>
          <w:sz w:val="32"/>
          <w:szCs w:val="32"/>
        </w:rPr>
        <w:t>1</w:t>
      </w:r>
      <w:r>
        <w:rPr>
          <w:rFonts w:ascii="仿宋_GB2312" w:eastAsia="仿宋_GB2312" w:cs="仿宋_GB2312"/>
          <w:sz w:val="32"/>
          <w:szCs w:val="32"/>
        </w:rPr>
        <w:t>日起，至</w:t>
      </w:r>
      <w:r>
        <w:rPr>
          <w:rFonts w:hint="default" w:ascii="仿宋_GB2312" w:eastAsia="仿宋_GB2312" w:cs="仿宋_GB2312"/>
          <w:sz w:val="32"/>
          <w:szCs w:val="32"/>
        </w:rPr>
        <w:t>202</w:t>
      </w:r>
      <w:r>
        <w:rPr>
          <w:rFonts w:hint="eastAsia" w:ascii="仿宋_GB2312" w:eastAsia="仿宋_GB2312" w:cs="仿宋_GB2312"/>
          <w:sz w:val="32"/>
          <w:szCs w:val="32"/>
          <w:lang w:val="en-US" w:eastAsia="zh-CN"/>
        </w:rPr>
        <w:t>4</w:t>
      </w:r>
      <w:r>
        <w:rPr>
          <w:rFonts w:ascii="仿宋_GB2312" w:eastAsia="仿宋_GB2312" w:cs="仿宋_GB2312"/>
          <w:sz w:val="32"/>
          <w:szCs w:val="32"/>
        </w:rPr>
        <w:t>年</w:t>
      </w:r>
      <w:r>
        <w:rPr>
          <w:rFonts w:hint="default" w:ascii="仿宋_GB2312" w:eastAsia="仿宋_GB2312" w:cs="仿宋_GB2312"/>
          <w:sz w:val="32"/>
          <w:szCs w:val="32"/>
        </w:rPr>
        <w:t>12</w:t>
      </w:r>
      <w:r>
        <w:rPr>
          <w:rFonts w:ascii="仿宋_GB2312" w:eastAsia="仿宋_GB2312" w:cs="仿宋_GB2312"/>
          <w:sz w:val="32"/>
          <w:szCs w:val="32"/>
        </w:rPr>
        <w:t>月</w:t>
      </w:r>
      <w:r>
        <w:rPr>
          <w:rFonts w:hint="default" w:ascii="仿宋_GB2312" w:eastAsia="仿宋_GB2312" w:cs="仿宋_GB2312"/>
          <w:sz w:val="32"/>
          <w:szCs w:val="32"/>
        </w:rPr>
        <w:t>31</w:t>
      </w:r>
      <w:r>
        <w:rPr>
          <w:rFonts w:ascii="仿宋_GB2312" w:eastAsia="仿宋_GB2312" w:cs="仿宋_GB2312"/>
          <w:sz w:val="32"/>
          <w:szCs w:val="32"/>
        </w:rPr>
        <w:t>日止。</w:t>
      </w:r>
    </w:p>
    <w:p w14:paraId="704F49F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5"/>
        <w:textAlignment w:val="auto"/>
        <w:rPr>
          <w:sz w:val="32"/>
          <w:szCs w:val="32"/>
        </w:rPr>
      </w:pPr>
      <w:r>
        <w:rPr>
          <w:rFonts w:ascii="黑体" w:hAnsi="宋体" w:eastAsia="黑体" w:cs="黑体"/>
          <w:sz w:val="32"/>
          <w:szCs w:val="32"/>
        </w:rPr>
        <w:t>一、总体情况</w:t>
      </w:r>
    </w:p>
    <w:p w14:paraId="139D1A94">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textAlignment w:val="auto"/>
        <w:rPr>
          <w:rFonts w:hint="eastAsia" w:ascii="仿宋_GB2312" w:eastAsia="仿宋_GB2312" w:cs="仿宋_GB2312"/>
          <w:sz w:val="32"/>
          <w:szCs w:val="32"/>
          <w:lang w:eastAsia="zh-CN"/>
        </w:rPr>
      </w:pPr>
      <w:r>
        <w:rPr>
          <w:rFonts w:hint="default" w:ascii="仿宋_GB2312" w:eastAsia="仿宋_GB2312" w:cs="仿宋_GB2312"/>
          <w:sz w:val="32"/>
          <w:szCs w:val="32"/>
        </w:rPr>
        <w:t>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年以来，市发改局</w:t>
      </w:r>
      <w:r>
        <w:rPr>
          <w:rFonts w:hint="eastAsia" w:ascii="仿宋_GB2312" w:eastAsia="仿宋_GB2312" w:cs="仿宋_GB2312"/>
          <w:sz w:val="32"/>
          <w:szCs w:val="32"/>
          <w:lang w:val="en-US" w:eastAsia="zh-CN"/>
        </w:rPr>
        <w:t>深入</w:t>
      </w:r>
      <w:r>
        <w:rPr>
          <w:rFonts w:hint="eastAsia" w:ascii="仿宋_GB2312" w:eastAsia="仿宋_GB2312" w:cs="仿宋_GB2312"/>
          <w:sz w:val="32"/>
          <w:szCs w:val="32"/>
        </w:rPr>
        <w:t>落实《中华人民共和国政府信息公开条例》以及省、枣庄市和滕州市政府关于政府信息公开工作的要求，紧扣工作实际</w:t>
      </w:r>
      <w:r>
        <w:rPr>
          <w:rFonts w:hint="eastAsia" w:ascii="仿宋_GB2312" w:eastAsia="仿宋_GB2312" w:cs="仿宋_GB2312"/>
          <w:sz w:val="32"/>
          <w:szCs w:val="32"/>
          <w:lang w:val="en-US" w:eastAsia="zh-CN"/>
        </w:rPr>
        <w:t>，服务经济社会大局，把政务信息公开作为长期的动态工作落到实处，进一步健全工作机制，规范政务公开形式和内容，</w:t>
      </w:r>
      <w:r>
        <w:rPr>
          <w:rFonts w:hint="eastAsia" w:ascii="仿宋_GB2312" w:eastAsia="仿宋_GB2312" w:cs="仿宋_GB2312"/>
          <w:sz w:val="32"/>
          <w:szCs w:val="32"/>
        </w:rPr>
        <w:t>加强市政府信息公开专栏、门户网站信息公开工作管理，不断提升政府信息公开工作水平</w:t>
      </w:r>
      <w:r>
        <w:rPr>
          <w:rFonts w:hint="eastAsia" w:ascii="仿宋_GB2312" w:eastAsia="仿宋_GB2312" w:cs="仿宋_GB2312"/>
          <w:sz w:val="32"/>
          <w:szCs w:val="32"/>
          <w:lang w:eastAsia="zh-CN"/>
        </w:rPr>
        <w:t>。</w:t>
      </w:r>
    </w:p>
    <w:p w14:paraId="34FB0488">
      <w:pPr>
        <w:pStyle w:val="4"/>
        <w:widowControl/>
        <w:numPr>
          <w:ilvl w:val="0"/>
          <w:numId w:val="0"/>
        </w:numPr>
        <w:spacing w:beforeAutospacing="0" w:afterAutospacing="0" w:line="560" w:lineRule="exact"/>
        <w:ind w:firstLine="640" w:firstLineChars="200"/>
        <w:jc w:val="both"/>
        <w:rPr>
          <w:rFonts w:hint="eastAsia" w:ascii="仿宋_GB2312" w:hAnsi="sans-serif" w:eastAsia="仿宋_GB2312" w:cs="仿宋_GB2312"/>
          <w:color w:val="000000"/>
          <w:sz w:val="32"/>
          <w:szCs w:val="32"/>
          <w:highlight w:val="none"/>
          <w:lang w:eastAsia="zh-CN"/>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一</w:t>
      </w: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主动公开政府信息情况</w:t>
      </w:r>
    </w:p>
    <w:p w14:paraId="75005AEC">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600" w:lineRule="exact"/>
        <w:ind w:left="0" w:leftChars="0" w:right="0" w:rightChars="0" w:firstLine="640" w:firstLineChars="200"/>
        <w:textAlignment w:val="auto"/>
        <w:rPr>
          <w:rFonts w:hint="eastAsia" w:asci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s="仿宋_GB2312"/>
          <w:sz w:val="32"/>
          <w:szCs w:val="32"/>
        </w:rPr>
        <w:t>市发改局按照市委、市政府的统一部署</w:t>
      </w:r>
      <w:r>
        <w:rPr>
          <w:rFonts w:hint="eastAsia" w:ascii="仿宋_GB2312" w:eastAsia="仿宋_GB2312" w:cs="仿宋_GB2312"/>
          <w:sz w:val="32"/>
          <w:szCs w:val="32"/>
          <w:lang w:val="en-US" w:eastAsia="zh-CN"/>
        </w:rPr>
        <w:t>和要求</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将政府信息公开工作纳入重要议事日程，以制度建设为抓手，以完善服务为重点，不断扩展公开内容，强化公开监督，依法保障人民群众的知情权、参与权和监督权，对政务服务工作起到了较好的宣传作用。截止</w:t>
      </w:r>
      <w:r>
        <w:rPr>
          <w:rFonts w:hint="default" w:ascii="仿宋_GB2312" w:eastAsia="仿宋_GB2312" w:cs="仿宋_GB2312"/>
          <w:sz w:val="32"/>
          <w:szCs w:val="32"/>
          <w:lang w:val="en-US" w:eastAsia="zh-CN"/>
        </w:rPr>
        <w:t>202</w:t>
      </w:r>
      <w:r>
        <w:rPr>
          <w:rFonts w:hint="eastAsia" w:ascii="仿宋_GB2312" w:eastAsia="仿宋_GB2312" w:cs="仿宋_GB2312"/>
          <w:sz w:val="32"/>
          <w:szCs w:val="32"/>
          <w:lang w:val="en-US" w:eastAsia="zh-CN"/>
        </w:rPr>
        <w:t>4年</w:t>
      </w:r>
      <w:r>
        <w:rPr>
          <w:rFonts w:hint="default" w:ascii="仿宋_GB2312" w:eastAsia="仿宋_GB2312" w:cs="仿宋_GB2312"/>
          <w:sz w:val="32"/>
          <w:szCs w:val="32"/>
          <w:lang w:val="en-US" w:eastAsia="zh-CN"/>
        </w:rPr>
        <w:t>12</w:t>
      </w:r>
      <w:r>
        <w:rPr>
          <w:rFonts w:hint="eastAsia" w:ascii="仿宋_GB2312" w:eastAsia="仿宋_GB2312" w:cs="仿宋_GB2312"/>
          <w:sz w:val="32"/>
          <w:szCs w:val="32"/>
          <w:lang w:val="en-US" w:eastAsia="zh-CN"/>
        </w:rPr>
        <w:t>月</w:t>
      </w:r>
      <w:r>
        <w:rPr>
          <w:rFonts w:hint="default" w:ascii="仿宋_GB2312" w:eastAsia="仿宋_GB2312" w:cs="仿宋_GB2312"/>
          <w:sz w:val="32"/>
          <w:szCs w:val="32"/>
          <w:lang w:val="en-US" w:eastAsia="zh-CN"/>
        </w:rPr>
        <w:t>31</w:t>
      </w:r>
      <w:r>
        <w:rPr>
          <w:rFonts w:hint="eastAsia" w:ascii="仿宋_GB2312" w:eastAsia="仿宋_GB2312" w:cs="仿宋_GB2312"/>
          <w:sz w:val="32"/>
          <w:szCs w:val="32"/>
          <w:lang w:val="en-US" w:eastAsia="zh-CN"/>
        </w:rPr>
        <w:t>日，主动公开</w:t>
      </w:r>
      <w:r>
        <w:rPr>
          <w:rFonts w:hint="eastAsia" w:ascii="仿宋_GB2312" w:eastAsia="仿宋_GB2312" w:cs="仿宋_GB2312"/>
          <w:color w:val="000000" w:themeColor="text1"/>
          <w:sz w:val="32"/>
          <w:szCs w:val="32"/>
          <w:highlight w:val="none"/>
          <w14:textFill>
            <w14:solidFill>
              <w14:schemeClr w14:val="tx1"/>
            </w14:solidFill>
          </w14:textFill>
        </w:rPr>
        <w:t>政府信</w:t>
      </w:r>
      <w:r>
        <w:rPr>
          <w:rFonts w:hint="eastAsia" w:ascii="仿宋_GB2312" w:eastAsia="仿宋_GB2312" w:cs="仿宋_GB2312"/>
          <w:sz w:val="32"/>
          <w:szCs w:val="32"/>
          <w:lang w:val="en-US" w:eastAsia="zh-CN"/>
        </w:rPr>
        <w:t>息</w:t>
      </w:r>
      <w:r>
        <w:rPr>
          <w:rFonts w:hint="default" w:ascii="仿宋_GB2312" w:eastAsia="仿宋_GB2312" w:cs="仿宋_GB2312"/>
          <w:sz w:val="32"/>
          <w:szCs w:val="32"/>
          <w:lang w:val="en-US" w:eastAsia="zh-CN"/>
        </w:rPr>
        <w:t>18</w:t>
      </w:r>
      <w:r>
        <w:rPr>
          <w:rFonts w:hint="eastAsia" w:ascii="仿宋_GB2312" w:eastAsia="仿宋_GB2312" w:cs="仿宋_GB2312"/>
          <w:sz w:val="32"/>
          <w:szCs w:val="32"/>
          <w:lang w:val="en-US" w:eastAsia="zh-CN"/>
        </w:rPr>
        <w:t>7条。其中，通过市人民政府官网信息公开页面主动公开政府信息</w:t>
      </w:r>
      <w:r>
        <w:rPr>
          <w:rFonts w:hint="default" w:ascii="仿宋_GB2312" w:eastAsia="仿宋_GB2312" w:cs="仿宋_GB2312"/>
          <w:sz w:val="32"/>
          <w:szCs w:val="32"/>
          <w:lang w:val="en-US" w:eastAsia="zh-CN"/>
        </w:rPr>
        <w:t>5</w:t>
      </w:r>
      <w:r>
        <w:rPr>
          <w:rFonts w:hint="eastAsia" w:ascii="仿宋_GB2312" w:eastAsia="仿宋_GB2312" w:cs="仿宋_GB2312"/>
          <w:sz w:val="32"/>
          <w:szCs w:val="32"/>
          <w:lang w:val="en-US" w:eastAsia="zh-CN"/>
        </w:rPr>
        <w:t>4条，通过市人民政府官网市发展和改革局栏目主动公开政府信息</w:t>
      </w:r>
      <w:r>
        <w:rPr>
          <w:rFonts w:hint="default" w:ascii="仿宋_GB2312" w:eastAsia="仿宋_GB2312" w:cs="仿宋_GB2312"/>
          <w:sz w:val="32"/>
          <w:szCs w:val="32"/>
          <w:lang w:val="en-US" w:eastAsia="zh-CN"/>
        </w:rPr>
        <w:t>1</w:t>
      </w:r>
      <w:r>
        <w:rPr>
          <w:rFonts w:hint="eastAsia" w:ascii="仿宋_GB2312" w:eastAsia="仿宋_GB2312" w:cs="仿宋_GB2312"/>
          <w:sz w:val="32"/>
          <w:szCs w:val="32"/>
          <w:lang w:val="en-US" w:eastAsia="zh-CN"/>
        </w:rPr>
        <w:t>33条</w:t>
      </w:r>
      <w:r>
        <w:rPr>
          <w:rFonts w:hint="eastAsia" w:ascii="仿宋_GB2312" w:eastAsia="仿宋_GB2312" w:cs="仿宋_GB2312"/>
          <w:color w:val="000000" w:themeColor="text1"/>
          <w:sz w:val="32"/>
          <w:szCs w:val="32"/>
          <w:highlight w:val="none"/>
          <w14:textFill>
            <w14:solidFill>
              <w14:schemeClr w14:val="tx1"/>
            </w14:solidFill>
          </w14:textFill>
        </w:rPr>
        <w:t>。</w:t>
      </w:r>
    </w:p>
    <w:p w14:paraId="1E702234">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600"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及时公开机构概况。根据《中华人民共和国政府信息公开条例》第二十条第（二）款要求，及时更新机关职能、机构设置、办</w:t>
      </w:r>
      <w:r>
        <w:rPr>
          <w:rFonts w:hint="eastAsia" w:ascii="仿宋_GB2312" w:hAnsi="仿宋_GB2312" w:eastAsia="仿宋_GB2312" w:cs="仿宋_GB2312"/>
          <w:sz w:val="32"/>
          <w:szCs w:val="32"/>
        </w:rPr>
        <w:t>公地址、办公时间、联系方式等，并在</w:t>
      </w:r>
      <w:r>
        <w:rPr>
          <w:rFonts w:hint="eastAsia" w:ascii="仿宋_GB2312" w:eastAsia="仿宋_GB2312" w:cs="仿宋_GB2312"/>
          <w:sz w:val="32"/>
          <w:szCs w:val="32"/>
          <w:lang w:val="en-US" w:eastAsia="zh-CN"/>
        </w:rPr>
        <w:t>市人民政府官网信息公开页面</w:t>
      </w:r>
      <w:r>
        <w:rPr>
          <w:rFonts w:hint="eastAsia" w:ascii="仿宋_GB2312" w:hAnsi="仿宋_GB2312" w:eastAsia="仿宋_GB2312" w:cs="仿宋_GB2312"/>
          <w:sz w:val="32"/>
          <w:szCs w:val="32"/>
        </w:rPr>
        <w:t>和</w:t>
      </w:r>
      <w:r>
        <w:rPr>
          <w:rFonts w:hint="eastAsia" w:ascii="仿宋_GB2312" w:eastAsia="仿宋_GB2312" w:cs="仿宋_GB2312"/>
          <w:sz w:val="32"/>
          <w:szCs w:val="32"/>
          <w:lang w:val="en-US" w:eastAsia="zh-CN"/>
        </w:rPr>
        <w:t>市人民政府官网市发展和改革局栏目</w:t>
      </w:r>
      <w:r>
        <w:rPr>
          <w:rFonts w:hint="eastAsia" w:ascii="仿宋_GB2312" w:hAnsi="仿宋_GB2312" w:eastAsia="仿宋_GB2312" w:cs="仿宋_GB2312"/>
          <w:sz w:val="32"/>
          <w:szCs w:val="32"/>
        </w:rPr>
        <w:t>公布。</w:t>
      </w:r>
    </w:p>
    <w:p w14:paraId="457C31D5">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600" w:lineRule="exact"/>
        <w:ind w:right="0" w:rightChars="0"/>
        <w:textAlignment w:val="auto"/>
        <w:rPr>
          <w:rFonts w:hint="eastAsia" w:ascii="仿宋_GB2312" w:hAnsi="仿宋_GB2312" w:eastAsia="仿宋_GB2312" w:cs="仿宋_GB2312"/>
          <w:sz w:val="32"/>
          <w:szCs w:val="32"/>
        </w:rPr>
      </w:pPr>
      <w:r>
        <w:drawing>
          <wp:anchor distT="0" distB="0" distL="114300" distR="114300" simplePos="0" relativeHeight="251660288" behindDoc="1" locked="0" layoutInCell="1" allowOverlap="1">
            <wp:simplePos x="0" y="0"/>
            <wp:positionH relativeFrom="column">
              <wp:posOffset>56515</wp:posOffset>
            </wp:positionH>
            <wp:positionV relativeFrom="paragraph">
              <wp:posOffset>280035</wp:posOffset>
            </wp:positionV>
            <wp:extent cx="5075555" cy="3320415"/>
            <wp:effectExtent l="0" t="0" r="48895" b="32385"/>
            <wp:wrapTight wrapText="bothSides">
              <wp:wrapPolygon>
                <wp:start x="0" y="0"/>
                <wp:lineTo x="0" y="21439"/>
                <wp:lineTo x="21484" y="21439"/>
                <wp:lineTo x="21484"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075555" cy="3320415"/>
                    </a:xfrm>
                    <a:prstGeom prst="rect">
                      <a:avLst/>
                    </a:prstGeom>
                    <a:noFill/>
                    <a:ln>
                      <a:noFill/>
                    </a:ln>
                  </pic:spPr>
                </pic:pic>
              </a:graphicData>
            </a:graphic>
          </wp:anchor>
        </w:drawing>
      </w:r>
    </w:p>
    <w:p w14:paraId="44958AA2">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600" w:lineRule="exact"/>
        <w:ind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2.及</w:t>
      </w:r>
      <w:r>
        <w:rPr>
          <w:rFonts w:hint="eastAsia" w:ascii="仿宋_GB2312" w:eastAsia="仿宋_GB2312" w:cs="仿宋_GB2312"/>
          <w:sz w:val="32"/>
          <w:szCs w:val="32"/>
          <w:lang w:val="en-US" w:eastAsia="zh-CN"/>
        </w:rPr>
        <w:t>时公开发展规划。结合滕州市实际，及时公开发布《滕州市</w:t>
      </w:r>
      <w:r>
        <w:rPr>
          <w:rFonts w:hint="default" w:ascii="仿宋_GB2312" w:eastAsia="仿宋_GB2312" w:cs="仿宋_GB2312"/>
          <w:sz w:val="32"/>
          <w:szCs w:val="32"/>
          <w:lang w:val="en-US" w:eastAsia="zh-CN"/>
        </w:rPr>
        <w:t>202</w:t>
      </w:r>
      <w:r>
        <w:rPr>
          <w:rFonts w:hint="eastAsia" w:ascii="仿宋_GB2312" w:eastAsia="仿宋_GB2312" w:cs="仿宋_GB2312"/>
          <w:sz w:val="32"/>
          <w:szCs w:val="32"/>
          <w:lang w:val="en-US" w:eastAsia="zh-CN"/>
        </w:rPr>
        <w:t>4年国民经济和社会发展计划》等计划规划文件，让公众了解，更好引导全社</w:t>
      </w:r>
      <w:r>
        <w:rPr>
          <w:rFonts w:hint="eastAsia" w:ascii="仿宋_GB2312" w:hAnsi="仿宋_GB2312" w:eastAsia="仿宋_GB2312" w:cs="仿宋_GB2312"/>
          <w:sz w:val="32"/>
          <w:szCs w:val="32"/>
          <w:highlight w:val="none"/>
          <w:lang w:eastAsia="zh-CN"/>
        </w:rPr>
        <w:t>会关心支持规划实施工作</w:t>
      </w:r>
      <w:r>
        <w:rPr>
          <w:rFonts w:hint="eastAsia" w:ascii="仿宋_GB2312" w:hAnsi="仿宋_GB2312" w:eastAsia="仿宋_GB2312" w:cs="仿宋_GB2312"/>
          <w:sz w:val="32"/>
          <w:szCs w:val="32"/>
          <w:highlight w:val="none"/>
        </w:rPr>
        <w:t>。</w:t>
      </w:r>
    </w:p>
    <w:p w14:paraId="0E61E579">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600" w:lineRule="exact"/>
        <w:ind w:right="0" w:rightChars="0"/>
        <w:textAlignment w:val="auto"/>
        <w:rPr>
          <w:rFonts w:hint="eastAsia" w:ascii="仿宋_GB2312" w:hAnsi="仿宋_GB2312" w:eastAsia="仿宋_GB2312" w:cs="仿宋_GB2312"/>
          <w:sz w:val="32"/>
          <w:szCs w:val="32"/>
        </w:rPr>
      </w:pPr>
    </w:p>
    <w:p w14:paraId="1E35155D">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600" w:lineRule="exact"/>
        <w:ind w:right="0" w:rightChars="0"/>
        <w:textAlignment w:val="auto"/>
        <w:rPr>
          <w:rFonts w:hint="eastAsia" w:ascii="仿宋_GB2312" w:hAnsi="仿宋_GB2312" w:eastAsia="仿宋_GB2312" w:cs="仿宋_GB2312"/>
          <w:sz w:val="32"/>
          <w:szCs w:val="32"/>
        </w:rPr>
      </w:pPr>
      <w:r>
        <w:drawing>
          <wp:anchor distT="0" distB="0" distL="114300" distR="114300" simplePos="0" relativeHeight="251663360" behindDoc="1" locked="0" layoutInCell="1" allowOverlap="1">
            <wp:simplePos x="0" y="0"/>
            <wp:positionH relativeFrom="column">
              <wp:posOffset>28575</wp:posOffset>
            </wp:positionH>
            <wp:positionV relativeFrom="paragraph">
              <wp:posOffset>104775</wp:posOffset>
            </wp:positionV>
            <wp:extent cx="5264785" cy="4261485"/>
            <wp:effectExtent l="0" t="0" r="12065" b="5715"/>
            <wp:wrapTight wrapText="bothSides">
              <wp:wrapPolygon>
                <wp:start x="0" y="0"/>
                <wp:lineTo x="0" y="21532"/>
                <wp:lineTo x="21493" y="21532"/>
                <wp:lineTo x="21493" y="0"/>
                <wp:lineTo x="0" y="0"/>
              </wp:wrapPolygon>
            </wp:wrapTight>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6"/>
                    <a:stretch>
                      <a:fillRect/>
                    </a:stretch>
                  </pic:blipFill>
                  <pic:spPr>
                    <a:xfrm>
                      <a:off x="0" y="0"/>
                      <a:ext cx="5264785" cy="4261485"/>
                    </a:xfrm>
                    <a:prstGeom prst="rect">
                      <a:avLst/>
                    </a:prstGeom>
                    <a:noFill/>
                    <a:ln>
                      <a:noFill/>
                    </a:ln>
                  </pic:spPr>
                </pic:pic>
              </a:graphicData>
            </a:graphic>
          </wp:anchor>
        </w:drawing>
      </w:r>
    </w:p>
    <w:p w14:paraId="0A384AE1">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600"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3.推进行政权力运行公开。</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一是每季度公开政府工作报告进展情况。对政府工作报告中的重点项目进度、诚信建设、产业振兴工作，在政府信息公开专栏主动公开。二是公开行政执法信息。公开行政执法服务指南、年报，公布行政执法流程图，及时公示行政执法结果信息。</w:t>
      </w:r>
    </w:p>
    <w:p w14:paraId="0A0FEA17">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600" w:lineRule="exact"/>
        <w:ind w:leftChars="200" w:right="0" w:rightChars="0"/>
        <w:textAlignment w:val="auto"/>
        <w:rPr>
          <w:rFonts w:hint="eastAsia" w:ascii="仿宋_GB2312" w:hAnsi="仿宋_GB2312" w:eastAsia="仿宋_GB2312" w:cs="仿宋_GB2312"/>
          <w:sz w:val="32"/>
          <w:szCs w:val="32"/>
        </w:rPr>
      </w:pPr>
      <w:r>
        <w:drawing>
          <wp:anchor distT="0" distB="0" distL="114300" distR="114300" simplePos="0" relativeHeight="251661312" behindDoc="1" locked="0" layoutInCell="1" allowOverlap="1">
            <wp:simplePos x="0" y="0"/>
            <wp:positionH relativeFrom="column">
              <wp:posOffset>151765</wp:posOffset>
            </wp:positionH>
            <wp:positionV relativeFrom="paragraph">
              <wp:posOffset>66675</wp:posOffset>
            </wp:positionV>
            <wp:extent cx="4881880" cy="3373755"/>
            <wp:effectExtent l="0" t="0" r="13970" b="17145"/>
            <wp:wrapTight wrapText="bothSides">
              <wp:wrapPolygon>
                <wp:start x="0" y="0"/>
                <wp:lineTo x="0" y="21466"/>
                <wp:lineTo x="21493" y="21466"/>
                <wp:lineTo x="21493" y="0"/>
                <wp:lineTo x="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4881880" cy="3373755"/>
                    </a:xfrm>
                    <a:prstGeom prst="rect">
                      <a:avLst/>
                    </a:prstGeom>
                    <a:noFill/>
                    <a:ln>
                      <a:noFill/>
                    </a:ln>
                  </pic:spPr>
                </pic:pic>
              </a:graphicData>
            </a:graphic>
          </wp:anchor>
        </w:drawing>
      </w:r>
    </w:p>
    <w:p w14:paraId="6EB59BB7">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600" w:lineRule="exact"/>
        <w:ind w:leftChars="200" w:right="0" w:rightChars="0"/>
        <w:textAlignment w:val="auto"/>
        <w:rPr>
          <w:rFonts w:hint="eastAsia" w:ascii="仿宋_GB2312" w:hAnsi="仿宋_GB2312" w:eastAsia="仿宋_GB2312" w:cs="仿宋_GB2312"/>
          <w:sz w:val="32"/>
          <w:szCs w:val="32"/>
        </w:rPr>
      </w:pPr>
    </w:p>
    <w:p w14:paraId="54524FE4">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600" w:lineRule="exact"/>
        <w:ind w:leftChars="200" w:right="0" w:rightChars="0"/>
        <w:textAlignment w:val="auto"/>
        <w:rPr>
          <w:rFonts w:hint="eastAsia" w:ascii="仿宋_GB2312" w:hAnsi="仿宋_GB2312" w:eastAsia="仿宋_GB2312" w:cs="仿宋_GB2312"/>
          <w:sz w:val="32"/>
          <w:szCs w:val="32"/>
        </w:rPr>
      </w:pPr>
    </w:p>
    <w:p w14:paraId="30F5FFC5">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600" w:lineRule="exact"/>
        <w:ind w:leftChars="200" w:right="0" w:rightChars="0"/>
        <w:textAlignment w:val="auto"/>
        <w:rPr>
          <w:rFonts w:hint="eastAsia" w:ascii="仿宋_GB2312" w:hAnsi="仿宋_GB2312" w:eastAsia="仿宋_GB2312" w:cs="仿宋_GB2312"/>
          <w:sz w:val="32"/>
          <w:szCs w:val="32"/>
        </w:rPr>
      </w:pPr>
    </w:p>
    <w:p w14:paraId="6A325B2B">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600" w:lineRule="exact"/>
        <w:ind w:leftChars="200" w:right="0" w:rightChars="0"/>
        <w:textAlignment w:val="auto"/>
        <w:rPr>
          <w:rFonts w:hint="eastAsia" w:ascii="仿宋_GB2312" w:hAnsi="仿宋_GB2312" w:eastAsia="仿宋_GB2312" w:cs="仿宋_GB2312"/>
          <w:sz w:val="32"/>
          <w:szCs w:val="32"/>
        </w:rPr>
      </w:pPr>
    </w:p>
    <w:p w14:paraId="001A4E16">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600" w:lineRule="exact"/>
        <w:ind w:leftChars="200" w:right="0" w:rightChars="0"/>
        <w:textAlignment w:val="auto"/>
        <w:rPr>
          <w:rFonts w:hint="eastAsia" w:ascii="仿宋_GB2312" w:hAnsi="仿宋_GB2312" w:eastAsia="仿宋_GB2312" w:cs="仿宋_GB2312"/>
          <w:sz w:val="32"/>
          <w:szCs w:val="32"/>
        </w:rPr>
      </w:pPr>
    </w:p>
    <w:p w14:paraId="5A848FD2">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600" w:lineRule="exact"/>
        <w:ind w:leftChars="200" w:right="0" w:rightChars="0"/>
        <w:textAlignment w:val="auto"/>
        <w:rPr>
          <w:rFonts w:hint="eastAsia" w:ascii="仿宋_GB2312" w:hAnsi="仿宋_GB2312" w:eastAsia="仿宋_GB2312" w:cs="仿宋_GB2312"/>
          <w:sz w:val="32"/>
          <w:szCs w:val="32"/>
        </w:rPr>
      </w:pPr>
    </w:p>
    <w:p w14:paraId="18AA3D02">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600" w:lineRule="exact"/>
        <w:ind w:leftChars="200" w:right="0" w:rightChars="0"/>
        <w:textAlignment w:val="auto"/>
        <w:rPr>
          <w:rFonts w:hint="eastAsia" w:ascii="仿宋_GB2312" w:hAnsi="仿宋_GB2312" w:eastAsia="仿宋_GB2312" w:cs="仿宋_GB2312"/>
          <w:sz w:val="32"/>
          <w:szCs w:val="32"/>
        </w:rPr>
      </w:pPr>
    </w:p>
    <w:p w14:paraId="0CBDE2B0">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600" w:lineRule="exact"/>
        <w:ind w:leftChars="200" w:right="0" w:rightChars="0"/>
        <w:textAlignment w:val="auto"/>
        <w:rPr>
          <w:rFonts w:hint="eastAsia" w:ascii="仿宋_GB2312" w:hAnsi="仿宋_GB2312" w:eastAsia="仿宋_GB2312" w:cs="仿宋_GB2312"/>
          <w:sz w:val="32"/>
          <w:szCs w:val="32"/>
        </w:rPr>
      </w:pPr>
    </w:p>
    <w:p w14:paraId="3F38D738">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600" w:lineRule="exact"/>
        <w:ind w:leftChars="200" w:right="0" w:rightChars="0"/>
        <w:textAlignment w:val="auto"/>
        <w:rPr>
          <w:rFonts w:hint="eastAsia" w:ascii="仿宋_GB2312" w:hAnsi="仿宋_GB2312" w:eastAsia="仿宋_GB2312" w:cs="仿宋_GB2312"/>
          <w:sz w:val="32"/>
          <w:szCs w:val="32"/>
        </w:rPr>
      </w:pPr>
      <w:r>
        <w:drawing>
          <wp:anchor distT="0" distB="0" distL="114300" distR="114300" simplePos="0" relativeHeight="251662336" behindDoc="1" locked="0" layoutInCell="1" allowOverlap="1">
            <wp:simplePos x="0" y="0"/>
            <wp:positionH relativeFrom="column">
              <wp:posOffset>132715</wp:posOffset>
            </wp:positionH>
            <wp:positionV relativeFrom="paragraph">
              <wp:posOffset>219075</wp:posOffset>
            </wp:positionV>
            <wp:extent cx="4901565" cy="1577340"/>
            <wp:effectExtent l="0" t="0" r="32385" b="3810"/>
            <wp:wrapTight wrapText="bothSides">
              <wp:wrapPolygon>
                <wp:start x="0" y="0"/>
                <wp:lineTo x="0" y="21391"/>
                <wp:lineTo x="21491" y="21391"/>
                <wp:lineTo x="21491" y="0"/>
                <wp:lineTo x="0" y="0"/>
              </wp:wrapPolygon>
            </wp:wrapTight>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4901565" cy="1577340"/>
                    </a:xfrm>
                    <a:prstGeom prst="rect">
                      <a:avLst/>
                    </a:prstGeom>
                    <a:noFill/>
                    <a:ln>
                      <a:noFill/>
                    </a:ln>
                  </pic:spPr>
                </pic:pic>
              </a:graphicData>
            </a:graphic>
          </wp:anchor>
        </w:drawing>
      </w:r>
    </w:p>
    <w:p w14:paraId="1869FD95">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600" w:lineRule="exact"/>
        <w:ind w:left="645" w:leftChars="0" w:right="0" w:rightChars="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（二）规范依申请公开</w:t>
      </w:r>
    </w:p>
    <w:p w14:paraId="447C637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依申请公开情况。</w:t>
      </w:r>
      <w:r>
        <w:rPr>
          <w:rFonts w:hint="default" w:ascii="仿宋_GB2312" w:hAnsi="仿宋_GB2312" w:eastAsia="仿宋_GB2312" w:cs="仿宋_GB2312"/>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年，滕州市发改局共受理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lang w:eastAsia="zh-CN"/>
          <w14:textFill>
            <w14:solidFill>
              <w14:schemeClr w14:val="tx1"/>
            </w14:solidFill>
          </w14:textFill>
        </w:rPr>
        <w:t>件政府信息公开申请，结转上年政府信息公开申请</w:t>
      </w:r>
      <w:r>
        <w:rPr>
          <w:rFonts w:hint="default" w:ascii="仿宋_GB2312" w:hAnsi="仿宋_GB2312" w:eastAsia="仿宋_GB2312" w:cs="仿宋_GB2312"/>
          <w:color w:val="000000" w:themeColor="text1"/>
          <w:sz w:val="32"/>
          <w:szCs w:val="32"/>
          <w:lang w:eastAsia="zh-CN"/>
          <w14:textFill>
            <w14:solidFill>
              <w14:schemeClr w14:val="tx1"/>
            </w14:solidFill>
          </w14:textFill>
        </w:rPr>
        <w:t>0</w:t>
      </w:r>
      <w:r>
        <w:rPr>
          <w:rFonts w:hint="eastAsia" w:ascii="仿宋_GB2312" w:hAnsi="仿宋_GB2312" w:eastAsia="仿宋_GB2312" w:cs="仿宋_GB2312"/>
          <w:color w:val="000000" w:themeColor="text1"/>
          <w:sz w:val="32"/>
          <w:szCs w:val="32"/>
          <w:lang w:eastAsia="zh-CN"/>
          <w14:textFill>
            <w14:solidFill>
              <w14:schemeClr w14:val="tx1"/>
            </w14:solidFill>
          </w14:textFill>
        </w:rPr>
        <w:t>件，均为自然人提交。</w:t>
      </w:r>
    </w:p>
    <w:p w14:paraId="09A839C5">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60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处理情况。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共答复政府信息公开申请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lang w:eastAsia="zh-CN"/>
          <w14:textFill>
            <w14:solidFill>
              <w14:schemeClr w14:val="tx1"/>
            </w14:solidFill>
          </w14:textFill>
        </w:rPr>
        <w:t>件，按时办结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lang w:eastAsia="zh-CN"/>
          <w14:textFill>
            <w14:solidFill>
              <w14:schemeClr w14:val="tx1"/>
            </w14:solidFill>
          </w14:textFill>
        </w:rPr>
        <w:t>件，按时办结率</w:t>
      </w:r>
      <w:r>
        <w:rPr>
          <w:rFonts w:hint="default" w:ascii="仿宋_GB2312" w:hAnsi="仿宋_GB2312" w:eastAsia="仿宋_GB2312" w:cs="仿宋_GB2312"/>
          <w:color w:val="000000" w:themeColor="text1"/>
          <w:sz w:val="32"/>
          <w:szCs w:val="32"/>
          <w:lang w:eastAsia="zh-CN"/>
          <w14:textFill>
            <w14:solidFill>
              <w14:schemeClr w14:val="tx1"/>
            </w14:solidFill>
          </w14:textFill>
        </w:rPr>
        <w:t>100</w:t>
      </w:r>
      <w:r>
        <w:rPr>
          <w:rFonts w:hint="eastAsia" w:ascii="仿宋_GB2312" w:hAnsi="仿宋_GB2312" w:eastAsia="仿宋_GB2312" w:cs="仿宋_GB2312"/>
          <w:color w:val="000000" w:themeColor="text1"/>
          <w:sz w:val="32"/>
          <w:szCs w:val="32"/>
          <w:lang w:eastAsia="zh-CN"/>
          <w14:textFill>
            <w14:solidFill>
              <w14:schemeClr w14:val="tx1"/>
            </w14:solidFill>
          </w14:textFill>
        </w:rPr>
        <w:t>%。其中，予以公开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lang w:eastAsia="zh-CN"/>
          <w14:textFill>
            <w14:solidFill>
              <w14:schemeClr w14:val="tx1"/>
            </w14:solidFill>
          </w14:textFill>
        </w:rPr>
        <w:t>件，不予公开</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lang w:eastAsia="zh-CN"/>
          <w14:textFill>
            <w14:solidFill>
              <w14:schemeClr w14:val="tx1"/>
            </w14:solidFill>
          </w14:textFill>
        </w:rPr>
        <w:t>件，本机关不掌握相关政府信息的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lang w:eastAsia="zh-CN"/>
          <w14:textFill>
            <w14:solidFill>
              <w14:schemeClr w14:val="tx1"/>
            </w14:solidFill>
          </w14:textFill>
        </w:rPr>
        <w:t>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3年相比，受理数量减少12件。因信息公开引起的行政复议1件，复议结果为纠正。</w:t>
      </w:r>
    </w:p>
    <w:p w14:paraId="6652B52E">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600" w:lineRule="exact"/>
        <w:ind w:left="645" w:leftChars="0" w:right="0" w:rightChars="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（三）强化信息管理</w:t>
      </w:r>
    </w:p>
    <w:p w14:paraId="56B44617">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cs="仿宋_GB2312"/>
          <w:sz w:val="32"/>
          <w:szCs w:val="32"/>
          <w:lang w:val="en-US" w:eastAsia="zh-CN"/>
        </w:rPr>
        <w:t>贯彻落实信息公开相关政策，严格落实信息发布“三审三校”制度，加大信息公开力度，及时公开年度预算决算、政务服务办理情况等信息；</w:t>
      </w:r>
      <w:r>
        <w:rPr>
          <w:rFonts w:hint="eastAsia" w:ascii="仿宋_GB2312" w:hAnsi="仿宋_GB2312" w:eastAsia="仿宋_GB2312" w:cs="仿宋_GB2312"/>
          <w:sz w:val="32"/>
          <w:szCs w:val="32"/>
          <w:lang w:eastAsia="zh-CN"/>
        </w:rPr>
        <w:t>全面梳理门户网站政务公开目录，</w:t>
      </w:r>
      <w:r>
        <w:rPr>
          <w:rFonts w:hint="eastAsia" w:ascii="仿宋_GB2312" w:hAnsi="仿宋_GB2312" w:eastAsia="仿宋_GB2312" w:cs="仿宋_GB2312"/>
          <w:sz w:val="32"/>
          <w:szCs w:val="32"/>
          <w:lang w:val="en-US" w:eastAsia="zh-CN"/>
        </w:rPr>
        <w:t>及时更新、细化优化主动公开基本目录；全面评估清理历年行政规范性文件，及时更新文件有效性，确保数据内容准确、公众查询便利。</w:t>
      </w:r>
    </w:p>
    <w:p w14:paraId="7274CF1B">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600" w:lineRule="exact"/>
        <w:ind w:left="645" w:leftChars="0" w:right="0" w:rightChars="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（四）优化平台建设</w:t>
      </w:r>
    </w:p>
    <w:p w14:paraId="7623758A">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600" w:lineRule="exact"/>
        <w:ind w:left="0" w:leftChars="0" w:right="0" w:rightChars="0" w:firstLine="640" w:firstLineChars="200"/>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进一步完善政府门户网站政府信息公开平台，使政府信息公开平台逐步规范合理、运作有序。此外，我局在门户网站突出完善和管理好各个栏目，加强政务公开工作，极大地完善了政府信息公开平台建设。</w:t>
      </w:r>
    </w:p>
    <w:p w14:paraId="449F74E9">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600" w:lineRule="exact"/>
        <w:ind w:left="645" w:leftChars="0" w:right="0" w:rightChars="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（五）强化监督保障</w:t>
      </w:r>
    </w:p>
    <w:p w14:paraId="215CFA0B">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3"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b/>
          <w:bCs/>
          <w:sz w:val="32"/>
          <w:szCs w:val="32"/>
          <w:lang w:val="en-US" w:eastAsia="zh-CN"/>
        </w:rPr>
        <w:t>一是</w:t>
      </w:r>
      <w:r>
        <w:rPr>
          <w:rFonts w:hint="eastAsia" w:ascii="仿宋_GB2312" w:eastAsia="仿宋_GB2312" w:cs="仿宋_GB2312"/>
          <w:sz w:val="32"/>
          <w:szCs w:val="32"/>
          <w:lang w:val="en-US" w:eastAsia="zh-CN"/>
        </w:rPr>
        <w:t>加强组织领导。及时调整政务公开工作领导小组，狠抓职责任务落实。</w:t>
      </w:r>
      <w:r>
        <w:rPr>
          <w:rFonts w:hint="eastAsia" w:ascii="仿宋_GB2312" w:eastAsia="仿宋_GB2312" w:cs="仿宋_GB2312"/>
          <w:b/>
          <w:bCs/>
          <w:sz w:val="32"/>
          <w:szCs w:val="32"/>
          <w:lang w:val="en-US" w:eastAsia="zh-CN"/>
        </w:rPr>
        <w:t>二是</w:t>
      </w:r>
      <w:r>
        <w:rPr>
          <w:rFonts w:hint="eastAsia" w:ascii="仿宋_GB2312" w:eastAsia="仿宋_GB2312" w:cs="仿宋_GB2312"/>
          <w:sz w:val="32"/>
          <w:szCs w:val="32"/>
          <w:lang w:val="en-US" w:eastAsia="zh-CN"/>
        </w:rPr>
        <w:t>强化制度建设。修订完善信息公开工作制度，制发政务公开年度重点工作、任务分工方案、考评方案，夯实政务公开工作制度基础。</w:t>
      </w:r>
      <w:r>
        <w:rPr>
          <w:rFonts w:hint="eastAsia" w:ascii="仿宋_GB2312" w:eastAsia="仿宋_GB2312" w:cs="仿宋_GB2312"/>
          <w:b/>
          <w:bCs/>
          <w:sz w:val="32"/>
          <w:szCs w:val="32"/>
          <w:lang w:val="en-US" w:eastAsia="zh-CN"/>
        </w:rPr>
        <w:t>三是</w:t>
      </w:r>
      <w:r>
        <w:rPr>
          <w:rFonts w:hint="eastAsia" w:ascii="仿宋_GB2312" w:eastAsia="仿宋_GB2312" w:cs="仿宋_GB2312"/>
          <w:sz w:val="32"/>
          <w:szCs w:val="32"/>
          <w:lang w:val="en-US" w:eastAsia="zh-CN"/>
        </w:rPr>
        <w:t>加强工作部署。强化责任意识，坚持与业务工作同部署、同检查、同考核。</w:t>
      </w:r>
      <w:r>
        <w:rPr>
          <w:rFonts w:hint="eastAsia" w:ascii="仿宋_GB2312" w:eastAsia="仿宋_GB2312" w:cs="仿宋_GB2312"/>
          <w:b/>
          <w:bCs/>
          <w:sz w:val="32"/>
          <w:szCs w:val="32"/>
          <w:lang w:val="en-US" w:eastAsia="zh-CN"/>
        </w:rPr>
        <w:t>四是</w:t>
      </w:r>
      <w:r>
        <w:rPr>
          <w:rFonts w:hint="eastAsia" w:ascii="仿宋_GB2312" w:eastAsia="仿宋_GB2312" w:cs="仿宋_GB2312"/>
          <w:sz w:val="32"/>
          <w:szCs w:val="32"/>
          <w:lang w:val="en-US" w:eastAsia="zh-CN"/>
        </w:rPr>
        <w:t>强化工作专题培训。加强相关人员的业务知识培训，切实提升信息公开工作能力。</w:t>
      </w:r>
    </w:p>
    <w:p w14:paraId="617DB837">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firstLine="640" w:firstLineChars="200"/>
        <w:textAlignment w:val="auto"/>
        <w:rPr>
          <w:rFonts w:hint="eastAsia" w:ascii="仿宋_GB2312" w:eastAsia="仿宋_GB2312" w:cs="仿宋_GB2312"/>
          <w:sz w:val="32"/>
          <w:szCs w:val="32"/>
          <w:lang w:val="en-US" w:eastAsia="zh-CN"/>
        </w:rPr>
      </w:pPr>
      <w:r>
        <w:rPr>
          <w:rFonts w:hint="default" w:ascii="仿宋_GB2312" w:hAnsi="仿宋_GB2312" w:eastAsia="仿宋_GB2312" w:cs="仿宋_GB2312"/>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年，市发改局未发生因政府信息公开审查不当或保密审查机构未履行保密审查职责而引起的失泄密情况。</w:t>
      </w:r>
      <w:r>
        <w:rPr>
          <w:rFonts w:hint="default" w:ascii="仿宋_GB2312" w:hAnsi="仿宋_GB2312" w:eastAsia="仿宋_GB2312" w:cs="仿宋_GB2312"/>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年度未进行社会评议，未发生责任追究情况。</w:t>
      </w:r>
    </w:p>
    <w:p w14:paraId="7551CA2E">
      <w:pPr>
        <w:pStyle w:val="4"/>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Autospacing="0" w:line="600" w:lineRule="exact"/>
        <w:ind w:left="0" w:firstLine="640" w:firstLineChars="200"/>
        <w:textAlignment w:val="auto"/>
        <w:rPr>
          <w:rFonts w:hint="eastAsia" w:ascii="黑体" w:hAnsi="宋体" w:eastAsia="黑体" w:cs="黑体"/>
          <w:spacing w:val="0"/>
          <w:sz w:val="32"/>
          <w:szCs w:val="32"/>
          <w:shd w:val="clear" w:fill="FFFFFF"/>
        </w:rPr>
      </w:pPr>
      <w:r>
        <w:rPr>
          <w:rFonts w:hint="eastAsia" w:ascii="黑体" w:hAnsi="宋体" w:eastAsia="黑体" w:cs="黑体"/>
          <w:spacing w:val="0"/>
          <w:sz w:val="32"/>
          <w:szCs w:val="32"/>
          <w:shd w:val="clear" w:fill="FFFFFF"/>
        </w:rPr>
        <w:t>主动公开政府信息情况</w:t>
      </w:r>
    </w:p>
    <w:tbl>
      <w:tblPr>
        <w:tblStyle w:val="5"/>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2114"/>
        <w:gridCol w:w="2129"/>
        <w:gridCol w:w="2129"/>
        <w:gridCol w:w="2144"/>
      </w:tblGrid>
      <w:tr w14:paraId="3465593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510" w:hRule="atLeast"/>
          <w:jc w:val="center"/>
        </w:trPr>
        <w:tc>
          <w:tcPr>
            <w:tcW w:w="8520"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14:paraId="0D6A26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黑体" w:hAnsi="宋体" w:eastAsia="黑体" w:cs="黑体"/>
                <w:sz w:val="21"/>
                <w:szCs w:val="21"/>
              </w:rPr>
              <w:t>第二十条第（一）项</w:t>
            </w:r>
          </w:p>
        </w:tc>
      </w:tr>
      <w:tr w14:paraId="21C1D3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885" w:hRule="atLeast"/>
          <w:jc w:val="center"/>
        </w:trPr>
        <w:tc>
          <w:tcPr>
            <w:tcW w:w="21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93AE5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仿宋_GB2312" w:eastAsia="仿宋_GB2312" w:cs="仿宋_GB2312"/>
                <w:sz w:val="21"/>
                <w:szCs w:val="21"/>
              </w:rPr>
              <w:t>信息内容</w:t>
            </w:r>
          </w:p>
        </w:tc>
        <w:tc>
          <w:tcPr>
            <w:tcW w:w="21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9D102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本年制发件数</w:t>
            </w:r>
          </w:p>
        </w:tc>
        <w:tc>
          <w:tcPr>
            <w:tcW w:w="21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91998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本年废止件数</w:t>
            </w: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22D32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现行有效件数</w:t>
            </w:r>
          </w:p>
        </w:tc>
      </w:tr>
      <w:tr w14:paraId="4183D8E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jc w:val="center"/>
        </w:trPr>
        <w:tc>
          <w:tcPr>
            <w:tcW w:w="21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F114C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仿宋_GB2312" w:eastAsia="仿宋_GB2312" w:cs="仿宋_GB2312"/>
                <w:sz w:val="21"/>
                <w:szCs w:val="21"/>
              </w:rPr>
              <w:t>规章</w:t>
            </w: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968F9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DA16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1"/>
                <w:szCs w:val="21"/>
                <w:lang w:eastAsia="zh-CN"/>
              </w:rPr>
            </w:pPr>
            <w:r>
              <w:rPr>
                <w:rFonts w:hint="default" w:ascii="Times New Roman" w:hAnsi="Times New Roman" w:eastAsia="仿宋_GB2312" w:cs="Times New Roman"/>
                <w:sz w:val="21"/>
                <w:szCs w:val="21"/>
                <w:lang w:val="en-US" w:eastAsia="zh-CN"/>
              </w:rPr>
              <w:t>0</w:t>
            </w: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B4CCA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1"/>
                <w:szCs w:val="21"/>
                <w:lang w:eastAsia="zh-CN"/>
              </w:rPr>
            </w:pPr>
            <w:r>
              <w:rPr>
                <w:rFonts w:hint="default" w:ascii="Times New Roman" w:hAnsi="Times New Roman" w:eastAsia="仿宋_GB2312" w:cs="Times New Roman"/>
                <w:sz w:val="21"/>
                <w:szCs w:val="21"/>
                <w:lang w:val="en-US" w:eastAsia="zh-CN"/>
              </w:rPr>
              <w:t>0</w:t>
            </w:r>
          </w:p>
        </w:tc>
      </w:tr>
      <w:tr w14:paraId="2E2352E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80" w:hRule="atLeast"/>
          <w:jc w:val="center"/>
        </w:trPr>
        <w:tc>
          <w:tcPr>
            <w:tcW w:w="21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CC180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仿宋_GB2312" w:eastAsia="仿宋_GB2312" w:cs="仿宋_GB2312"/>
                <w:sz w:val="21"/>
                <w:szCs w:val="21"/>
              </w:rPr>
              <w:t>行政规范性文件</w:t>
            </w: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A93E4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1"/>
                <w:szCs w:val="21"/>
                <w:lang w:eastAsia="zh-CN"/>
              </w:rPr>
            </w:pPr>
            <w:r>
              <w:rPr>
                <w:rFonts w:hint="default" w:ascii="Times New Roman" w:hAnsi="Times New Roman" w:eastAsia="仿宋_GB2312" w:cs="Times New Roman"/>
                <w:sz w:val="21"/>
                <w:szCs w:val="21"/>
                <w:lang w:val="en-US" w:eastAsia="zh-CN"/>
              </w:rPr>
              <w:t>0</w:t>
            </w: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809FA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1"/>
                <w:szCs w:val="21"/>
                <w:lang w:eastAsia="zh-CN"/>
              </w:rPr>
            </w:pPr>
            <w:r>
              <w:rPr>
                <w:rFonts w:hint="default" w:ascii="Times New Roman" w:hAnsi="Times New Roman" w:eastAsia="仿宋_GB2312" w:cs="Times New Roman"/>
                <w:sz w:val="21"/>
                <w:szCs w:val="21"/>
                <w:lang w:val="en-US" w:eastAsia="zh-CN"/>
              </w:rPr>
              <w:t>0</w:t>
            </w: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036A6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1"/>
                <w:szCs w:val="21"/>
                <w:lang w:eastAsia="zh-CN"/>
              </w:rPr>
            </w:pPr>
            <w:r>
              <w:rPr>
                <w:rFonts w:hint="default" w:ascii="Times New Roman" w:hAnsi="Times New Roman" w:eastAsia="仿宋_GB2312" w:cs="Times New Roman"/>
                <w:sz w:val="21"/>
                <w:szCs w:val="21"/>
                <w:lang w:val="en-US" w:eastAsia="zh-CN"/>
              </w:rPr>
              <w:t>0</w:t>
            </w:r>
          </w:p>
        </w:tc>
      </w:tr>
      <w:tr w14:paraId="63D3482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95" w:hRule="atLeast"/>
          <w:jc w:val="center"/>
        </w:trPr>
        <w:tc>
          <w:tcPr>
            <w:tcW w:w="8520"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14:paraId="5506CC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黑体" w:hAnsi="宋体" w:eastAsia="黑体" w:cs="黑体"/>
                <w:sz w:val="21"/>
                <w:szCs w:val="21"/>
              </w:rPr>
              <w:t>第二十条第（五）项</w:t>
            </w:r>
          </w:p>
        </w:tc>
      </w:tr>
      <w:tr w14:paraId="0B8145F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45" w:hRule="atLeast"/>
          <w:jc w:val="center"/>
        </w:trPr>
        <w:tc>
          <w:tcPr>
            <w:tcW w:w="21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4B57D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仿宋_GB2312" w:eastAsia="仿宋_GB2312" w:cs="仿宋_GB2312"/>
                <w:sz w:val="21"/>
                <w:szCs w:val="21"/>
              </w:rPr>
              <w:t>信息内容</w:t>
            </w:r>
          </w:p>
        </w:tc>
        <w:tc>
          <w:tcPr>
            <w:tcW w:w="6390" w:type="dxa"/>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C7ACD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仿宋_GB2312" w:eastAsia="仿宋_GB2312" w:cs="仿宋_GB2312"/>
                <w:sz w:val="21"/>
                <w:szCs w:val="21"/>
              </w:rPr>
              <w:t>本年处理决定数量</w:t>
            </w:r>
          </w:p>
        </w:tc>
      </w:tr>
      <w:tr w14:paraId="2727DC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jc w:val="center"/>
        </w:trPr>
        <w:tc>
          <w:tcPr>
            <w:tcW w:w="21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FF87F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仿宋_GB2312" w:eastAsia="仿宋_GB2312" w:cs="仿宋_GB2312"/>
                <w:sz w:val="21"/>
                <w:szCs w:val="21"/>
              </w:rPr>
              <w:t>行政许可</w:t>
            </w:r>
          </w:p>
        </w:tc>
        <w:tc>
          <w:tcPr>
            <w:tcW w:w="639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FB1FF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eastAsiaTheme="minorEastAsia"/>
                <w:sz w:val="21"/>
                <w:szCs w:val="21"/>
                <w:lang w:eastAsia="zh-CN"/>
              </w:rPr>
            </w:pPr>
            <w:r>
              <w:rPr>
                <w:rFonts w:hint="default" w:ascii="Times New Roman" w:hAnsi="Times New Roman" w:eastAsia="仿宋_GB2312" w:cs="Times New Roman"/>
                <w:sz w:val="21"/>
                <w:szCs w:val="21"/>
                <w:lang w:val="en-US" w:eastAsia="zh-CN"/>
              </w:rPr>
              <w:t>0</w:t>
            </w:r>
          </w:p>
        </w:tc>
      </w:tr>
      <w:tr w14:paraId="58C974C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55" w:hRule="atLeast"/>
          <w:jc w:val="center"/>
        </w:trPr>
        <w:tc>
          <w:tcPr>
            <w:tcW w:w="8520" w:type="dxa"/>
            <w:gridSpan w:val="4"/>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5D24A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黑体" w:hAnsi="宋体" w:eastAsia="黑体" w:cs="黑体"/>
                <w:sz w:val="21"/>
                <w:szCs w:val="21"/>
              </w:rPr>
              <w:t>第二十条第（六）项</w:t>
            </w:r>
          </w:p>
        </w:tc>
      </w:tr>
      <w:tr w14:paraId="40C4603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20" w:hRule="atLeast"/>
          <w:jc w:val="center"/>
        </w:trPr>
        <w:tc>
          <w:tcPr>
            <w:tcW w:w="2115" w:type="dxa"/>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14:paraId="4FEB33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仿宋_GB2312" w:eastAsia="仿宋_GB2312" w:cs="仿宋_GB2312"/>
                <w:sz w:val="21"/>
                <w:szCs w:val="21"/>
              </w:rPr>
              <w:t>信息内容</w:t>
            </w:r>
          </w:p>
        </w:tc>
        <w:tc>
          <w:tcPr>
            <w:tcW w:w="6390" w:type="dxa"/>
            <w:gridSpan w:val="3"/>
            <w:tcBorders>
              <w:top w:val="nil"/>
              <w:left w:val="nil"/>
              <w:bottom w:val="single" w:color="auto" w:sz="6" w:space="0"/>
              <w:right w:val="single" w:color="auto" w:sz="6" w:space="0"/>
            </w:tcBorders>
            <w:shd w:val="clear" w:color="auto" w:fill="C6D9F1"/>
            <w:tcMar>
              <w:top w:w="0" w:type="dxa"/>
              <w:left w:w="105" w:type="dxa"/>
              <w:bottom w:w="0" w:type="dxa"/>
              <w:right w:w="105" w:type="dxa"/>
            </w:tcMar>
            <w:vAlign w:val="center"/>
          </w:tcPr>
          <w:p w14:paraId="67A706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仿宋_GB2312" w:eastAsia="仿宋_GB2312" w:cs="仿宋_GB2312"/>
                <w:sz w:val="21"/>
                <w:szCs w:val="21"/>
              </w:rPr>
              <w:t>本年处理决定数量</w:t>
            </w:r>
          </w:p>
        </w:tc>
      </w:tr>
      <w:tr w14:paraId="0EA3D2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45" w:hRule="atLeast"/>
          <w:jc w:val="center"/>
        </w:trPr>
        <w:tc>
          <w:tcPr>
            <w:tcW w:w="21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8EB56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仿宋_GB2312" w:eastAsia="仿宋_GB2312" w:cs="仿宋_GB2312"/>
                <w:sz w:val="21"/>
                <w:szCs w:val="21"/>
              </w:rPr>
              <w:t>行政处罚</w:t>
            </w:r>
          </w:p>
        </w:tc>
        <w:tc>
          <w:tcPr>
            <w:tcW w:w="639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16AA1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eastAsiaTheme="minorEastAsia"/>
                <w:sz w:val="21"/>
                <w:szCs w:val="21"/>
                <w:lang w:val="en-US" w:eastAsia="zh-CN"/>
              </w:rPr>
            </w:pPr>
            <w:r>
              <w:rPr>
                <w:rFonts w:hint="eastAsia" w:ascii="Times New Roman" w:hAnsi="Times New Roman" w:eastAsia="仿宋_GB2312" w:cs="Times New Roman"/>
                <w:sz w:val="21"/>
                <w:szCs w:val="21"/>
                <w:lang w:val="en-US" w:eastAsia="zh-CN"/>
              </w:rPr>
              <w:t>20</w:t>
            </w:r>
          </w:p>
        </w:tc>
      </w:tr>
      <w:tr w14:paraId="15372DF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35" w:hRule="atLeast"/>
          <w:jc w:val="center"/>
        </w:trPr>
        <w:tc>
          <w:tcPr>
            <w:tcW w:w="21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CC234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仿宋_GB2312" w:eastAsia="仿宋_GB2312" w:cs="仿宋_GB2312"/>
                <w:sz w:val="21"/>
                <w:szCs w:val="21"/>
              </w:rPr>
              <w:t>行政强制</w:t>
            </w:r>
          </w:p>
        </w:tc>
        <w:tc>
          <w:tcPr>
            <w:tcW w:w="639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32FA4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sz w:val="21"/>
                <w:szCs w:val="21"/>
              </w:rPr>
            </w:pPr>
            <w:r>
              <w:rPr>
                <w:rFonts w:hint="default" w:ascii="Times New Roman" w:hAnsi="Times New Roman" w:eastAsia="仿宋_GB2312" w:cs="Times New Roman"/>
                <w:sz w:val="21"/>
                <w:szCs w:val="21"/>
              </w:rPr>
              <w:t>0</w:t>
            </w:r>
          </w:p>
        </w:tc>
      </w:tr>
      <w:tr w14:paraId="2E2C459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20" w:hRule="atLeast"/>
          <w:jc w:val="center"/>
        </w:trPr>
        <w:tc>
          <w:tcPr>
            <w:tcW w:w="8520" w:type="dxa"/>
            <w:gridSpan w:val="4"/>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BAFB8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黑体" w:hAnsi="宋体" w:eastAsia="黑体" w:cs="黑体"/>
                <w:sz w:val="21"/>
                <w:szCs w:val="21"/>
              </w:rPr>
              <w:t>第二十条第（八）项</w:t>
            </w:r>
          </w:p>
        </w:tc>
      </w:tr>
      <w:tr w14:paraId="67E942B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80" w:hRule="atLeast"/>
          <w:jc w:val="center"/>
        </w:trPr>
        <w:tc>
          <w:tcPr>
            <w:tcW w:w="2115" w:type="dxa"/>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14:paraId="75FAD0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仿宋_GB2312" w:eastAsia="仿宋_GB2312" w:cs="仿宋_GB2312"/>
                <w:sz w:val="21"/>
                <w:szCs w:val="21"/>
              </w:rPr>
              <w:t>信息内容</w:t>
            </w:r>
          </w:p>
        </w:tc>
        <w:tc>
          <w:tcPr>
            <w:tcW w:w="6390" w:type="dxa"/>
            <w:gridSpan w:val="3"/>
            <w:tcBorders>
              <w:top w:val="nil"/>
              <w:left w:val="nil"/>
              <w:bottom w:val="single" w:color="auto" w:sz="6" w:space="0"/>
              <w:right w:val="single" w:color="auto" w:sz="6" w:space="0"/>
            </w:tcBorders>
            <w:shd w:val="clear" w:color="auto" w:fill="C6D9F1"/>
            <w:tcMar>
              <w:top w:w="0" w:type="dxa"/>
              <w:left w:w="105" w:type="dxa"/>
              <w:bottom w:w="0" w:type="dxa"/>
              <w:right w:w="105" w:type="dxa"/>
            </w:tcMar>
            <w:vAlign w:val="center"/>
          </w:tcPr>
          <w:p w14:paraId="0B021D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仿宋_GB2312" w:eastAsia="仿宋_GB2312" w:cs="仿宋_GB2312"/>
                <w:sz w:val="21"/>
                <w:szCs w:val="21"/>
              </w:rPr>
              <w:t>本年收费金额（单位：万元）</w:t>
            </w:r>
          </w:p>
        </w:tc>
      </w:tr>
      <w:tr w14:paraId="0370620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30" w:hRule="atLeast"/>
          <w:jc w:val="center"/>
        </w:trPr>
        <w:tc>
          <w:tcPr>
            <w:tcW w:w="21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69A58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仿宋_GB2312" w:eastAsia="仿宋_GB2312" w:cs="仿宋_GB2312"/>
                <w:sz w:val="21"/>
                <w:szCs w:val="21"/>
              </w:rPr>
              <w:t>行政事业性收费</w:t>
            </w:r>
          </w:p>
        </w:tc>
        <w:tc>
          <w:tcPr>
            <w:tcW w:w="639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F9756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default" w:ascii="Times New Roman" w:hAnsi="Times New Roman" w:eastAsia="仿宋_GB2312" w:cs="Times New Roman"/>
                <w:sz w:val="21"/>
                <w:szCs w:val="21"/>
              </w:rPr>
              <w:t>0</w:t>
            </w:r>
          </w:p>
        </w:tc>
      </w:tr>
    </w:tbl>
    <w:p w14:paraId="140EA9F2">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600" w:lineRule="exact"/>
        <w:ind w:leftChars="200" w:right="0" w:rightChars="0"/>
        <w:textAlignment w:val="auto"/>
        <w:rPr>
          <w:rFonts w:hint="eastAsia" w:ascii="黑体" w:hAnsi="宋体" w:eastAsia="黑体" w:cs="黑体"/>
          <w:spacing w:val="0"/>
          <w:sz w:val="32"/>
          <w:szCs w:val="32"/>
          <w:shd w:val="clear" w:fill="FFFFFF"/>
        </w:rPr>
      </w:pPr>
    </w:p>
    <w:p w14:paraId="13FE5CEB">
      <w:pPr>
        <w:pStyle w:val="4"/>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Autospacing="0" w:line="600" w:lineRule="exact"/>
        <w:ind w:left="0" w:firstLine="640" w:firstLineChars="200"/>
        <w:textAlignment w:val="auto"/>
        <w:rPr>
          <w:rFonts w:hint="eastAsia" w:ascii="黑体" w:hAnsi="宋体" w:eastAsia="黑体" w:cs="黑体"/>
          <w:spacing w:val="0"/>
          <w:sz w:val="32"/>
          <w:szCs w:val="32"/>
          <w:shd w:val="clear" w:fill="FFFFFF"/>
        </w:rPr>
      </w:pPr>
      <w:r>
        <w:rPr>
          <w:rFonts w:hint="eastAsia" w:ascii="黑体" w:hAnsi="宋体" w:eastAsia="黑体" w:cs="黑体"/>
          <w:spacing w:val="0"/>
          <w:sz w:val="32"/>
          <w:szCs w:val="32"/>
          <w:shd w:val="clear" w:fill="FFFFFF"/>
        </w:rPr>
        <w:t>收到和处理政府信息公开申请情况</w:t>
      </w:r>
    </w:p>
    <w:tbl>
      <w:tblPr>
        <w:tblStyle w:val="5"/>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630"/>
        <w:gridCol w:w="1206"/>
        <w:gridCol w:w="2048"/>
        <w:gridCol w:w="774"/>
        <w:gridCol w:w="568"/>
        <w:gridCol w:w="5"/>
        <w:gridCol w:w="559"/>
        <w:gridCol w:w="744"/>
        <w:gridCol w:w="699"/>
        <w:gridCol w:w="550"/>
        <w:gridCol w:w="733"/>
      </w:tblGrid>
      <w:tr w14:paraId="2AABA06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jc w:val="center"/>
        </w:trPr>
        <w:tc>
          <w:tcPr>
            <w:tcW w:w="3973"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BA902EE">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楷体_GB2312" w:hAnsi="黑体" w:eastAsia="楷体_GB2312"/>
                <w:color w:val="000000" w:themeColor="text1"/>
                <w:kern w:val="0"/>
                <w:sz w:val="21"/>
                <w:szCs w:val="21"/>
                <w14:textFill>
                  <w14:solidFill>
                    <w14:schemeClr w14:val="tx1"/>
                  </w14:solidFill>
                </w14:textFill>
              </w:rPr>
            </w:pPr>
            <w:r>
              <w:rPr>
                <w:rFonts w:hint="eastAsia" w:ascii="楷体_GB2312" w:hAnsi="黑体" w:eastAsia="楷体_GB2312"/>
                <w:color w:val="000000" w:themeColor="text1"/>
                <w:kern w:val="0"/>
                <w:sz w:val="21"/>
                <w:szCs w:val="21"/>
                <w14:textFill>
                  <w14:solidFill>
                    <w14:schemeClr w14:val="tx1"/>
                  </w14:solidFill>
                </w14:textFill>
              </w:rPr>
              <w:t>（本列数据的勾稽关系为：第一项加第二项之和，</w:t>
            </w:r>
          </w:p>
          <w:p w14:paraId="4F99347F">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themeColor="text1"/>
                <w:sz w:val="21"/>
                <w:szCs w:val="21"/>
                <w14:textFill>
                  <w14:solidFill>
                    <w14:schemeClr w14:val="tx1"/>
                  </w14:solidFill>
                </w14:textFill>
              </w:rPr>
            </w:pPr>
            <w:r>
              <w:rPr>
                <w:rFonts w:hint="eastAsia" w:ascii="楷体_GB2312" w:hAnsi="黑体" w:eastAsia="楷体_GB2312"/>
                <w:color w:val="000000" w:themeColor="text1"/>
                <w:kern w:val="0"/>
                <w:sz w:val="21"/>
                <w:szCs w:val="21"/>
                <w14:textFill>
                  <w14:solidFill>
                    <w14:schemeClr w14:val="tx1"/>
                  </w14:solidFill>
                </w14:textFill>
              </w:rPr>
              <w:t>等于第三项加第四项之和）</w:t>
            </w:r>
          </w:p>
        </w:tc>
        <w:tc>
          <w:tcPr>
            <w:tcW w:w="4741" w:type="dxa"/>
            <w:gridSpan w:val="8"/>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3C9B26F">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申请人情况</w:t>
            </w:r>
          </w:p>
        </w:tc>
      </w:tr>
      <w:tr w14:paraId="59A76B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jc w:val="center"/>
        </w:trPr>
        <w:tc>
          <w:tcPr>
            <w:tcW w:w="3973" w:type="dxa"/>
            <w:gridSpan w:val="3"/>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9325108">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themeColor="text1"/>
                <w:sz w:val="21"/>
                <w:szCs w:val="21"/>
                <w14:textFill>
                  <w14:solidFill>
                    <w14:schemeClr w14:val="tx1"/>
                  </w14:solidFill>
                </w14:textFill>
              </w:rPr>
            </w:pPr>
          </w:p>
        </w:tc>
        <w:tc>
          <w:tcPr>
            <w:tcW w:w="79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5D7DE0D">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自然人</w:t>
            </w:r>
          </w:p>
        </w:tc>
        <w:tc>
          <w:tcPr>
            <w:tcW w:w="3202" w:type="dxa"/>
            <w:gridSpan w:val="6"/>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6C34EFC">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法人或其他组织</w:t>
            </w:r>
          </w:p>
        </w:tc>
        <w:tc>
          <w:tcPr>
            <w:tcW w:w="748"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526FEB6">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总计</w:t>
            </w:r>
          </w:p>
        </w:tc>
      </w:tr>
      <w:tr w14:paraId="3DED94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90" w:hRule="atLeast"/>
          <w:jc w:val="center"/>
        </w:trPr>
        <w:tc>
          <w:tcPr>
            <w:tcW w:w="3973" w:type="dxa"/>
            <w:gridSpan w:val="3"/>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BFBE8EA">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themeColor="text1"/>
                <w:sz w:val="21"/>
                <w:szCs w:val="21"/>
                <w14:textFill>
                  <w14:solidFill>
                    <w14:schemeClr w14:val="tx1"/>
                  </w14:solidFill>
                </w14:textFill>
              </w:rPr>
            </w:pPr>
          </w:p>
        </w:tc>
        <w:tc>
          <w:tcPr>
            <w:tcW w:w="79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56AB4D5">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themeColor="text1"/>
                <w:sz w:val="21"/>
                <w:szCs w:val="21"/>
                <w14:textFill>
                  <w14:solidFill>
                    <w14:schemeClr w14:val="tx1"/>
                  </w14:solidFill>
                </w14:textFill>
              </w:rPr>
            </w:pP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7AB07A1">
            <w:pPr>
              <w:keepNext w:val="0"/>
              <w:keepLines w:val="0"/>
              <w:pageBreakBefore w:val="0"/>
              <w:widowControl/>
              <w:kinsoku/>
              <w:wordWrap/>
              <w:overflowPunct/>
              <w:topLinePunct w:val="0"/>
              <w:autoSpaceDE/>
              <w:autoSpaceDN/>
              <w:bidi w:val="0"/>
              <w:adjustRightInd/>
              <w:snapToGrid/>
              <w:spacing w:line="600" w:lineRule="exact"/>
              <w:ind w:left="-106" w:leftChars="-51" w:right="-107" w:rightChars="-51" w:hanging="1" w:firstLineChars="0"/>
              <w:jc w:val="center"/>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商业企业</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BF608BE">
            <w:pPr>
              <w:keepNext w:val="0"/>
              <w:keepLines w:val="0"/>
              <w:pageBreakBefore w:val="0"/>
              <w:widowControl/>
              <w:kinsoku/>
              <w:wordWrap/>
              <w:overflowPunct/>
              <w:topLinePunct w:val="0"/>
              <w:autoSpaceDE/>
              <w:autoSpaceDN/>
              <w:bidi w:val="0"/>
              <w:adjustRightInd/>
              <w:snapToGrid/>
              <w:spacing w:line="600" w:lineRule="exact"/>
              <w:ind w:left="-107" w:leftChars="-51" w:right="-107" w:rightChars="-51"/>
              <w:jc w:val="center"/>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科研机构</w:t>
            </w:r>
          </w:p>
        </w:tc>
        <w:tc>
          <w:tcPr>
            <w:tcW w:w="76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D548706">
            <w:pPr>
              <w:keepNext w:val="0"/>
              <w:keepLines w:val="0"/>
              <w:pageBreakBefore w:val="0"/>
              <w:widowControl/>
              <w:kinsoku/>
              <w:wordWrap/>
              <w:overflowPunct/>
              <w:topLinePunct w:val="0"/>
              <w:autoSpaceDE/>
              <w:autoSpaceDN/>
              <w:bidi w:val="0"/>
              <w:adjustRightInd/>
              <w:snapToGrid/>
              <w:spacing w:line="600" w:lineRule="exact"/>
              <w:ind w:left="-107" w:leftChars="-51" w:right="-107" w:rightChars="-51"/>
              <w:jc w:val="center"/>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社会公益组织</w:t>
            </w:r>
          </w:p>
        </w:tc>
        <w:tc>
          <w:tcPr>
            <w:tcW w:w="71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25915B5">
            <w:pPr>
              <w:keepNext w:val="0"/>
              <w:keepLines w:val="0"/>
              <w:pageBreakBefore w:val="0"/>
              <w:widowControl/>
              <w:kinsoku/>
              <w:wordWrap/>
              <w:overflowPunct/>
              <w:topLinePunct w:val="0"/>
              <w:autoSpaceDE/>
              <w:autoSpaceDN/>
              <w:bidi w:val="0"/>
              <w:adjustRightInd/>
              <w:snapToGrid/>
              <w:spacing w:line="600" w:lineRule="exact"/>
              <w:ind w:left="-106" w:leftChars="-51" w:right="-107" w:rightChars="-51" w:hanging="1" w:firstLineChars="0"/>
              <w:jc w:val="center"/>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法律服务机构</w:t>
            </w:r>
          </w:p>
        </w:tc>
        <w:tc>
          <w:tcPr>
            <w:tcW w:w="56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AAA6060">
            <w:pPr>
              <w:keepNext w:val="0"/>
              <w:keepLines w:val="0"/>
              <w:pageBreakBefore w:val="0"/>
              <w:widowControl/>
              <w:kinsoku/>
              <w:wordWrap/>
              <w:overflowPunct/>
              <w:topLinePunct w:val="0"/>
              <w:autoSpaceDE/>
              <w:autoSpaceDN/>
              <w:bidi w:val="0"/>
              <w:adjustRightInd/>
              <w:snapToGrid/>
              <w:spacing w:line="600" w:lineRule="exact"/>
              <w:ind w:left="-63" w:leftChars="-30" w:right="-134" w:rightChars="-64"/>
              <w:jc w:val="center"/>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其他</w:t>
            </w:r>
          </w:p>
        </w:tc>
        <w:tc>
          <w:tcPr>
            <w:tcW w:w="748"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1118C9A">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themeColor="text1"/>
                <w:sz w:val="21"/>
                <w:szCs w:val="21"/>
                <w14:textFill>
                  <w14:solidFill>
                    <w14:schemeClr w14:val="tx1"/>
                  </w14:solidFill>
                </w14:textFill>
              </w:rPr>
            </w:pPr>
          </w:p>
        </w:tc>
      </w:tr>
      <w:tr w14:paraId="4626D3A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3973"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E6C561D">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一、本年新收政府信息公开申请数量</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81A64ED">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eastAsiaTheme="minorEastAsia"/>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22</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649AFD7">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39213F4">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76AB66">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109847">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D1232D2">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5DDE8D">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eastAsiaTheme="minorEastAsia"/>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22</w:t>
            </w:r>
          </w:p>
        </w:tc>
      </w:tr>
      <w:tr w14:paraId="047A77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3973"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A86C420">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二、上年结转政府信息公开申请数量</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4C19175">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88305F6">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75A60C1">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F67EC29">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033956C">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2829B33">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D3CC74F">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14:paraId="3C84535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63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B364D51">
            <w:pPr>
              <w:keepNext w:val="0"/>
              <w:keepLines w:val="0"/>
              <w:pageBreakBefore w:val="0"/>
              <w:widowControl/>
              <w:kinsoku/>
              <w:wordWrap/>
              <w:overflowPunct/>
              <w:topLinePunct w:val="0"/>
              <w:autoSpaceDE/>
              <w:autoSpaceDN/>
              <w:bidi w:val="0"/>
              <w:adjustRightInd/>
              <w:snapToGrid/>
              <w:spacing w:after="180" w:line="600" w:lineRule="exact"/>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三、本年度办理结果</w:t>
            </w:r>
          </w:p>
        </w:tc>
        <w:tc>
          <w:tcPr>
            <w:tcW w:w="3343"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97E1074">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（一）予以公开</w:t>
            </w:r>
          </w:p>
        </w:tc>
        <w:tc>
          <w:tcPr>
            <w:tcW w:w="79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40040A0">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eastAsiaTheme="minorEastAsia"/>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11</w:t>
            </w:r>
          </w:p>
        </w:tc>
        <w:tc>
          <w:tcPr>
            <w:tcW w:w="586"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4C8F2BD">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5969269">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5054ED9">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A78B75B">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F7F8079">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0975825">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eastAsiaTheme="minorEastAsia"/>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11</w:t>
            </w:r>
          </w:p>
        </w:tc>
      </w:tr>
      <w:tr w14:paraId="31045DD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705"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1678A42">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3343"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7FBE04B">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（二）部分公开（区分处理的，只计这一情形，不计其他情形）</w:t>
            </w:r>
          </w:p>
        </w:tc>
        <w:tc>
          <w:tcPr>
            <w:tcW w:w="79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8691E76">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6"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2973C49">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8D971FE">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5E939E5">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E592719">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62E5979">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5050CB7">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14:paraId="611C0F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61129BA">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B3966B0">
            <w:pPr>
              <w:keepNext w:val="0"/>
              <w:keepLines w:val="0"/>
              <w:pageBreakBefore w:val="0"/>
              <w:widowControl/>
              <w:kinsoku/>
              <w:wordWrap/>
              <w:overflowPunct/>
              <w:topLinePunct w:val="0"/>
              <w:autoSpaceDE/>
              <w:autoSpaceDN/>
              <w:bidi w:val="0"/>
              <w:adjustRightInd/>
              <w:snapToGrid/>
              <w:spacing w:line="600" w:lineRule="exact"/>
              <w:ind w:left="-107" w:leftChars="-51"/>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（三）不予公开</w:t>
            </w: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46F661A">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1</w:t>
            </w:r>
            <w:r>
              <w:rPr>
                <w:rFonts w:hint="eastAsia" w:ascii="仿宋_GB2312" w:hAnsi="黑体" w:eastAsia="仿宋_GB2312"/>
                <w:color w:val="000000" w:themeColor="text1"/>
                <w:kern w:val="0"/>
                <w:sz w:val="21"/>
                <w:szCs w:val="21"/>
                <w14:textFill>
                  <w14:solidFill>
                    <w14:schemeClr w14:val="tx1"/>
                  </w14:solidFill>
                </w14:textFill>
              </w:rPr>
              <w:t>.属于国家秘密</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32B747D">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F1A071A">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0AE295A">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FD58D59">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7B33B02">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F036B9">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487704D">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14:paraId="0970E9C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9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2B19C25">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F1ECEF5">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90D3DFC">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2</w:t>
            </w:r>
            <w:r>
              <w:rPr>
                <w:rFonts w:hint="eastAsia" w:ascii="仿宋_GB2312" w:hAnsi="黑体" w:eastAsia="仿宋_GB2312"/>
                <w:color w:val="000000" w:themeColor="text1"/>
                <w:kern w:val="0"/>
                <w:sz w:val="21"/>
                <w:szCs w:val="21"/>
                <w14:textFill>
                  <w14:solidFill>
                    <w14:schemeClr w14:val="tx1"/>
                  </w14:solidFill>
                </w14:textFill>
              </w:rPr>
              <w:t>.其他法律行政法规禁止公开</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B260415">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F6BC671">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1F9E1B0">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5764B8">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322F743">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F8A1F2B">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0280CB">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14:paraId="4416DDF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F6D76A2">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858576C">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55CB6D5">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3</w:t>
            </w:r>
            <w:r>
              <w:rPr>
                <w:rFonts w:hint="eastAsia" w:ascii="仿宋_GB2312" w:hAnsi="黑体" w:eastAsia="仿宋_GB2312"/>
                <w:color w:val="000000" w:themeColor="text1"/>
                <w:kern w:val="0"/>
                <w:sz w:val="21"/>
                <w:szCs w:val="21"/>
                <w14:textFill>
                  <w14:solidFill>
                    <w14:schemeClr w14:val="tx1"/>
                  </w14:solidFill>
                </w14:textFill>
              </w:rPr>
              <w:t>.危及“三安全一稳定”</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5ACE835">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B977C99">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11177F3">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E3592DC">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FEF575A">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56F4FA3">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991165D">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14:paraId="4E7AD3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BCD2A08">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7E6E948">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177C250">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4</w:t>
            </w:r>
            <w:r>
              <w:rPr>
                <w:rFonts w:hint="eastAsia" w:ascii="仿宋_GB2312" w:hAnsi="黑体" w:eastAsia="仿宋_GB2312"/>
                <w:color w:val="000000" w:themeColor="text1"/>
                <w:kern w:val="0"/>
                <w:sz w:val="21"/>
                <w:szCs w:val="21"/>
                <w14:textFill>
                  <w14:solidFill>
                    <w14:schemeClr w14:val="tx1"/>
                  </w14:solidFill>
                </w14:textFill>
              </w:rPr>
              <w:t>.保护第三方合法权益</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76D6280">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9162F4B">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2FC6CB7">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08C0BEF">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D529092">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5C71D70">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9577941">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14:paraId="32C5626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9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7F0540E">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DCCA993">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984F78A">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5</w:t>
            </w:r>
            <w:r>
              <w:rPr>
                <w:rFonts w:hint="eastAsia" w:ascii="仿宋_GB2312" w:hAnsi="黑体" w:eastAsia="仿宋_GB2312"/>
                <w:color w:val="000000" w:themeColor="text1"/>
                <w:kern w:val="0"/>
                <w:sz w:val="21"/>
                <w:szCs w:val="21"/>
                <w14:textFill>
                  <w14:solidFill>
                    <w14:schemeClr w14:val="tx1"/>
                  </w14:solidFill>
                </w14:textFill>
              </w:rPr>
              <w:t>.属于三类内部事务信息</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082B666">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C581837">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CA3EFB8">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A6712B3">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F7876DB">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562D552">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263168C">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14:paraId="4B4A7D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69D16F6">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5ED6A27">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4DBD247">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6</w:t>
            </w:r>
            <w:r>
              <w:rPr>
                <w:rFonts w:hint="eastAsia" w:ascii="仿宋_GB2312" w:hAnsi="黑体" w:eastAsia="仿宋_GB2312"/>
                <w:color w:val="000000" w:themeColor="text1"/>
                <w:kern w:val="0"/>
                <w:sz w:val="21"/>
                <w:szCs w:val="21"/>
                <w14:textFill>
                  <w14:solidFill>
                    <w14:schemeClr w14:val="tx1"/>
                  </w14:solidFill>
                </w14:textFill>
              </w:rPr>
              <w:t>.属于四类过程性信息</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7002F37">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18AF085">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608CC61">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67AA4FD">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E0C1D53">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FA7E450">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6571057">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14:paraId="4C36C3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8F1D598">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1500D07">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9649F5">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7</w:t>
            </w:r>
            <w:r>
              <w:rPr>
                <w:rFonts w:hint="eastAsia" w:ascii="仿宋_GB2312" w:hAnsi="黑体" w:eastAsia="仿宋_GB2312"/>
                <w:color w:val="000000" w:themeColor="text1"/>
                <w:kern w:val="0"/>
                <w:sz w:val="21"/>
                <w:szCs w:val="21"/>
                <w14:textFill>
                  <w14:solidFill>
                    <w14:schemeClr w14:val="tx1"/>
                  </w14:solidFill>
                </w14:textFill>
              </w:rPr>
              <w:t>.属于行政执法案卷</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14AF552">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32E3097">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E0DDD6D">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3B9ED52">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A31F7C9">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26176E1">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B2F38E3">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14:paraId="33A39D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DD8A0DE">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6AEE78A">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5DF2E94">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8</w:t>
            </w:r>
            <w:r>
              <w:rPr>
                <w:rFonts w:hint="eastAsia" w:ascii="仿宋_GB2312" w:hAnsi="黑体" w:eastAsia="仿宋_GB2312"/>
                <w:color w:val="000000" w:themeColor="text1"/>
                <w:kern w:val="0"/>
                <w:sz w:val="21"/>
                <w:szCs w:val="21"/>
                <w14:textFill>
                  <w14:solidFill>
                    <w14:schemeClr w14:val="tx1"/>
                  </w14:solidFill>
                </w14:textFill>
              </w:rPr>
              <w:t>.属于行政查询事项</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DC35F09">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0414F55">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F147BF2">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922DD1A">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98443D8">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DFAE808">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138D820">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14:paraId="6FC4F64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705"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02CA6BE">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4B8072D">
            <w:pPr>
              <w:keepNext w:val="0"/>
              <w:keepLines w:val="0"/>
              <w:pageBreakBefore w:val="0"/>
              <w:widowControl/>
              <w:kinsoku/>
              <w:wordWrap/>
              <w:overflowPunct/>
              <w:topLinePunct w:val="0"/>
              <w:autoSpaceDE/>
              <w:autoSpaceDN/>
              <w:bidi w:val="0"/>
              <w:adjustRightInd/>
              <w:snapToGrid/>
              <w:spacing w:line="600" w:lineRule="exact"/>
              <w:ind w:left="-107" w:leftChars="-51"/>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（四）无法提供</w:t>
            </w: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A2174B0">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1</w:t>
            </w:r>
            <w:r>
              <w:rPr>
                <w:rFonts w:hint="eastAsia" w:ascii="仿宋_GB2312" w:hAnsi="黑体" w:eastAsia="仿宋_GB2312"/>
                <w:color w:val="000000" w:themeColor="text1"/>
                <w:kern w:val="0"/>
                <w:sz w:val="21"/>
                <w:szCs w:val="21"/>
                <w14:textFill>
                  <w14:solidFill>
                    <w14:schemeClr w14:val="tx1"/>
                  </w14:solidFill>
                </w14:textFill>
              </w:rPr>
              <w:t>.本机关不掌握相关政府信息</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F91B452">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eastAsiaTheme="minorEastAsia"/>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11</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790DB1F">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8377897">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7873A0E">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1283B9">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7A505D1">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E37CE71">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eastAsiaTheme="minorEastAsia"/>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11</w:t>
            </w:r>
          </w:p>
        </w:tc>
      </w:tr>
      <w:tr w14:paraId="4E3A93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9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E28E5B0">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2A311E6">
            <w:pPr>
              <w:keepNext w:val="0"/>
              <w:keepLines w:val="0"/>
              <w:pageBreakBefore w:val="0"/>
              <w:widowControl/>
              <w:kinsoku/>
              <w:wordWrap/>
              <w:overflowPunct/>
              <w:topLinePunct w:val="0"/>
              <w:autoSpaceDE/>
              <w:autoSpaceDN/>
              <w:bidi w:val="0"/>
              <w:adjustRightInd/>
              <w:snapToGrid/>
              <w:spacing w:line="600" w:lineRule="exact"/>
              <w:ind w:left="-107" w:leftChars="-51"/>
              <w:textAlignment w:val="auto"/>
              <w:rPr>
                <w:color w:val="000000" w:themeColor="text1"/>
                <w:sz w:val="21"/>
                <w:szCs w:val="21"/>
                <w14:textFill>
                  <w14:solidFill>
                    <w14:schemeClr w14:val="tx1"/>
                  </w14:solidFill>
                </w14:textFill>
              </w:rPr>
            </w:pP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AFEB65D">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2</w:t>
            </w:r>
            <w:r>
              <w:rPr>
                <w:rFonts w:hint="eastAsia" w:ascii="仿宋_GB2312" w:hAnsi="黑体" w:eastAsia="仿宋_GB2312"/>
                <w:color w:val="000000" w:themeColor="text1"/>
                <w:kern w:val="0"/>
                <w:sz w:val="21"/>
                <w:szCs w:val="21"/>
                <w14:textFill>
                  <w14:solidFill>
                    <w14:schemeClr w14:val="tx1"/>
                  </w14:solidFill>
                </w14:textFill>
              </w:rPr>
              <w:t>.没有现成信息需要另行制作</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4C608FD">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4902D83">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326CACF">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743578A">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50553B0">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3B0D9B6">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1C5D71F">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14:paraId="7C401F5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705"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29943DB">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96979DD">
            <w:pPr>
              <w:keepNext w:val="0"/>
              <w:keepLines w:val="0"/>
              <w:pageBreakBefore w:val="0"/>
              <w:widowControl/>
              <w:kinsoku/>
              <w:wordWrap/>
              <w:overflowPunct/>
              <w:topLinePunct w:val="0"/>
              <w:autoSpaceDE/>
              <w:autoSpaceDN/>
              <w:bidi w:val="0"/>
              <w:adjustRightInd/>
              <w:snapToGrid/>
              <w:spacing w:line="600" w:lineRule="exact"/>
              <w:ind w:left="-107" w:leftChars="-51"/>
              <w:textAlignment w:val="auto"/>
              <w:rPr>
                <w:color w:val="000000" w:themeColor="text1"/>
                <w:sz w:val="21"/>
                <w:szCs w:val="21"/>
                <w14:textFill>
                  <w14:solidFill>
                    <w14:schemeClr w14:val="tx1"/>
                  </w14:solidFill>
                </w14:textFill>
              </w:rPr>
            </w:pPr>
          </w:p>
        </w:tc>
        <w:tc>
          <w:tcPr>
            <w:tcW w:w="211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7684BEA">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3</w:t>
            </w:r>
            <w:r>
              <w:rPr>
                <w:rFonts w:hint="eastAsia" w:ascii="仿宋_GB2312" w:hAnsi="黑体" w:eastAsia="仿宋_GB2312"/>
                <w:color w:val="000000" w:themeColor="text1"/>
                <w:kern w:val="0"/>
                <w:sz w:val="21"/>
                <w:szCs w:val="21"/>
                <w14:textFill>
                  <w14:solidFill>
                    <w14:schemeClr w14:val="tx1"/>
                  </w14:solidFill>
                </w14:textFill>
              </w:rPr>
              <w:t>.补正后申请内容仍不明确</w:t>
            </w:r>
          </w:p>
        </w:tc>
        <w:tc>
          <w:tcPr>
            <w:tcW w:w="79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8AA8249">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690A816">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977F002">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F259BCA">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49D3482">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C164546">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E2634E6">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14:paraId="4252E44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671A201">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2B7019E">
            <w:pPr>
              <w:keepNext w:val="0"/>
              <w:keepLines w:val="0"/>
              <w:pageBreakBefore w:val="0"/>
              <w:widowControl/>
              <w:kinsoku/>
              <w:wordWrap/>
              <w:overflowPunct/>
              <w:topLinePunct w:val="0"/>
              <w:autoSpaceDE/>
              <w:autoSpaceDN/>
              <w:bidi w:val="0"/>
              <w:adjustRightInd/>
              <w:snapToGrid/>
              <w:spacing w:line="600" w:lineRule="exact"/>
              <w:ind w:left="-107" w:leftChars="-51"/>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（五）不予处理</w:t>
            </w:r>
          </w:p>
        </w:tc>
        <w:tc>
          <w:tcPr>
            <w:tcW w:w="211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5BDFB23">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1</w:t>
            </w:r>
            <w:r>
              <w:rPr>
                <w:rFonts w:hint="eastAsia" w:ascii="仿宋_GB2312" w:hAnsi="黑体" w:eastAsia="仿宋_GB2312"/>
                <w:color w:val="000000" w:themeColor="text1"/>
                <w:kern w:val="0"/>
                <w:sz w:val="21"/>
                <w:szCs w:val="21"/>
                <w14:textFill>
                  <w14:solidFill>
                    <w14:schemeClr w14:val="tx1"/>
                  </w14:solidFill>
                </w14:textFill>
              </w:rPr>
              <w:t>.信访举报投诉类申请</w:t>
            </w:r>
          </w:p>
        </w:tc>
        <w:tc>
          <w:tcPr>
            <w:tcW w:w="79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C16D989">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A896FBC">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C2D671A">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18074C1">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0D9081C">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E04A49F">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482F712">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14:paraId="6536947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8AF998C">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F99E6C">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70B3052">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2</w:t>
            </w:r>
            <w:r>
              <w:rPr>
                <w:rFonts w:hint="eastAsia" w:ascii="仿宋_GB2312" w:hAnsi="黑体" w:eastAsia="仿宋_GB2312"/>
                <w:color w:val="000000" w:themeColor="text1"/>
                <w:kern w:val="0"/>
                <w:sz w:val="21"/>
                <w:szCs w:val="21"/>
                <w14:textFill>
                  <w14:solidFill>
                    <w14:schemeClr w14:val="tx1"/>
                  </w14:solidFill>
                </w14:textFill>
              </w:rPr>
              <w:t>.重复申请</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E835559">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FFDADA6">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771F649">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9E21A50">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86F58AB">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41A9A85">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72C6571">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14:paraId="7DF02BE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D8B5130">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6ED2FA5">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C872BF0">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3</w:t>
            </w:r>
            <w:r>
              <w:rPr>
                <w:rFonts w:hint="eastAsia" w:ascii="仿宋_GB2312" w:hAnsi="黑体" w:eastAsia="仿宋_GB2312"/>
                <w:color w:val="000000" w:themeColor="text1"/>
                <w:kern w:val="0"/>
                <w:sz w:val="21"/>
                <w:szCs w:val="21"/>
                <w14:textFill>
                  <w14:solidFill>
                    <w14:schemeClr w14:val="tx1"/>
                  </w14:solidFill>
                </w14:textFill>
              </w:rPr>
              <w:t>.要求提供公开出版物</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A9A2A48">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CB6337">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DD37736">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CB88896">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444988B">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507425A">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E719072">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14:paraId="5CC6EE2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705"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781DF65">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C666E35">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E944B68">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4</w:t>
            </w:r>
            <w:r>
              <w:rPr>
                <w:rFonts w:hint="eastAsia" w:ascii="仿宋_GB2312" w:hAnsi="黑体" w:eastAsia="仿宋_GB2312"/>
                <w:color w:val="000000" w:themeColor="text1"/>
                <w:kern w:val="0"/>
                <w:sz w:val="21"/>
                <w:szCs w:val="21"/>
                <w14:textFill>
                  <w14:solidFill>
                    <w14:schemeClr w14:val="tx1"/>
                  </w14:solidFill>
                </w14:textFill>
              </w:rPr>
              <w:t>.无正当理由大量反复申请</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49E57F2">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E28084B">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DDC04B4">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73780DC">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8301902">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E5DB857">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5A3B7B5">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14:paraId="4FF68F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9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3B14BE2">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AF3A99">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76A64F">
            <w:pPr>
              <w:keepNext w:val="0"/>
              <w:keepLines w:val="0"/>
              <w:pageBreakBefore w:val="0"/>
              <w:widowControl/>
              <w:kinsoku/>
              <w:wordWrap/>
              <w:overflowPunct/>
              <w:topLinePunct w:val="0"/>
              <w:autoSpaceDE/>
              <w:autoSpaceDN/>
              <w:bidi w:val="0"/>
              <w:adjustRightInd/>
              <w:snapToGrid/>
              <w:spacing w:line="600" w:lineRule="exact"/>
              <w:textAlignment w:val="auto"/>
              <w:rPr>
                <w:rFonts w:ascii="仿宋_GB2312" w:hAnsi="黑体" w:eastAsia="仿宋_GB2312"/>
                <w:color w:val="000000" w:themeColor="text1"/>
                <w:kern w:val="0"/>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5</w:t>
            </w:r>
            <w:r>
              <w:rPr>
                <w:rFonts w:hint="eastAsia" w:ascii="仿宋_GB2312" w:hAnsi="黑体" w:eastAsia="仿宋_GB2312"/>
                <w:color w:val="000000" w:themeColor="text1"/>
                <w:kern w:val="0"/>
                <w:sz w:val="21"/>
                <w:szCs w:val="21"/>
                <w14:textFill>
                  <w14:solidFill>
                    <w14:schemeClr w14:val="tx1"/>
                  </w14:solidFill>
                </w14:textFill>
              </w:rPr>
              <w:t>.要求行政机关确认或重新</w:t>
            </w:r>
          </w:p>
          <w:p w14:paraId="316AB3CC">
            <w:pPr>
              <w:keepNext w:val="0"/>
              <w:keepLines w:val="0"/>
              <w:pageBreakBefore w:val="0"/>
              <w:widowControl/>
              <w:kinsoku/>
              <w:wordWrap/>
              <w:overflowPunct/>
              <w:topLinePunct w:val="0"/>
              <w:autoSpaceDE/>
              <w:autoSpaceDN/>
              <w:bidi w:val="0"/>
              <w:adjustRightInd/>
              <w:snapToGrid/>
              <w:spacing w:line="600" w:lineRule="exact"/>
              <w:ind w:firstLine="210" w:firstLineChars="100"/>
              <w:textAlignment w:val="auto"/>
              <w:rPr>
                <w:color w:val="000000" w:themeColor="text1"/>
                <w:sz w:val="21"/>
                <w:szCs w:val="21"/>
                <w14:textFill>
                  <w14:solidFill>
                    <w14:schemeClr w14:val="tx1"/>
                  </w14:solidFill>
                </w14:textFill>
              </w:rPr>
            </w:pPr>
            <w:r>
              <w:rPr>
                <w:rFonts w:hint="eastAsia" w:ascii="仿宋_GB2312" w:hAnsi="黑体" w:eastAsia="仿宋_GB2312"/>
                <w:color w:val="000000" w:themeColor="text1"/>
                <w:kern w:val="0"/>
                <w:sz w:val="21"/>
                <w:szCs w:val="21"/>
                <w14:textFill>
                  <w14:solidFill>
                    <w14:schemeClr w14:val="tx1"/>
                  </w14:solidFill>
                </w14:textFill>
              </w:rPr>
              <w:t>出具已获取信息</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21FC87E">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3043153">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274B3E7">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876E1A9">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8201A96">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C3D0B2">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FC67B19">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14:paraId="77A66C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4EDA5B0">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75B385F">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（六）其他处理</w:t>
            </w: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2FA4243">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1</w:t>
            </w:r>
            <w:r>
              <w:rPr>
                <w:rFonts w:hint="eastAsia" w:ascii="仿宋_GB2312" w:hAnsi="楷体" w:eastAsia="仿宋_GB2312"/>
                <w:color w:val="000000" w:themeColor="text1"/>
                <w:sz w:val="21"/>
                <w:szCs w:val="21"/>
                <w14:textFill>
                  <w14:solidFill>
                    <w14:schemeClr w14:val="tx1"/>
                  </w14:solidFill>
                </w14:textFill>
              </w:rPr>
              <w:t>.申请人无正当理由逾期不补正、行政机关不再处理其政府信息公开申请</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BE79816">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D19920B">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48947F7">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6DB5D84">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108A374">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0D751BF">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DBDE874">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14:paraId="4D9D8D9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6E79FFE">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BB00896">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CFB1B09">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2</w:t>
            </w:r>
            <w:r>
              <w:rPr>
                <w:rFonts w:hint="eastAsia" w:ascii="仿宋_GB2312" w:hAnsi="楷体" w:eastAsia="仿宋_GB2312"/>
                <w:color w:val="000000" w:themeColor="text1"/>
                <w:sz w:val="21"/>
                <w:szCs w:val="21"/>
                <w14:textFill>
                  <w14:solidFill>
                    <w14:schemeClr w14:val="tx1"/>
                  </w14:solidFill>
                </w14:textFill>
              </w:rPr>
              <w:t>.申请人逾期未按收费通知要求缴纳费用、行政机关不再处理其政府信息公开申请</w:t>
            </w:r>
          </w:p>
        </w:tc>
        <w:tc>
          <w:tcPr>
            <w:tcW w:w="791"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14:paraId="309C0AA8">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14:paraId="6EDE05E4">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14:paraId="3309F9AB">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14:paraId="776AC799">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14:paraId="30007C42">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14:paraId="04DFFDE2">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14:paraId="23A1D31A">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14:paraId="2CA94F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8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96D65CD">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DA26F68">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2118" w:type="dxa"/>
            <w:tcBorders>
              <w:top w:val="nil"/>
              <w:left w:val="nil"/>
              <w:bottom w:val="single" w:color="auto" w:sz="6" w:space="0"/>
              <w:right w:val="single" w:color="auto" w:sz="4" w:space="0"/>
            </w:tcBorders>
            <w:shd w:val="clear" w:color="auto" w:fill="auto"/>
            <w:tcMar>
              <w:top w:w="0" w:type="dxa"/>
              <w:left w:w="105" w:type="dxa"/>
              <w:bottom w:w="0" w:type="dxa"/>
              <w:right w:w="105" w:type="dxa"/>
            </w:tcMar>
            <w:vAlign w:val="center"/>
          </w:tcPr>
          <w:p w14:paraId="71A9A492">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3</w:t>
            </w:r>
            <w:r>
              <w:rPr>
                <w:rFonts w:hint="eastAsia" w:ascii="仿宋_GB2312" w:hAnsi="楷体" w:eastAsia="仿宋_GB2312"/>
                <w:color w:val="000000" w:themeColor="text1"/>
                <w:sz w:val="21"/>
                <w:szCs w:val="21"/>
                <w14:textFill>
                  <w14:solidFill>
                    <w14:schemeClr w14:val="tx1"/>
                  </w14:solidFill>
                </w14:textFill>
              </w:rPr>
              <w:t>.其他</w:t>
            </w:r>
          </w:p>
        </w:tc>
        <w:tc>
          <w:tcPr>
            <w:tcW w:w="791" w:type="dxa"/>
            <w:tcBorders>
              <w:top w:val="single" w:color="auto" w:sz="4" w:space="0"/>
              <w:left w:val="single" w:color="auto" w:sz="4" w:space="0"/>
              <w:bottom w:val="single" w:color="auto" w:sz="6" w:space="0"/>
              <w:right w:val="single" w:color="auto" w:sz="4" w:space="0"/>
            </w:tcBorders>
            <w:shd w:val="clear" w:color="auto" w:fill="auto"/>
            <w:tcMar>
              <w:top w:w="0" w:type="dxa"/>
              <w:left w:w="105" w:type="dxa"/>
              <w:bottom w:w="0" w:type="dxa"/>
              <w:right w:w="105" w:type="dxa"/>
            </w:tcMar>
            <w:vAlign w:val="center"/>
          </w:tcPr>
          <w:p w14:paraId="45704131">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single" w:color="auto" w:sz="4" w:space="0"/>
              <w:left w:val="single" w:color="auto" w:sz="4" w:space="0"/>
              <w:bottom w:val="single" w:color="auto" w:sz="6" w:space="0"/>
              <w:right w:val="single" w:color="auto" w:sz="4" w:space="0"/>
            </w:tcBorders>
            <w:shd w:val="clear" w:color="auto" w:fill="auto"/>
            <w:tcMar>
              <w:top w:w="0" w:type="dxa"/>
              <w:left w:w="105" w:type="dxa"/>
              <w:bottom w:w="0" w:type="dxa"/>
              <w:right w:w="105" w:type="dxa"/>
            </w:tcMar>
            <w:vAlign w:val="center"/>
          </w:tcPr>
          <w:p w14:paraId="4D1DF365">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single" w:color="auto" w:sz="4" w:space="0"/>
              <w:left w:val="single" w:color="auto" w:sz="4" w:space="0"/>
              <w:bottom w:val="single" w:color="auto" w:sz="6" w:space="0"/>
              <w:right w:val="single" w:color="auto" w:sz="4" w:space="0"/>
            </w:tcBorders>
            <w:shd w:val="clear" w:color="auto" w:fill="auto"/>
            <w:tcMar>
              <w:top w:w="0" w:type="dxa"/>
              <w:left w:w="105" w:type="dxa"/>
              <w:bottom w:w="0" w:type="dxa"/>
              <w:right w:w="105" w:type="dxa"/>
            </w:tcMar>
            <w:vAlign w:val="center"/>
          </w:tcPr>
          <w:p w14:paraId="04E5CC37">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single" w:color="auto" w:sz="4" w:space="0"/>
              <w:left w:val="single" w:color="auto" w:sz="4" w:space="0"/>
              <w:bottom w:val="single" w:color="auto" w:sz="6" w:space="0"/>
              <w:right w:val="single" w:color="auto" w:sz="4" w:space="0"/>
            </w:tcBorders>
            <w:shd w:val="clear" w:color="auto" w:fill="auto"/>
            <w:tcMar>
              <w:top w:w="0" w:type="dxa"/>
              <w:left w:w="105" w:type="dxa"/>
              <w:bottom w:w="0" w:type="dxa"/>
              <w:right w:w="105" w:type="dxa"/>
            </w:tcMar>
            <w:vAlign w:val="center"/>
          </w:tcPr>
          <w:p w14:paraId="51505B02">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single" w:color="auto" w:sz="4" w:space="0"/>
              <w:left w:val="single" w:color="auto" w:sz="4" w:space="0"/>
              <w:bottom w:val="single" w:color="auto" w:sz="6" w:space="0"/>
              <w:right w:val="single" w:color="auto" w:sz="4" w:space="0"/>
            </w:tcBorders>
            <w:shd w:val="clear" w:color="auto" w:fill="auto"/>
            <w:tcMar>
              <w:top w:w="0" w:type="dxa"/>
              <w:left w:w="105" w:type="dxa"/>
              <w:bottom w:w="0" w:type="dxa"/>
              <w:right w:w="105" w:type="dxa"/>
            </w:tcMar>
            <w:vAlign w:val="center"/>
          </w:tcPr>
          <w:p w14:paraId="34B80224">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single" w:color="auto" w:sz="4" w:space="0"/>
              <w:left w:val="single" w:color="auto" w:sz="4" w:space="0"/>
              <w:bottom w:val="single" w:color="auto" w:sz="6" w:space="0"/>
              <w:right w:val="single" w:color="auto" w:sz="4" w:space="0"/>
            </w:tcBorders>
            <w:shd w:val="clear" w:color="auto" w:fill="auto"/>
            <w:tcMar>
              <w:top w:w="0" w:type="dxa"/>
              <w:left w:w="105" w:type="dxa"/>
              <w:bottom w:w="0" w:type="dxa"/>
              <w:right w:w="105" w:type="dxa"/>
            </w:tcMar>
            <w:vAlign w:val="center"/>
          </w:tcPr>
          <w:p w14:paraId="376A6B21">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single" w:color="auto" w:sz="4" w:space="0"/>
              <w:left w:val="single" w:color="auto" w:sz="4" w:space="0"/>
              <w:bottom w:val="single" w:color="auto" w:sz="6" w:space="0"/>
              <w:right w:val="single" w:color="auto" w:sz="4" w:space="0"/>
            </w:tcBorders>
            <w:shd w:val="clear" w:color="auto" w:fill="auto"/>
            <w:tcMar>
              <w:top w:w="0" w:type="dxa"/>
              <w:left w:w="105" w:type="dxa"/>
              <w:bottom w:w="0" w:type="dxa"/>
              <w:right w:w="105" w:type="dxa"/>
            </w:tcMar>
            <w:vAlign w:val="center"/>
          </w:tcPr>
          <w:p w14:paraId="0EB2CA1C">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14:paraId="15DBED8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8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6D05C87">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3343"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14D01D2">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（七）总计</w:t>
            </w:r>
          </w:p>
        </w:tc>
        <w:tc>
          <w:tcPr>
            <w:tcW w:w="79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3FD3BA4">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eastAsiaTheme="minorEastAsia"/>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22</w:t>
            </w:r>
          </w:p>
        </w:tc>
        <w:tc>
          <w:tcPr>
            <w:tcW w:w="58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D5FAC9B">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C8612F3">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C74E353">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747A0B4">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D016677">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single" w:color="auto" w:sz="6" w:space="0"/>
              <w:left w:val="single" w:color="auto" w:sz="6" w:space="0"/>
              <w:bottom w:val="single" w:color="auto" w:sz="6" w:space="0"/>
              <w:right w:val="single" w:color="auto" w:sz="4" w:space="0"/>
            </w:tcBorders>
            <w:shd w:val="clear" w:color="auto" w:fill="auto"/>
            <w:tcMar>
              <w:top w:w="0" w:type="dxa"/>
              <w:left w:w="105" w:type="dxa"/>
              <w:bottom w:w="0" w:type="dxa"/>
              <w:right w:w="105" w:type="dxa"/>
            </w:tcMar>
            <w:vAlign w:val="center"/>
          </w:tcPr>
          <w:p w14:paraId="4090A412">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eastAsiaTheme="minorEastAsia"/>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22</w:t>
            </w:r>
          </w:p>
        </w:tc>
      </w:tr>
      <w:tr w14:paraId="2E86B8B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80" w:hRule="atLeast"/>
          <w:jc w:val="center"/>
        </w:trPr>
        <w:tc>
          <w:tcPr>
            <w:tcW w:w="3973" w:type="dxa"/>
            <w:gridSpan w:val="3"/>
            <w:tcBorders>
              <w:top w:val="single" w:color="auto" w:sz="6" w:space="0"/>
              <w:left w:val="single" w:color="auto" w:sz="6" w:space="0"/>
              <w:bottom w:val="single" w:color="auto" w:sz="6" w:space="0"/>
              <w:right w:val="single" w:color="auto" w:sz="4" w:space="0"/>
            </w:tcBorders>
            <w:shd w:val="clear" w:color="auto" w:fill="auto"/>
            <w:tcMar>
              <w:top w:w="0" w:type="dxa"/>
              <w:left w:w="105" w:type="dxa"/>
              <w:bottom w:w="0" w:type="dxa"/>
              <w:right w:w="105" w:type="dxa"/>
            </w:tcMar>
            <w:vAlign w:val="center"/>
          </w:tcPr>
          <w:p w14:paraId="570867DC">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四、结转下年度继续办理</w:t>
            </w:r>
          </w:p>
        </w:tc>
        <w:tc>
          <w:tcPr>
            <w:tcW w:w="791" w:type="dxa"/>
            <w:tcBorders>
              <w:top w:val="single" w:color="auto" w:sz="6" w:space="0"/>
              <w:left w:val="single" w:color="auto" w:sz="4" w:space="0"/>
              <w:bottom w:val="single" w:color="auto" w:sz="6" w:space="0"/>
              <w:right w:val="single" w:color="auto" w:sz="4" w:space="0"/>
            </w:tcBorders>
            <w:shd w:val="clear" w:color="auto" w:fill="auto"/>
            <w:tcMar>
              <w:top w:w="0" w:type="dxa"/>
              <w:left w:w="105" w:type="dxa"/>
              <w:bottom w:w="0" w:type="dxa"/>
              <w:right w:w="105" w:type="dxa"/>
            </w:tcMar>
            <w:vAlign w:val="center"/>
          </w:tcPr>
          <w:p w14:paraId="4179406D">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single" w:color="auto" w:sz="6" w:space="0"/>
              <w:left w:val="single" w:color="auto" w:sz="4" w:space="0"/>
              <w:bottom w:val="single" w:color="auto" w:sz="6" w:space="0"/>
              <w:right w:val="single" w:color="auto" w:sz="4" w:space="0"/>
            </w:tcBorders>
            <w:shd w:val="clear" w:color="auto" w:fill="auto"/>
            <w:tcMar>
              <w:top w:w="0" w:type="dxa"/>
              <w:left w:w="105" w:type="dxa"/>
              <w:bottom w:w="0" w:type="dxa"/>
              <w:right w:w="105" w:type="dxa"/>
            </w:tcMar>
            <w:vAlign w:val="center"/>
          </w:tcPr>
          <w:p w14:paraId="73A88B76">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single" w:color="auto" w:sz="6" w:space="0"/>
              <w:left w:val="single" w:color="auto" w:sz="4" w:space="0"/>
              <w:bottom w:val="single" w:color="auto" w:sz="6" w:space="0"/>
              <w:right w:val="single" w:color="auto" w:sz="4" w:space="0"/>
            </w:tcBorders>
            <w:shd w:val="clear" w:color="auto" w:fill="auto"/>
            <w:tcMar>
              <w:top w:w="0" w:type="dxa"/>
              <w:left w:w="105" w:type="dxa"/>
              <w:bottom w:w="0" w:type="dxa"/>
              <w:right w:w="105" w:type="dxa"/>
            </w:tcMar>
            <w:vAlign w:val="center"/>
          </w:tcPr>
          <w:p w14:paraId="0D54601B">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single" w:color="auto" w:sz="6" w:space="0"/>
              <w:left w:val="single" w:color="auto" w:sz="4" w:space="0"/>
              <w:bottom w:val="single" w:color="auto" w:sz="6" w:space="0"/>
              <w:right w:val="single" w:color="auto" w:sz="4" w:space="0"/>
            </w:tcBorders>
            <w:shd w:val="clear" w:color="auto" w:fill="auto"/>
            <w:tcMar>
              <w:top w:w="0" w:type="dxa"/>
              <w:left w:w="105" w:type="dxa"/>
              <w:bottom w:w="0" w:type="dxa"/>
              <w:right w:w="105" w:type="dxa"/>
            </w:tcMar>
            <w:vAlign w:val="center"/>
          </w:tcPr>
          <w:p w14:paraId="7B4E7B54">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single" w:color="auto" w:sz="6" w:space="0"/>
              <w:left w:val="single" w:color="auto" w:sz="4" w:space="0"/>
              <w:bottom w:val="single" w:color="auto" w:sz="6" w:space="0"/>
              <w:right w:val="single" w:color="auto" w:sz="4" w:space="0"/>
            </w:tcBorders>
            <w:shd w:val="clear" w:color="auto" w:fill="auto"/>
            <w:tcMar>
              <w:top w:w="0" w:type="dxa"/>
              <w:left w:w="105" w:type="dxa"/>
              <w:bottom w:w="0" w:type="dxa"/>
              <w:right w:w="105" w:type="dxa"/>
            </w:tcMar>
            <w:vAlign w:val="center"/>
          </w:tcPr>
          <w:p w14:paraId="46F4B9A6">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single" w:color="auto" w:sz="6" w:space="0"/>
              <w:left w:val="single" w:color="auto" w:sz="4" w:space="0"/>
              <w:bottom w:val="single" w:color="auto" w:sz="6" w:space="0"/>
              <w:right w:val="single" w:color="auto" w:sz="4" w:space="0"/>
            </w:tcBorders>
            <w:shd w:val="clear" w:color="auto" w:fill="auto"/>
            <w:tcMar>
              <w:top w:w="0" w:type="dxa"/>
              <w:left w:w="105" w:type="dxa"/>
              <w:bottom w:w="0" w:type="dxa"/>
              <w:right w:w="105" w:type="dxa"/>
            </w:tcMar>
            <w:vAlign w:val="center"/>
          </w:tcPr>
          <w:p w14:paraId="490F9185">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single" w:color="auto" w:sz="6" w:space="0"/>
              <w:left w:val="single" w:color="auto" w:sz="4" w:space="0"/>
              <w:bottom w:val="single" w:color="auto" w:sz="6" w:space="0"/>
              <w:right w:val="single" w:color="auto" w:sz="4" w:space="0"/>
            </w:tcBorders>
            <w:shd w:val="clear" w:color="auto" w:fill="auto"/>
            <w:tcMar>
              <w:top w:w="0" w:type="dxa"/>
              <w:left w:w="105" w:type="dxa"/>
              <w:bottom w:w="0" w:type="dxa"/>
              <w:right w:w="105" w:type="dxa"/>
            </w:tcMar>
            <w:vAlign w:val="center"/>
          </w:tcPr>
          <w:p w14:paraId="38F97850">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bl>
    <w:p w14:paraId="0DB11D7B">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600" w:lineRule="exact"/>
        <w:ind w:leftChars="200" w:right="0" w:rightChars="0"/>
        <w:textAlignment w:val="auto"/>
        <w:rPr>
          <w:rFonts w:hint="eastAsia" w:ascii="黑体" w:hAnsi="宋体" w:eastAsia="黑体" w:cs="黑体"/>
          <w:spacing w:val="0"/>
          <w:sz w:val="32"/>
          <w:szCs w:val="32"/>
          <w:shd w:val="clear" w:fill="FFFFFF"/>
        </w:rPr>
      </w:pPr>
    </w:p>
    <w:p w14:paraId="61ACFF54">
      <w:pPr>
        <w:pStyle w:val="4"/>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Autospacing="0" w:line="600" w:lineRule="exact"/>
        <w:ind w:left="0" w:firstLine="640" w:firstLineChars="200"/>
        <w:textAlignment w:val="auto"/>
        <w:rPr>
          <w:rFonts w:hint="eastAsia" w:ascii="黑体" w:hAnsi="宋体" w:eastAsia="黑体" w:cs="黑体"/>
          <w:spacing w:val="0"/>
          <w:sz w:val="32"/>
          <w:szCs w:val="32"/>
          <w:shd w:val="clear" w:fill="FFFFFF"/>
        </w:rPr>
      </w:pPr>
      <w:r>
        <w:rPr>
          <w:rFonts w:hint="eastAsia" w:ascii="黑体" w:hAnsi="宋体" w:eastAsia="黑体" w:cs="黑体"/>
          <w:sz w:val="32"/>
          <w:szCs w:val="32"/>
          <w:shd w:val="clear" w:fill="FFFFFF"/>
        </w:rPr>
        <w:t>因政府信息公开工作被申请行政复议、提起行政诉讼情况</w:t>
      </w:r>
    </w:p>
    <w:tbl>
      <w:tblPr>
        <w:tblStyle w:val="5"/>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564"/>
        <w:gridCol w:w="564"/>
        <w:gridCol w:w="564"/>
        <w:gridCol w:w="564"/>
        <w:gridCol w:w="620"/>
        <w:gridCol w:w="517"/>
        <w:gridCol w:w="568"/>
        <w:gridCol w:w="568"/>
        <w:gridCol w:w="568"/>
        <w:gridCol w:w="573"/>
        <w:gridCol w:w="567"/>
        <w:gridCol w:w="568"/>
        <w:gridCol w:w="568"/>
        <w:gridCol w:w="569"/>
        <w:gridCol w:w="574"/>
      </w:tblGrid>
      <w:tr w14:paraId="379043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947"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0524804">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kern w:val="0"/>
                <w:sz w:val="21"/>
                <w:szCs w:val="21"/>
              </w:rPr>
              <w:t>行政复议</w:t>
            </w:r>
          </w:p>
        </w:tc>
        <w:tc>
          <w:tcPr>
            <w:tcW w:w="5767"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195CB6E">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1"/>
                <w:szCs w:val="21"/>
              </w:rPr>
            </w:pPr>
            <w:r>
              <w:rPr>
                <w:rFonts w:hint="eastAsia" w:ascii="黑体" w:hAnsi="黑体" w:eastAsia="黑体" w:cs="黑体"/>
                <w:kern w:val="0"/>
                <w:sz w:val="21"/>
                <w:szCs w:val="21"/>
              </w:rPr>
              <w:t>行政诉讼</w:t>
            </w:r>
          </w:p>
        </w:tc>
      </w:tr>
      <w:tr w14:paraId="03A9C6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579" w:type="dxa"/>
            <w:vMerge w:val="restart"/>
            <w:tcBorders>
              <w:top w:val="nil"/>
              <w:left w:val="single" w:color="auto" w:sz="6" w:space="0"/>
              <w:right w:val="single" w:color="auto" w:sz="6" w:space="0"/>
            </w:tcBorders>
            <w:shd w:val="clear" w:color="auto" w:fill="auto"/>
            <w:tcMar>
              <w:top w:w="0" w:type="dxa"/>
              <w:left w:w="105" w:type="dxa"/>
              <w:bottom w:w="0" w:type="dxa"/>
              <w:right w:w="105" w:type="dxa"/>
            </w:tcMar>
            <w:vAlign w:val="center"/>
          </w:tcPr>
          <w:p w14:paraId="7E7462A5">
            <w:pPr>
              <w:keepNext w:val="0"/>
              <w:keepLines w:val="0"/>
              <w:pageBreakBefore w:val="0"/>
              <w:widowControl/>
              <w:kinsoku/>
              <w:wordWrap/>
              <w:overflowPunct/>
              <w:topLinePunct w:val="0"/>
              <w:autoSpaceDE/>
              <w:autoSpaceDN/>
              <w:bidi w:val="0"/>
              <w:adjustRightInd/>
              <w:snapToGrid/>
              <w:spacing w:line="600" w:lineRule="exact"/>
              <w:ind w:left="-149" w:leftChars="-71" w:right="-170" w:rightChars="-81"/>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结果</w:t>
            </w:r>
          </w:p>
          <w:p w14:paraId="027AB9FA">
            <w:pPr>
              <w:keepNext w:val="0"/>
              <w:keepLines w:val="0"/>
              <w:pageBreakBefore w:val="0"/>
              <w:widowControl/>
              <w:kinsoku/>
              <w:wordWrap/>
              <w:overflowPunct/>
              <w:topLinePunct w:val="0"/>
              <w:autoSpaceDE/>
              <w:autoSpaceDN/>
              <w:bidi w:val="0"/>
              <w:adjustRightInd/>
              <w:snapToGrid/>
              <w:spacing w:line="600" w:lineRule="exact"/>
              <w:ind w:left="-149" w:leftChars="-71" w:right="-170" w:rightChars="-81"/>
              <w:jc w:val="center"/>
              <w:textAlignment w:val="auto"/>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kern w:val="0"/>
                <w:sz w:val="21"/>
                <w:szCs w:val="21"/>
              </w:rPr>
              <w:t>维持</w:t>
            </w:r>
          </w:p>
        </w:tc>
        <w:tc>
          <w:tcPr>
            <w:tcW w:w="579" w:type="dxa"/>
            <w:vMerge w:val="restart"/>
            <w:tcBorders>
              <w:top w:val="nil"/>
              <w:left w:val="nil"/>
              <w:right w:val="single" w:color="auto" w:sz="6" w:space="0"/>
            </w:tcBorders>
            <w:shd w:val="clear" w:color="auto" w:fill="auto"/>
            <w:tcMar>
              <w:top w:w="0" w:type="dxa"/>
              <w:left w:w="105" w:type="dxa"/>
              <w:bottom w:w="0" w:type="dxa"/>
              <w:right w:w="105" w:type="dxa"/>
            </w:tcMar>
            <w:vAlign w:val="center"/>
          </w:tcPr>
          <w:p w14:paraId="36BBA774">
            <w:pPr>
              <w:keepNext w:val="0"/>
              <w:keepLines w:val="0"/>
              <w:pageBreakBefore w:val="0"/>
              <w:widowControl/>
              <w:kinsoku/>
              <w:wordWrap/>
              <w:overflowPunct/>
              <w:topLinePunct w:val="0"/>
              <w:autoSpaceDE/>
              <w:autoSpaceDN/>
              <w:bidi w:val="0"/>
              <w:adjustRightInd/>
              <w:snapToGrid/>
              <w:spacing w:line="600" w:lineRule="exact"/>
              <w:ind w:left="-43" w:leftChars="-21" w:right="-132" w:rightChars="-63" w:hanging="1" w:firstLineChars="0"/>
              <w:jc w:val="center"/>
              <w:textAlignment w:val="auto"/>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kern w:val="0"/>
                <w:sz w:val="21"/>
                <w:szCs w:val="21"/>
              </w:rPr>
              <w:t>结果纠正</w:t>
            </w:r>
          </w:p>
        </w:tc>
        <w:tc>
          <w:tcPr>
            <w:tcW w:w="579" w:type="dxa"/>
            <w:vMerge w:val="restart"/>
            <w:tcBorders>
              <w:top w:val="single" w:color="auto" w:sz="6" w:space="0"/>
              <w:left w:val="nil"/>
              <w:right w:val="single" w:color="auto" w:sz="6" w:space="0"/>
            </w:tcBorders>
            <w:shd w:val="clear" w:color="auto" w:fill="auto"/>
            <w:tcMar>
              <w:top w:w="0" w:type="dxa"/>
              <w:left w:w="105" w:type="dxa"/>
              <w:bottom w:w="0" w:type="dxa"/>
              <w:right w:w="105" w:type="dxa"/>
            </w:tcMar>
            <w:vAlign w:val="center"/>
          </w:tcPr>
          <w:p w14:paraId="2344C87B">
            <w:pPr>
              <w:keepNext w:val="0"/>
              <w:keepLines w:val="0"/>
              <w:pageBreakBefore w:val="0"/>
              <w:widowControl/>
              <w:kinsoku/>
              <w:wordWrap/>
              <w:overflowPunct/>
              <w:topLinePunct w:val="0"/>
              <w:autoSpaceDE/>
              <w:autoSpaceDN/>
              <w:bidi w:val="0"/>
              <w:adjustRightInd/>
              <w:snapToGrid/>
              <w:spacing w:line="600" w:lineRule="exact"/>
              <w:ind w:left="-82" w:leftChars="-39" w:right="-97" w:rightChars="-46"/>
              <w:jc w:val="center"/>
              <w:textAlignment w:val="auto"/>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kern w:val="0"/>
                <w:sz w:val="21"/>
                <w:szCs w:val="21"/>
              </w:rPr>
              <w:t>其他结果</w:t>
            </w:r>
          </w:p>
        </w:tc>
        <w:tc>
          <w:tcPr>
            <w:tcW w:w="579" w:type="dxa"/>
            <w:vMerge w:val="restart"/>
            <w:tcBorders>
              <w:top w:val="single" w:color="auto" w:sz="6" w:space="0"/>
              <w:left w:val="nil"/>
              <w:right w:val="single" w:color="auto" w:sz="6" w:space="0"/>
            </w:tcBorders>
            <w:shd w:val="clear" w:color="auto" w:fill="auto"/>
            <w:tcMar>
              <w:top w:w="0" w:type="dxa"/>
              <w:left w:w="105" w:type="dxa"/>
              <w:bottom w:w="0" w:type="dxa"/>
              <w:right w:w="105" w:type="dxa"/>
            </w:tcMar>
            <w:vAlign w:val="center"/>
          </w:tcPr>
          <w:p w14:paraId="4EB18ACE">
            <w:pPr>
              <w:keepNext w:val="0"/>
              <w:keepLines w:val="0"/>
              <w:pageBreakBefore w:val="0"/>
              <w:widowControl/>
              <w:kinsoku/>
              <w:wordWrap/>
              <w:overflowPunct/>
              <w:topLinePunct w:val="0"/>
              <w:autoSpaceDE/>
              <w:autoSpaceDN/>
              <w:bidi w:val="0"/>
              <w:adjustRightInd/>
              <w:snapToGrid/>
              <w:spacing w:line="600" w:lineRule="exact"/>
              <w:ind w:left="-118" w:leftChars="-56" w:right="-118" w:rightChars="-56"/>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尚未</w:t>
            </w:r>
          </w:p>
          <w:p w14:paraId="6DD6CED7">
            <w:pPr>
              <w:keepNext w:val="0"/>
              <w:keepLines w:val="0"/>
              <w:pageBreakBefore w:val="0"/>
              <w:widowControl/>
              <w:kinsoku/>
              <w:wordWrap/>
              <w:overflowPunct/>
              <w:topLinePunct w:val="0"/>
              <w:autoSpaceDE/>
              <w:autoSpaceDN/>
              <w:bidi w:val="0"/>
              <w:adjustRightInd/>
              <w:snapToGrid/>
              <w:spacing w:line="600" w:lineRule="exact"/>
              <w:ind w:left="-118" w:leftChars="-56" w:right="-118" w:rightChars="-56"/>
              <w:jc w:val="center"/>
              <w:textAlignment w:val="auto"/>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kern w:val="0"/>
                <w:sz w:val="21"/>
                <w:szCs w:val="21"/>
              </w:rPr>
              <w:t>审结</w:t>
            </w:r>
          </w:p>
        </w:tc>
        <w:tc>
          <w:tcPr>
            <w:tcW w:w="631" w:type="dxa"/>
            <w:vMerge w:val="restart"/>
            <w:tcBorders>
              <w:top w:val="single" w:color="auto" w:sz="6" w:space="0"/>
              <w:left w:val="nil"/>
              <w:right w:val="single" w:color="auto" w:sz="6" w:space="0"/>
            </w:tcBorders>
            <w:shd w:val="clear" w:color="auto" w:fill="auto"/>
            <w:tcMar>
              <w:top w:w="0" w:type="dxa"/>
              <w:left w:w="105" w:type="dxa"/>
              <w:bottom w:w="0" w:type="dxa"/>
              <w:right w:w="105" w:type="dxa"/>
            </w:tcMar>
            <w:vAlign w:val="center"/>
          </w:tcPr>
          <w:p w14:paraId="5A3D060F">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总</w:t>
            </w:r>
          </w:p>
          <w:p w14:paraId="49EEEB94">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kern w:val="0"/>
                <w:sz w:val="21"/>
                <w:szCs w:val="21"/>
              </w:rPr>
              <w:t>计</w:t>
            </w:r>
          </w:p>
        </w:tc>
        <w:tc>
          <w:tcPr>
            <w:tcW w:w="2856"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AEB65C8">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1"/>
                <w:szCs w:val="21"/>
              </w:rPr>
            </w:pPr>
            <w:r>
              <w:rPr>
                <w:rFonts w:hint="eastAsia" w:ascii="黑体" w:hAnsi="黑体" w:eastAsia="黑体" w:cs="黑体"/>
                <w:kern w:val="0"/>
                <w:sz w:val="21"/>
                <w:szCs w:val="21"/>
              </w:rPr>
              <w:t>未经复议直接起诉</w:t>
            </w:r>
          </w:p>
        </w:tc>
        <w:tc>
          <w:tcPr>
            <w:tcW w:w="2911"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44F91D1">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1"/>
                <w:szCs w:val="21"/>
              </w:rPr>
            </w:pPr>
            <w:r>
              <w:rPr>
                <w:rFonts w:hint="eastAsia" w:ascii="黑体" w:hAnsi="黑体" w:eastAsia="黑体" w:cs="黑体"/>
                <w:kern w:val="0"/>
                <w:sz w:val="21"/>
                <w:szCs w:val="21"/>
              </w:rPr>
              <w:t>复议后起诉</w:t>
            </w:r>
          </w:p>
        </w:tc>
      </w:tr>
      <w:tr w14:paraId="5CF500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579" w:type="dxa"/>
            <w:vMerge w:val="continue"/>
            <w:tcBorders>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04BEEF5">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themeColor="text1"/>
                <w:sz w:val="21"/>
                <w:szCs w:val="21"/>
                <w14:textFill>
                  <w14:solidFill>
                    <w14:schemeClr w14:val="tx1"/>
                  </w14:solidFill>
                </w14:textFill>
              </w:rPr>
            </w:pPr>
          </w:p>
        </w:tc>
        <w:tc>
          <w:tcPr>
            <w:tcW w:w="579" w:type="dxa"/>
            <w:vMerge w:val="continue"/>
            <w:tcBorders>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8B87316">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themeColor="text1"/>
                <w:sz w:val="21"/>
                <w:szCs w:val="21"/>
                <w14:textFill>
                  <w14:solidFill>
                    <w14:schemeClr w14:val="tx1"/>
                  </w14:solidFill>
                </w14:textFill>
              </w:rPr>
            </w:pPr>
          </w:p>
        </w:tc>
        <w:tc>
          <w:tcPr>
            <w:tcW w:w="579" w:type="dxa"/>
            <w:vMerge w:val="continue"/>
            <w:tcBorders>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F0DA01F">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themeColor="text1"/>
                <w:sz w:val="21"/>
                <w:szCs w:val="21"/>
                <w14:textFill>
                  <w14:solidFill>
                    <w14:schemeClr w14:val="tx1"/>
                  </w14:solidFill>
                </w14:textFill>
              </w:rPr>
            </w:pPr>
          </w:p>
        </w:tc>
        <w:tc>
          <w:tcPr>
            <w:tcW w:w="579" w:type="dxa"/>
            <w:vMerge w:val="continue"/>
            <w:tcBorders>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8DB68D2">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themeColor="text1"/>
                <w:sz w:val="21"/>
                <w:szCs w:val="21"/>
                <w14:textFill>
                  <w14:solidFill>
                    <w14:schemeClr w14:val="tx1"/>
                  </w14:solidFill>
                </w14:textFill>
              </w:rPr>
            </w:pPr>
          </w:p>
        </w:tc>
        <w:tc>
          <w:tcPr>
            <w:tcW w:w="631" w:type="dxa"/>
            <w:vMerge w:val="continue"/>
            <w:tcBorders>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8813FC7">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themeColor="text1"/>
                <w:sz w:val="21"/>
                <w:szCs w:val="21"/>
                <w14:textFill>
                  <w14:solidFill>
                    <w14:schemeClr w14:val="tx1"/>
                  </w14:solidFill>
                </w14:textFill>
              </w:rPr>
            </w:pPr>
          </w:p>
        </w:tc>
        <w:tc>
          <w:tcPr>
            <w:tcW w:w="52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92FC882">
            <w:pPr>
              <w:keepNext w:val="0"/>
              <w:keepLines w:val="0"/>
              <w:pageBreakBefore w:val="0"/>
              <w:widowControl/>
              <w:kinsoku/>
              <w:wordWrap/>
              <w:overflowPunct/>
              <w:topLinePunct w:val="0"/>
              <w:autoSpaceDE/>
              <w:autoSpaceDN/>
              <w:bidi w:val="0"/>
              <w:adjustRightInd/>
              <w:snapToGrid/>
              <w:spacing w:line="600" w:lineRule="exact"/>
              <w:ind w:left="-105" w:leftChars="-50" w:right="-126" w:rightChars="-60"/>
              <w:jc w:val="center"/>
              <w:textAlignment w:val="auto"/>
              <w:rPr>
                <w:rFonts w:hint="eastAsia" w:ascii="黑体" w:hAnsi="黑体" w:eastAsia="黑体" w:cs="黑体"/>
                <w:sz w:val="21"/>
                <w:szCs w:val="21"/>
              </w:rPr>
            </w:pPr>
            <w:r>
              <w:rPr>
                <w:rFonts w:hint="eastAsia" w:ascii="黑体" w:hAnsi="黑体" w:eastAsia="黑体" w:cs="黑体"/>
                <w:kern w:val="0"/>
                <w:sz w:val="21"/>
                <w:szCs w:val="21"/>
              </w:rPr>
              <w:t>结果维持</w:t>
            </w:r>
          </w:p>
        </w:tc>
        <w:tc>
          <w:tcPr>
            <w:tcW w:w="58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651AF06">
            <w:pPr>
              <w:keepNext w:val="0"/>
              <w:keepLines w:val="0"/>
              <w:pageBreakBefore w:val="0"/>
              <w:widowControl/>
              <w:kinsoku/>
              <w:wordWrap/>
              <w:overflowPunct/>
              <w:topLinePunct w:val="0"/>
              <w:autoSpaceDE/>
              <w:autoSpaceDN/>
              <w:bidi w:val="0"/>
              <w:adjustRightInd/>
              <w:snapToGrid/>
              <w:spacing w:line="600" w:lineRule="exact"/>
              <w:ind w:left="-86" w:leftChars="-41" w:right="-88" w:rightChars="-42"/>
              <w:jc w:val="center"/>
              <w:textAlignment w:val="auto"/>
              <w:rPr>
                <w:rFonts w:hint="eastAsia" w:ascii="黑体" w:hAnsi="黑体" w:eastAsia="黑体" w:cs="黑体"/>
                <w:sz w:val="21"/>
                <w:szCs w:val="21"/>
              </w:rPr>
            </w:pPr>
            <w:r>
              <w:rPr>
                <w:rFonts w:hint="eastAsia" w:ascii="黑体" w:hAnsi="黑体" w:eastAsia="黑体" w:cs="黑体"/>
                <w:kern w:val="0"/>
                <w:sz w:val="21"/>
                <w:szCs w:val="21"/>
              </w:rPr>
              <w:t>结果纠正</w:t>
            </w:r>
          </w:p>
        </w:tc>
        <w:tc>
          <w:tcPr>
            <w:tcW w:w="58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59881E3">
            <w:pPr>
              <w:keepNext w:val="0"/>
              <w:keepLines w:val="0"/>
              <w:pageBreakBefore w:val="0"/>
              <w:widowControl/>
              <w:kinsoku/>
              <w:wordWrap/>
              <w:overflowPunct/>
              <w:topLinePunct w:val="0"/>
              <w:autoSpaceDE/>
              <w:autoSpaceDN/>
              <w:bidi w:val="0"/>
              <w:adjustRightInd/>
              <w:snapToGrid/>
              <w:spacing w:line="600" w:lineRule="exact"/>
              <w:ind w:left="-126" w:leftChars="-60" w:right="-136" w:rightChars="-65"/>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其他</w:t>
            </w:r>
          </w:p>
          <w:p w14:paraId="3FD39891">
            <w:pPr>
              <w:keepNext w:val="0"/>
              <w:keepLines w:val="0"/>
              <w:pageBreakBefore w:val="0"/>
              <w:widowControl/>
              <w:kinsoku/>
              <w:wordWrap/>
              <w:overflowPunct/>
              <w:topLinePunct w:val="0"/>
              <w:autoSpaceDE/>
              <w:autoSpaceDN/>
              <w:bidi w:val="0"/>
              <w:adjustRightInd/>
              <w:snapToGrid/>
              <w:spacing w:line="600" w:lineRule="exact"/>
              <w:ind w:left="-126" w:leftChars="-60" w:right="-136" w:rightChars="-65"/>
              <w:jc w:val="center"/>
              <w:textAlignment w:val="auto"/>
              <w:rPr>
                <w:rFonts w:hint="eastAsia" w:ascii="黑体" w:hAnsi="黑体" w:eastAsia="黑体" w:cs="黑体"/>
                <w:sz w:val="21"/>
                <w:szCs w:val="21"/>
              </w:rPr>
            </w:pPr>
            <w:r>
              <w:rPr>
                <w:rFonts w:hint="eastAsia" w:ascii="黑体" w:hAnsi="黑体" w:eastAsia="黑体" w:cs="黑体"/>
                <w:kern w:val="0"/>
                <w:sz w:val="21"/>
                <w:szCs w:val="21"/>
              </w:rPr>
              <w:t>结果</w:t>
            </w:r>
          </w:p>
        </w:tc>
        <w:tc>
          <w:tcPr>
            <w:tcW w:w="58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445A11C">
            <w:pPr>
              <w:keepNext w:val="0"/>
              <w:keepLines w:val="0"/>
              <w:pageBreakBefore w:val="0"/>
              <w:widowControl/>
              <w:kinsoku/>
              <w:wordWrap/>
              <w:overflowPunct/>
              <w:topLinePunct w:val="0"/>
              <w:autoSpaceDE/>
              <w:autoSpaceDN/>
              <w:bidi w:val="0"/>
              <w:adjustRightInd/>
              <w:snapToGrid/>
              <w:spacing w:line="600" w:lineRule="exact"/>
              <w:ind w:left="-164" w:leftChars="-78" w:right="-153" w:rightChars="-73"/>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尚未</w:t>
            </w:r>
          </w:p>
          <w:p w14:paraId="42A08243">
            <w:pPr>
              <w:keepNext w:val="0"/>
              <w:keepLines w:val="0"/>
              <w:pageBreakBefore w:val="0"/>
              <w:widowControl/>
              <w:kinsoku/>
              <w:wordWrap/>
              <w:overflowPunct/>
              <w:topLinePunct w:val="0"/>
              <w:autoSpaceDE/>
              <w:autoSpaceDN/>
              <w:bidi w:val="0"/>
              <w:adjustRightInd/>
              <w:snapToGrid/>
              <w:spacing w:line="600" w:lineRule="exact"/>
              <w:ind w:left="-164" w:leftChars="-78" w:right="-153" w:rightChars="-73"/>
              <w:jc w:val="center"/>
              <w:textAlignment w:val="auto"/>
              <w:rPr>
                <w:rFonts w:hint="eastAsia" w:ascii="黑体" w:hAnsi="黑体" w:eastAsia="黑体" w:cs="黑体"/>
                <w:sz w:val="21"/>
                <w:szCs w:val="21"/>
              </w:rPr>
            </w:pPr>
            <w:r>
              <w:rPr>
                <w:rFonts w:hint="eastAsia" w:ascii="黑体" w:hAnsi="黑体" w:eastAsia="黑体" w:cs="黑体"/>
                <w:kern w:val="0"/>
                <w:sz w:val="21"/>
                <w:szCs w:val="21"/>
              </w:rPr>
              <w:t>审结</w:t>
            </w:r>
          </w:p>
        </w:tc>
        <w:tc>
          <w:tcPr>
            <w:tcW w:w="58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C0AC351">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1"/>
                <w:szCs w:val="21"/>
              </w:rPr>
            </w:pPr>
            <w:r>
              <w:rPr>
                <w:rFonts w:hint="eastAsia" w:ascii="黑体" w:hAnsi="黑体" w:eastAsia="黑体" w:cs="黑体"/>
                <w:kern w:val="0"/>
                <w:sz w:val="21"/>
                <w:szCs w:val="21"/>
              </w:rPr>
              <w:t>总计</w:t>
            </w:r>
          </w:p>
        </w:tc>
        <w:tc>
          <w:tcPr>
            <w:tcW w:w="58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E2EAA0D">
            <w:pPr>
              <w:keepNext w:val="0"/>
              <w:keepLines w:val="0"/>
              <w:pageBreakBefore w:val="0"/>
              <w:widowControl/>
              <w:kinsoku/>
              <w:wordWrap/>
              <w:overflowPunct/>
              <w:topLinePunct w:val="0"/>
              <w:autoSpaceDE/>
              <w:autoSpaceDN/>
              <w:bidi w:val="0"/>
              <w:adjustRightInd/>
              <w:snapToGrid/>
              <w:spacing w:line="600" w:lineRule="exact"/>
              <w:ind w:left="-99" w:leftChars="-47" w:right="-78" w:rightChars="-37"/>
              <w:jc w:val="center"/>
              <w:textAlignment w:val="auto"/>
              <w:rPr>
                <w:rFonts w:hint="eastAsia" w:ascii="黑体" w:hAnsi="黑体" w:eastAsia="黑体" w:cs="黑体"/>
                <w:sz w:val="21"/>
                <w:szCs w:val="21"/>
              </w:rPr>
            </w:pPr>
            <w:r>
              <w:rPr>
                <w:rFonts w:hint="eastAsia" w:ascii="黑体" w:hAnsi="黑体" w:eastAsia="黑体" w:cs="黑体"/>
                <w:kern w:val="0"/>
                <w:sz w:val="21"/>
                <w:szCs w:val="21"/>
              </w:rPr>
              <w:t>结果维持</w:t>
            </w:r>
          </w:p>
        </w:tc>
        <w:tc>
          <w:tcPr>
            <w:tcW w:w="58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198602">
            <w:pPr>
              <w:keepNext w:val="0"/>
              <w:keepLines w:val="0"/>
              <w:pageBreakBefore w:val="0"/>
              <w:widowControl/>
              <w:kinsoku/>
              <w:wordWrap/>
              <w:overflowPunct/>
              <w:topLinePunct w:val="0"/>
              <w:autoSpaceDE/>
              <w:autoSpaceDN/>
              <w:bidi w:val="0"/>
              <w:adjustRightInd/>
              <w:snapToGrid/>
              <w:spacing w:line="600" w:lineRule="exact"/>
              <w:ind w:left="-136" w:leftChars="-65" w:right="-124" w:rightChars="-59"/>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结果</w:t>
            </w:r>
          </w:p>
          <w:p w14:paraId="41246FA2">
            <w:pPr>
              <w:keepNext w:val="0"/>
              <w:keepLines w:val="0"/>
              <w:pageBreakBefore w:val="0"/>
              <w:widowControl/>
              <w:kinsoku/>
              <w:wordWrap/>
              <w:overflowPunct/>
              <w:topLinePunct w:val="0"/>
              <w:autoSpaceDE/>
              <w:autoSpaceDN/>
              <w:bidi w:val="0"/>
              <w:adjustRightInd/>
              <w:snapToGrid/>
              <w:spacing w:line="600" w:lineRule="exact"/>
              <w:ind w:left="-136" w:leftChars="-65" w:right="-124" w:rightChars="-59"/>
              <w:jc w:val="center"/>
              <w:textAlignment w:val="auto"/>
              <w:rPr>
                <w:rFonts w:hint="eastAsia" w:ascii="黑体" w:hAnsi="黑体" w:eastAsia="黑体" w:cs="黑体"/>
                <w:sz w:val="21"/>
                <w:szCs w:val="21"/>
              </w:rPr>
            </w:pPr>
            <w:r>
              <w:rPr>
                <w:rFonts w:hint="eastAsia" w:ascii="黑体" w:hAnsi="黑体" w:eastAsia="黑体" w:cs="黑体"/>
                <w:kern w:val="0"/>
                <w:sz w:val="21"/>
                <w:szCs w:val="21"/>
              </w:rPr>
              <w:t>纠正</w:t>
            </w:r>
          </w:p>
        </w:tc>
        <w:tc>
          <w:tcPr>
            <w:tcW w:w="58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944BA83">
            <w:pPr>
              <w:keepNext w:val="0"/>
              <w:keepLines w:val="0"/>
              <w:pageBreakBefore w:val="0"/>
              <w:widowControl/>
              <w:kinsoku/>
              <w:wordWrap/>
              <w:overflowPunct/>
              <w:topLinePunct w:val="0"/>
              <w:autoSpaceDE/>
              <w:autoSpaceDN/>
              <w:bidi w:val="0"/>
              <w:adjustRightInd/>
              <w:snapToGrid/>
              <w:spacing w:line="600" w:lineRule="exact"/>
              <w:ind w:left="-173" w:leftChars="-83" w:right="-134" w:rightChars="-64" w:hanging="1"/>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其他</w:t>
            </w:r>
          </w:p>
          <w:p w14:paraId="3E9DD50A">
            <w:pPr>
              <w:keepNext w:val="0"/>
              <w:keepLines w:val="0"/>
              <w:pageBreakBefore w:val="0"/>
              <w:widowControl/>
              <w:kinsoku/>
              <w:wordWrap/>
              <w:overflowPunct/>
              <w:topLinePunct w:val="0"/>
              <w:autoSpaceDE/>
              <w:autoSpaceDN/>
              <w:bidi w:val="0"/>
              <w:adjustRightInd/>
              <w:snapToGrid/>
              <w:spacing w:line="600" w:lineRule="exact"/>
              <w:ind w:left="-173" w:leftChars="-83" w:right="-134" w:rightChars="-64" w:hanging="1" w:firstLineChars="0"/>
              <w:jc w:val="center"/>
              <w:textAlignment w:val="auto"/>
              <w:rPr>
                <w:rFonts w:hint="eastAsia" w:ascii="黑体" w:hAnsi="黑体" w:eastAsia="黑体" w:cs="黑体"/>
                <w:sz w:val="21"/>
                <w:szCs w:val="21"/>
              </w:rPr>
            </w:pPr>
            <w:r>
              <w:rPr>
                <w:rFonts w:hint="eastAsia" w:ascii="黑体" w:hAnsi="黑体" w:eastAsia="黑体" w:cs="黑体"/>
                <w:kern w:val="0"/>
                <w:sz w:val="21"/>
                <w:szCs w:val="21"/>
              </w:rPr>
              <w:t>结果</w:t>
            </w:r>
          </w:p>
        </w:tc>
        <w:tc>
          <w:tcPr>
            <w:tcW w:w="58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7BF3533">
            <w:pPr>
              <w:keepNext w:val="0"/>
              <w:keepLines w:val="0"/>
              <w:pageBreakBefore w:val="0"/>
              <w:widowControl/>
              <w:kinsoku/>
              <w:wordWrap/>
              <w:overflowPunct/>
              <w:topLinePunct w:val="0"/>
              <w:autoSpaceDE/>
              <w:autoSpaceDN/>
              <w:bidi w:val="0"/>
              <w:adjustRightInd/>
              <w:snapToGrid/>
              <w:spacing w:line="600" w:lineRule="exact"/>
              <w:ind w:left="-67" w:leftChars="-33" w:right="-105" w:rightChars="-50" w:hanging="2" w:hangingChars="1"/>
              <w:jc w:val="center"/>
              <w:textAlignment w:val="auto"/>
              <w:rPr>
                <w:rFonts w:hint="eastAsia" w:ascii="黑体" w:hAnsi="黑体" w:eastAsia="黑体" w:cs="黑体"/>
                <w:sz w:val="21"/>
                <w:szCs w:val="21"/>
              </w:rPr>
            </w:pPr>
            <w:r>
              <w:rPr>
                <w:rFonts w:hint="eastAsia" w:ascii="黑体" w:hAnsi="黑体" w:eastAsia="黑体" w:cs="黑体"/>
                <w:kern w:val="0"/>
                <w:sz w:val="21"/>
                <w:szCs w:val="21"/>
              </w:rPr>
              <w:t>尚未审结</w:t>
            </w:r>
          </w:p>
        </w:tc>
        <w:tc>
          <w:tcPr>
            <w:tcW w:w="58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D261FB8">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1"/>
                <w:szCs w:val="21"/>
              </w:rPr>
            </w:pPr>
            <w:r>
              <w:rPr>
                <w:rFonts w:hint="eastAsia" w:ascii="黑体" w:hAnsi="黑体" w:eastAsia="黑体" w:cs="黑体"/>
                <w:kern w:val="0"/>
                <w:sz w:val="21"/>
                <w:szCs w:val="21"/>
              </w:rPr>
              <w:t>总计</w:t>
            </w:r>
          </w:p>
        </w:tc>
      </w:tr>
      <w:tr w14:paraId="1379E60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 w:hRule="atLeast"/>
          <w:jc w:val="center"/>
        </w:trPr>
        <w:tc>
          <w:tcPr>
            <w:tcW w:w="579" w:type="dxa"/>
            <w:tcBorders>
              <w:top w:val="nil"/>
              <w:left w:val="single" w:color="auto" w:sz="6" w:space="0"/>
              <w:right w:val="single" w:color="auto" w:sz="6" w:space="0"/>
            </w:tcBorders>
            <w:shd w:val="clear" w:color="auto" w:fill="auto"/>
            <w:tcMar>
              <w:top w:w="0" w:type="dxa"/>
              <w:left w:w="105" w:type="dxa"/>
              <w:bottom w:w="0" w:type="dxa"/>
              <w:right w:w="105" w:type="dxa"/>
            </w:tcMar>
            <w:vAlign w:val="center"/>
          </w:tcPr>
          <w:p w14:paraId="11DE0333">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0</w:t>
            </w:r>
          </w:p>
        </w:tc>
        <w:tc>
          <w:tcPr>
            <w:tcW w:w="579" w:type="dxa"/>
            <w:tcBorders>
              <w:top w:val="nil"/>
              <w:left w:val="nil"/>
              <w:right w:val="single" w:color="auto" w:sz="6" w:space="0"/>
            </w:tcBorders>
            <w:shd w:val="clear" w:color="auto" w:fill="auto"/>
            <w:tcMar>
              <w:top w:w="0" w:type="dxa"/>
              <w:left w:w="105" w:type="dxa"/>
              <w:bottom w:w="0" w:type="dxa"/>
              <w:right w:w="105" w:type="dxa"/>
            </w:tcMar>
            <w:vAlign w:val="center"/>
          </w:tcPr>
          <w:p w14:paraId="1C78D852">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highlight w:val="none"/>
                <w:lang w:val="en-US" w:eastAsia="zh-CN"/>
              </w:rPr>
              <w:t>1</w:t>
            </w:r>
          </w:p>
        </w:tc>
        <w:tc>
          <w:tcPr>
            <w:tcW w:w="579" w:type="dxa"/>
            <w:tcBorders>
              <w:top w:val="nil"/>
              <w:left w:val="nil"/>
              <w:right w:val="single" w:color="auto" w:sz="6" w:space="0"/>
            </w:tcBorders>
            <w:shd w:val="clear" w:color="auto" w:fill="auto"/>
            <w:tcMar>
              <w:top w:w="0" w:type="dxa"/>
              <w:left w:w="105" w:type="dxa"/>
              <w:bottom w:w="0" w:type="dxa"/>
              <w:right w:w="105" w:type="dxa"/>
            </w:tcMar>
            <w:vAlign w:val="center"/>
          </w:tcPr>
          <w:p w14:paraId="326529A7">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default" w:ascii="Times New Roman" w:hAnsi="Times New Roman" w:eastAsia="黑体" w:cs="Times New Roman"/>
                <w:sz w:val="21"/>
                <w:szCs w:val="21"/>
                <w:highlight w:val="yellow"/>
                <w:lang w:val="en-US" w:eastAsia="zh-CN"/>
              </w:rPr>
            </w:pPr>
            <w:r>
              <w:rPr>
                <w:rFonts w:hint="default" w:ascii="Times New Roman" w:hAnsi="Times New Roman" w:eastAsia="黑体" w:cs="Times New Roman"/>
                <w:sz w:val="21"/>
                <w:szCs w:val="21"/>
                <w:highlight w:val="none"/>
                <w:lang w:val="en-US" w:eastAsia="zh-CN"/>
              </w:rPr>
              <w:t>0</w:t>
            </w:r>
          </w:p>
        </w:tc>
        <w:tc>
          <w:tcPr>
            <w:tcW w:w="579" w:type="dxa"/>
            <w:tcBorders>
              <w:top w:val="nil"/>
              <w:left w:val="nil"/>
              <w:right w:val="single" w:color="auto" w:sz="6" w:space="0"/>
            </w:tcBorders>
            <w:shd w:val="clear" w:color="auto" w:fill="auto"/>
            <w:tcMar>
              <w:top w:w="0" w:type="dxa"/>
              <w:left w:w="105" w:type="dxa"/>
              <w:bottom w:w="0" w:type="dxa"/>
              <w:right w:w="105" w:type="dxa"/>
            </w:tcMar>
            <w:vAlign w:val="center"/>
          </w:tcPr>
          <w:p w14:paraId="45B0F506">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0</w:t>
            </w:r>
          </w:p>
        </w:tc>
        <w:tc>
          <w:tcPr>
            <w:tcW w:w="631" w:type="dxa"/>
            <w:tcBorders>
              <w:top w:val="nil"/>
              <w:left w:val="nil"/>
              <w:right w:val="single" w:color="auto" w:sz="6" w:space="0"/>
            </w:tcBorders>
            <w:shd w:val="clear" w:color="auto" w:fill="auto"/>
            <w:tcMar>
              <w:top w:w="0" w:type="dxa"/>
              <w:left w:w="105" w:type="dxa"/>
              <w:bottom w:w="0" w:type="dxa"/>
              <w:right w:w="105" w:type="dxa"/>
            </w:tcMar>
            <w:vAlign w:val="center"/>
          </w:tcPr>
          <w:p w14:paraId="5D61A35E">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highlight w:val="none"/>
                <w:lang w:val="en-US" w:eastAsia="zh-CN"/>
              </w:rPr>
              <w:t>1</w:t>
            </w:r>
          </w:p>
        </w:tc>
        <w:tc>
          <w:tcPr>
            <w:tcW w:w="5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F4FE383">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0</w:t>
            </w:r>
          </w:p>
        </w:tc>
        <w:tc>
          <w:tcPr>
            <w:tcW w:w="5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23671FD">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0</w:t>
            </w:r>
          </w:p>
        </w:tc>
        <w:tc>
          <w:tcPr>
            <w:tcW w:w="58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FCAECCB">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0</w:t>
            </w:r>
          </w:p>
        </w:tc>
        <w:tc>
          <w:tcPr>
            <w:tcW w:w="58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06177B3">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0</w:t>
            </w:r>
          </w:p>
        </w:tc>
        <w:tc>
          <w:tcPr>
            <w:tcW w:w="58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C0ED253">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0</w:t>
            </w:r>
          </w:p>
        </w:tc>
        <w:tc>
          <w:tcPr>
            <w:tcW w:w="58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FA0235B">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0</w:t>
            </w:r>
          </w:p>
        </w:tc>
        <w:tc>
          <w:tcPr>
            <w:tcW w:w="58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5E7E437">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0</w:t>
            </w:r>
          </w:p>
        </w:tc>
        <w:tc>
          <w:tcPr>
            <w:tcW w:w="58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210E403">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0</w:t>
            </w:r>
          </w:p>
        </w:tc>
        <w:tc>
          <w:tcPr>
            <w:tcW w:w="58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2EBAC4A">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0</w:t>
            </w:r>
          </w:p>
        </w:tc>
        <w:tc>
          <w:tcPr>
            <w:tcW w:w="58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50DADD">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0</w:t>
            </w:r>
          </w:p>
        </w:tc>
      </w:tr>
    </w:tbl>
    <w:p w14:paraId="3A0D138F">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600" w:lineRule="exact"/>
        <w:ind w:leftChars="200" w:right="0" w:rightChars="0"/>
        <w:textAlignment w:val="auto"/>
        <w:rPr>
          <w:rFonts w:hint="eastAsia" w:ascii="黑体" w:hAnsi="宋体" w:eastAsia="黑体" w:cs="黑体"/>
          <w:spacing w:val="0"/>
          <w:sz w:val="32"/>
          <w:szCs w:val="32"/>
          <w:shd w:val="clear" w:fill="FFFFFF"/>
        </w:rPr>
      </w:pPr>
    </w:p>
    <w:p w14:paraId="452D3F56">
      <w:pPr>
        <w:pStyle w:val="4"/>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Autospacing="0" w:line="600" w:lineRule="exact"/>
        <w:ind w:left="0" w:firstLine="640" w:firstLineChars="200"/>
        <w:textAlignment w:val="auto"/>
        <w:rPr>
          <w:rFonts w:hint="eastAsia" w:ascii="黑体" w:hAnsi="宋体" w:eastAsia="黑体" w:cs="黑体"/>
          <w:spacing w:val="0"/>
          <w:sz w:val="32"/>
          <w:szCs w:val="32"/>
          <w:shd w:val="clear" w:fill="FFFFFF"/>
        </w:rPr>
      </w:pPr>
      <w:r>
        <w:rPr>
          <w:rFonts w:hint="eastAsia" w:ascii="黑体" w:hAnsi="宋体" w:eastAsia="黑体" w:cs="黑体"/>
          <w:sz w:val="32"/>
          <w:szCs w:val="32"/>
          <w:shd w:val="clear" w:fill="FFFFFF"/>
        </w:rPr>
        <w:t>存在的主要问题及改进情况</w:t>
      </w:r>
    </w:p>
    <w:p w14:paraId="60D09F4E">
      <w:pPr>
        <w:pStyle w:val="4"/>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Autospacing="0" w:line="600" w:lineRule="exact"/>
        <w:ind w:leftChars="200" w:right="0" w:righ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存在问题</w:t>
      </w:r>
    </w:p>
    <w:p w14:paraId="6D0B427A">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600" w:lineRule="exact"/>
        <w:ind w:right="0" w:rightChars="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市发展和改革局在进一步规范化、制度化政府信息公开工作的同时，也存在一些不足，主要是：政府门户网站运维监管仍需强化，重点领域信息主动公开仍需深化，政务公开工作队伍稳定性和专业性仍需加强。</w:t>
      </w:r>
    </w:p>
    <w:p w14:paraId="4514204D">
      <w:pPr>
        <w:pStyle w:val="4"/>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Autospacing="0" w:line="600" w:lineRule="exact"/>
        <w:ind w:leftChars="200" w:right="0" w:rightChars="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改进措施</w:t>
      </w:r>
    </w:p>
    <w:p w14:paraId="0EF2DB7C">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600" w:lineRule="exact"/>
        <w:ind w:right="0" w:rightChars="0" w:firstLine="643" w:firstLineChars="200"/>
        <w:textAlignment w:val="auto"/>
        <w:rPr>
          <w:rFonts w:hint="default" w:ascii="楷体_GB2312" w:hAnsi="楷体_GB2312" w:eastAsia="楷体_GB2312" w:cs="楷体_GB2312"/>
          <w:sz w:val="32"/>
          <w:szCs w:val="32"/>
          <w:lang w:val="en-US" w:eastAsia="zh-CN"/>
        </w:rPr>
      </w:pPr>
      <w:r>
        <w:rPr>
          <w:rFonts w:hint="default" w:ascii="仿宋_GB2312" w:eastAsia="仿宋_GB2312" w:cs="仿宋_GB2312"/>
          <w:b/>
          <w:bCs/>
          <w:sz w:val="32"/>
          <w:szCs w:val="32"/>
          <w:lang w:val="en-US" w:eastAsia="zh-CN"/>
        </w:rPr>
        <w:t>一是</w:t>
      </w:r>
      <w:r>
        <w:rPr>
          <w:rFonts w:hint="default" w:ascii="仿宋_GB2312" w:eastAsia="仿宋_GB2312" w:cs="仿宋_GB2312"/>
          <w:sz w:val="32"/>
          <w:szCs w:val="32"/>
          <w:lang w:val="en-US" w:eastAsia="zh-CN"/>
        </w:rPr>
        <w:t>提升信息公开质量。加大主动公开力度，及时更新信息，推进重点领域信息公开，提升政策文件公开质量</w:t>
      </w:r>
      <w:r>
        <w:rPr>
          <w:rFonts w:hint="eastAsia" w:ascii="仿宋_GB2312" w:eastAsia="仿宋_GB2312" w:cs="仿宋_GB2312"/>
          <w:sz w:val="32"/>
          <w:szCs w:val="32"/>
          <w:lang w:val="en-US" w:eastAsia="zh-CN"/>
        </w:rPr>
        <w:t>。</w:t>
      </w:r>
      <w:r>
        <w:rPr>
          <w:rFonts w:hint="eastAsia" w:ascii="仿宋_GB2312" w:eastAsia="仿宋_GB2312" w:cs="仿宋_GB2312"/>
          <w:b/>
          <w:bCs/>
          <w:sz w:val="32"/>
          <w:szCs w:val="32"/>
          <w:lang w:val="en-US" w:eastAsia="zh-CN"/>
        </w:rPr>
        <w:t>二是</w:t>
      </w:r>
      <w:r>
        <w:rPr>
          <w:rFonts w:hint="eastAsia" w:ascii="仿宋_GB2312" w:eastAsia="仿宋_GB2312" w:cs="仿宋_GB2312"/>
          <w:sz w:val="32"/>
          <w:szCs w:val="32"/>
          <w:lang w:val="en-US" w:eastAsia="zh-CN"/>
        </w:rPr>
        <w:t>加强门户网站管理。持续做好政府网站运行情况的日常检查，提升政府信息公开的传播力、影响力与引导力。</w:t>
      </w:r>
      <w:r>
        <w:rPr>
          <w:rFonts w:hint="eastAsia" w:ascii="仿宋_GB2312" w:eastAsia="仿宋_GB2312" w:cs="仿宋_GB2312"/>
          <w:b/>
          <w:bCs/>
          <w:sz w:val="32"/>
          <w:szCs w:val="32"/>
          <w:lang w:val="en-US" w:eastAsia="zh-CN"/>
        </w:rPr>
        <w:t>三是</w:t>
      </w:r>
      <w:r>
        <w:rPr>
          <w:rFonts w:hint="eastAsia" w:ascii="仿宋_GB2312" w:eastAsia="仿宋_GB2312" w:cs="仿宋_GB2312"/>
          <w:sz w:val="32"/>
          <w:szCs w:val="32"/>
          <w:lang w:val="en-US" w:eastAsia="zh-CN"/>
        </w:rPr>
        <w:t>加强政务公开工作队伍建设。完善政务公开工作规范，加强对工作人员的培训力度，全面提升政务公开工作队伍能力和水平。</w:t>
      </w:r>
    </w:p>
    <w:p w14:paraId="29E0E5E5">
      <w:pPr>
        <w:pStyle w:val="4"/>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Autospacing="0" w:line="600" w:lineRule="exact"/>
        <w:ind w:left="0" w:firstLine="640" w:firstLineChars="200"/>
        <w:textAlignment w:val="auto"/>
        <w:rPr>
          <w:rFonts w:hint="eastAsia" w:ascii="黑体" w:hAnsi="宋体" w:eastAsia="黑体" w:cs="黑体"/>
          <w:spacing w:val="0"/>
          <w:sz w:val="32"/>
          <w:szCs w:val="32"/>
          <w:shd w:val="clear" w:fill="FFFFFF"/>
        </w:rPr>
      </w:pPr>
      <w:r>
        <w:rPr>
          <w:rFonts w:hint="eastAsia" w:ascii="黑体" w:hAnsi="宋体" w:eastAsia="黑体" w:cs="黑体"/>
          <w:sz w:val="32"/>
          <w:szCs w:val="32"/>
        </w:rPr>
        <w:t>其他需要报告的事项</w:t>
      </w:r>
    </w:p>
    <w:p w14:paraId="3D73C756">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收取信息处理费情况方面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仿宋_GB2312" w:hAnsi="仿宋_GB2312" w:eastAsia="仿宋_GB2312" w:cs="仿宋_GB2312"/>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年度，本单位未收取信息处理费。</w:t>
      </w:r>
    </w:p>
    <w:p w14:paraId="20F0DB22">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落实上级年度政务公开工作要点情况。对照《滕州市</w:t>
      </w:r>
      <w:r>
        <w:rPr>
          <w:rFonts w:hint="default" w:ascii="仿宋_GB2312" w:hAnsi="仿宋_GB2312" w:eastAsia="仿宋_GB2312" w:cs="仿宋_GB2312"/>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年政务公开工作要点》，围绕重点领域信息公开、政务</w:t>
      </w:r>
      <w:r>
        <w:rPr>
          <w:rFonts w:hint="eastAsia" w:ascii="仿宋_GB2312" w:hAnsi="仿宋_GB2312" w:eastAsia="仿宋_GB2312" w:cs="仿宋_GB2312"/>
          <w:sz w:val="32"/>
          <w:szCs w:val="32"/>
        </w:rPr>
        <w:t>公开标准化规范化建设明确责任主体和完成时限。</w:t>
      </w:r>
    </w:p>
    <w:p w14:paraId="576CB8D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highlight w:val="none"/>
        </w:rPr>
        <w:t>人大代表建议和政协提案办理情况方面。</w:t>
      </w:r>
      <w:r>
        <w:rPr>
          <w:rFonts w:hint="eastAsia" w:ascii="仿宋_GB2312" w:hAnsi="仿宋_GB2312" w:eastAsia="仿宋_GB2312" w:cs="仿宋_GB2312"/>
          <w:sz w:val="32"/>
          <w:szCs w:val="32"/>
          <w:highlight w:val="none"/>
          <w:lang w:val="en-US" w:eastAsia="zh-CN"/>
        </w:rPr>
        <w:t>市发改局高度重视建议提案办理工作，成立专门工作小组，严格办理程序，加强与代表委员们的沟通，扎实做好承办建议提案的办理工作。</w:t>
      </w:r>
      <w:r>
        <w:rPr>
          <w:rFonts w:hint="default"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市发改局</w:t>
      </w:r>
      <w:r>
        <w:rPr>
          <w:rFonts w:hint="eastAsia" w:ascii="仿宋_GB2312" w:hAnsi="仿宋_GB2312" w:eastAsia="仿宋_GB2312" w:cs="仿宋_GB2312"/>
          <w:sz w:val="32"/>
          <w:szCs w:val="32"/>
          <w:lang w:val="en-US" w:eastAsia="zh-CN"/>
        </w:rPr>
        <w:t>共承办滕州人大代表建议4件和政协提案13件。截止8月5日已经全部办理答复，所有建议、提案办结率100%，满意率100%。人大代表和政协委员意见建议均充分协商并吸收采纳。</w:t>
      </w:r>
    </w:p>
    <w:p w14:paraId="3A2ADC2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开展政务公开创新方面：无。</w:t>
      </w:r>
    </w:p>
    <w:p w14:paraId="3937E78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本单位政府信息公</w:t>
      </w:r>
      <w:bookmarkStart w:id="0" w:name="_GoBack"/>
      <w:bookmarkEnd w:id="0"/>
      <w:r>
        <w:rPr>
          <w:rFonts w:hint="eastAsia" w:ascii="仿宋_GB2312" w:hAnsi="仿宋_GB2312" w:eastAsia="仿宋_GB2312" w:cs="仿宋_GB2312"/>
          <w:sz w:val="32"/>
          <w:szCs w:val="32"/>
        </w:rPr>
        <w:t>开工作年度报告数据统计需要说明的事项：无。</w:t>
      </w:r>
    </w:p>
    <w:p w14:paraId="1E3EEBC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其他有关文件专门要求通过政府信息公开工作年度报告予以报告的事项：无。</w:t>
      </w:r>
    </w:p>
    <w:p w14:paraId="08BE444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仿宋_GB2312" w:hAnsi="仿宋_GB2312" w:eastAsia="仿宋_GB2312" w:cs="仿宋_GB2312"/>
          <w:sz w:val="32"/>
          <w:szCs w:val="32"/>
        </w:rPr>
      </w:pPr>
    </w:p>
    <w:p w14:paraId="16A4252B">
      <w:pPr>
        <w:pStyle w:val="4"/>
        <w:keepNext w:val="0"/>
        <w:keepLines w:val="0"/>
        <w:pageBreakBefore w:val="0"/>
        <w:widowControl/>
        <w:suppressLineNumbers w:val="0"/>
        <w:kinsoku/>
        <w:overflowPunct/>
        <w:topLinePunct w:val="0"/>
        <w:autoSpaceDE/>
        <w:autoSpaceDN/>
        <w:bidi w:val="0"/>
        <w:adjustRightInd/>
        <w:snapToGrid/>
        <w:spacing w:beforeAutospacing="0" w:line="600" w:lineRule="exact"/>
        <w:ind w:left="0" w:firstLine="645"/>
        <w:textAlignment w:val="auto"/>
        <w:rPr>
          <w:rFonts w:hint="eastAsia" w:ascii="仿宋_GB2312" w:eastAsia="仿宋_GB2312" w:cs="仿宋_GB2312"/>
          <w:sz w:val="32"/>
          <w:szCs w:val="32"/>
        </w:rPr>
      </w:pPr>
      <w:r>
        <w:rPr>
          <w:rFonts w:hint="eastAsia" w:ascii="仿宋_GB2312" w:eastAsia="仿宋_GB2312" w:cs="仿宋_GB2312"/>
          <w:sz w:val="32"/>
          <w:szCs w:val="32"/>
        </w:rPr>
        <w:t>本报告的电子版可在</w:t>
      </w:r>
      <w:r>
        <w:rPr>
          <w:rFonts w:hint="eastAsia" w:ascii="仿宋_GB2312" w:eastAsia="仿宋_GB2312" w:cs="仿宋_GB2312"/>
          <w:spacing w:val="-11"/>
          <w:sz w:val="32"/>
          <w:szCs w:val="32"/>
        </w:rPr>
        <w:t>“中国滕州</w:t>
      </w:r>
      <w:r>
        <w:rPr>
          <w:rFonts w:hint="eastAsia" w:ascii="仿宋_GB2312" w:eastAsia="仿宋_GB2312" w:cs="仿宋_GB2312"/>
          <w:spacing w:val="-11"/>
          <w:sz w:val="32"/>
          <w:szCs w:val="32"/>
          <w:lang w:eastAsia="zh-CN"/>
        </w:rPr>
        <w:t>”</w:t>
      </w:r>
      <w:r>
        <w:rPr>
          <w:rFonts w:hint="eastAsia" w:ascii="仿宋_GB2312" w:eastAsia="仿宋_GB2312" w:cs="仿宋_GB2312"/>
          <w:spacing w:val="-11"/>
          <w:sz w:val="32"/>
          <w:szCs w:val="32"/>
        </w:rPr>
        <w:t>（www.tengzhou.gov.cn）网站查询和下载。如对本报告有</w:t>
      </w:r>
      <w:r>
        <w:rPr>
          <w:rFonts w:hint="eastAsia" w:ascii="仿宋_GB2312" w:eastAsia="仿宋_GB2312" w:cs="仿宋_GB2312"/>
          <w:sz w:val="32"/>
          <w:szCs w:val="32"/>
        </w:rPr>
        <w:t>任何疑问，请与滕州市发展和改革局办公室联系。（地址：山东省滕州市北辛中路政务中心</w:t>
      </w:r>
      <w:r>
        <w:rPr>
          <w:rFonts w:hint="default" w:ascii="仿宋_GB2312" w:eastAsia="仿宋_GB2312" w:cs="仿宋_GB2312"/>
          <w:sz w:val="32"/>
          <w:szCs w:val="32"/>
        </w:rPr>
        <w:t>522</w:t>
      </w:r>
      <w:r>
        <w:rPr>
          <w:rFonts w:hint="eastAsia" w:ascii="仿宋_GB2312" w:eastAsia="仿宋_GB2312" w:cs="仿宋_GB2312"/>
          <w:sz w:val="32"/>
          <w:szCs w:val="32"/>
        </w:rPr>
        <w:t>房间，联系电话：</w:t>
      </w:r>
      <w:r>
        <w:rPr>
          <w:rFonts w:hint="default" w:ascii="仿宋_GB2312" w:eastAsia="仿宋_GB2312" w:cs="仿宋_GB2312"/>
          <w:sz w:val="32"/>
          <w:szCs w:val="32"/>
        </w:rPr>
        <w:t>0632</w:t>
      </w:r>
      <w:r>
        <w:rPr>
          <w:rFonts w:hint="eastAsia" w:ascii="仿宋_GB2312" w:eastAsia="仿宋_GB2312" w:cs="仿宋_GB2312"/>
          <w:sz w:val="32"/>
          <w:szCs w:val="32"/>
        </w:rPr>
        <w:t>—</w:t>
      </w:r>
      <w:r>
        <w:rPr>
          <w:rFonts w:hint="default" w:ascii="仿宋_GB2312" w:eastAsia="仿宋_GB2312" w:cs="仿宋_GB2312"/>
          <w:sz w:val="32"/>
          <w:szCs w:val="32"/>
        </w:rPr>
        <w:t>5514858</w:t>
      </w:r>
      <w:r>
        <w:rPr>
          <w:rFonts w:hint="eastAsia" w:ascii="仿宋_GB2312" w:eastAsia="仿宋_GB2312" w:cs="仿宋_GB2312"/>
          <w:sz w:val="32"/>
          <w:szCs w:val="32"/>
        </w:rPr>
        <w:t>，电子邮箱：fagai</w:t>
      </w:r>
      <w:r>
        <w:rPr>
          <w:rFonts w:hint="default" w:ascii="仿宋_GB2312" w:eastAsia="仿宋_GB2312" w:cs="仿宋_GB2312"/>
          <w:sz w:val="32"/>
          <w:szCs w:val="32"/>
        </w:rPr>
        <w:t>5514858</w:t>
      </w:r>
      <w:r>
        <w:rPr>
          <w:rFonts w:hint="eastAsia" w:ascii="仿宋_GB2312" w:eastAsia="仿宋_GB2312" w:cs="仿宋_GB2312"/>
          <w:sz w:val="32"/>
          <w:szCs w:val="32"/>
        </w:rPr>
        <w:t>@</w:t>
      </w:r>
      <w:r>
        <w:rPr>
          <w:rFonts w:hint="default" w:ascii="仿宋_GB2312" w:eastAsia="仿宋_GB2312" w:cs="仿宋_GB2312"/>
          <w:sz w:val="32"/>
          <w:szCs w:val="32"/>
        </w:rPr>
        <w:t>163</w:t>
      </w:r>
      <w:r>
        <w:rPr>
          <w:rFonts w:hint="eastAsia" w:ascii="仿宋_GB2312" w:eastAsia="仿宋_GB2312" w:cs="仿宋_GB2312"/>
          <w:sz w:val="32"/>
          <w:szCs w:val="32"/>
        </w:rPr>
        <w:t>.com）</w:t>
      </w:r>
    </w:p>
    <w:p w14:paraId="76CD8CF9"/>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1BE5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F9A9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C0F9A9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F9924D"/>
    <w:multiLevelType w:val="singleLevel"/>
    <w:tmpl w:val="A4F9924D"/>
    <w:lvl w:ilvl="0" w:tentative="0">
      <w:start w:val="2"/>
      <w:numFmt w:val="chineseCounting"/>
      <w:suff w:val="nothing"/>
      <w:lvlText w:val="%1、"/>
      <w:lvlJc w:val="left"/>
      <w:rPr>
        <w:rFonts w:hint="eastAsia"/>
      </w:rPr>
    </w:lvl>
  </w:abstractNum>
  <w:abstractNum w:abstractNumId="1">
    <w:nsid w:val="3E7649D0"/>
    <w:multiLevelType w:val="singleLevel"/>
    <w:tmpl w:val="3E7649D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13093"/>
    <w:rsid w:val="090B6FB1"/>
    <w:rsid w:val="0D6D6326"/>
    <w:rsid w:val="0E144561"/>
    <w:rsid w:val="1B230B30"/>
    <w:rsid w:val="20FE346A"/>
    <w:rsid w:val="29F455E1"/>
    <w:rsid w:val="31C14142"/>
    <w:rsid w:val="393A5AF3"/>
    <w:rsid w:val="3ADC0109"/>
    <w:rsid w:val="3F871E51"/>
    <w:rsid w:val="42210AB0"/>
    <w:rsid w:val="4557299B"/>
    <w:rsid w:val="47113093"/>
    <w:rsid w:val="63FC743F"/>
    <w:rsid w:val="700A670E"/>
    <w:rsid w:val="72A746B3"/>
    <w:rsid w:val="72C14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1686</Words>
  <Characters>1743</Characters>
  <Lines>0</Lines>
  <Paragraphs>0</Paragraphs>
  <TotalTime>1</TotalTime>
  <ScaleCrop>false</ScaleCrop>
  <LinksUpToDate>false</LinksUpToDate>
  <CharactersWithSpaces>1743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2025-01-06T01:25:00Z</dcterms:created>
  <dc:creator>昏君</dc:creator>
  <cp:lastModifiedBy>昏君</cp:lastModifiedBy>
  <dcterms:modified xsi:type="dcterms:W3CDTF">2025-01-21T08:15:08Z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BF471F2DEAA941FF871CF3F91BA77280_13</vt:lpwstr>
  </property>
  <property fmtid="{D5CDD505-2E9C-101B-9397-08002B2CF9AE}" pid="4" name="KSOTemplateDocerSaveRecord">
    <vt:lpwstr>eyJoZGlkIjoiMmY4OWI1YzkyM2FiOTA2NDQ4N2MzY2NjYjljOWU0NjQiLCJ1c2VySWQiOiIzMDk4Mjg1MzcifQ==</vt:lpwstr>
  </property>
</Properties>
</file>